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华宁县住房和城乡建设局</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520" w:firstLineChars="700"/>
        <w:jc w:val="left"/>
        <w:textAlignment w:val="auto"/>
        <w:outlineLvl w:val="0"/>
        <w:rPr>
          <w:rFonts w:hint="eastAsia" w:ascii="方正小标宋简体" w:hAnsi="方正小标宋简体" w:eastAsia="方正小标宋简体" w:cs="方正小标宋简体"/>
          <w:sz w:val="36"/>
          <w:szCs w:val="36"/>
          <w:highlight w:val="none"/>
          <w:lang w:eastAsia="zh-CN"/>
        </w:rPr>
      </w:pPr>
      <w:bookmarkStart w:id="0" w:name="_GoBack"/>
      <w:bookmarkEnd w:id="0"/>
      <w:r>
        <w:rPr>
          <w:rFonts w:hint="eastAsia" w:ascii="方正小标宋简体" w:hAnsi="方正小标宋简体" w:eastAsia="方正小标宋简体" w:cs="方正小标宋简体"/>
          <w:sz w:val="36"/>
          <w:szCs w:val="36"/>
          <w:highlight w:val="none"/>
          <w:lang w:eastAsia="zh-CN"/>
        </w:rPr>
        <w:t>目录</w:t>
      </w:r>
    </w:p>
    <w:p>
      <w:pPr>
        <w:keepNext w:val="0"/>
        <w:keepLines w:val="0"/>
        <w:pageBreakBefore w:val="0"/>
        <w:kinsoku/>
        <w:overflowPunct/>
        <w:topLinePunct w:val="0"/>
        <w:autoSpaceDN/>
        <w:bidi w:val="0"/>
        <w:adjustRightInd/>
        <w:spacing w:line="360" w:lineRule="auto"/>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pPr>
        <w:keepNext w:val="0"/>
        <w:keepLines w:val="0"/>
        <w:pageBreakBefore w:val="0"/>
        <w:kinsoku/>
        <w:overflowPunct/>
        <w:topLinePunct w:val="0"/>
        <w:autoSpaceDN/>
        <w:bidi w:val="0"/>
        <w:adjustRightInd/>
        <w:spacing w:line="360" w:lineRule="auto"/>
        <w:jc w:val="both"/>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pPr>
        <w:keepNext w:val="0"/>
        <w:keepLines w:val="0"/>
        <w:pageBreakBefore w:val="0"/>
        <w:kinsoku/>
        <w:overflowPunct/>
        <w:topLinePunct w:val="0"/>
        <w:autoSpaceDN/>
        <w:bidi w:val="0"/>
        <w:adjustRightInd/>
        <w:spacing w:line="360" w:lineRule="auto"/>
        <w:jc w:val="both"/>
        <w:textAlignment w:val="auto"/>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pPr>
        <w:keepNext w:val="0"/>
        <w:keepLines w:val="0"/>
        <w:pageBreakBefore w:val="0"/>
        <w:widowControl/>
        <w:kinsoku/>
        <w:overflowPunct/>
        <w:topLinePunct w:val="0"/>
        <w:autoSpaceDN/>
        <w:bidi w:val="0"/>
        <w:adjustRightInd/>
        <w:snapToGrid w:val="0"/>
        <w:spacing w:before="100" w:line="360" w:lineRule="auto"/>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pPr>
        <w:keepNext w:val="0"/>
        <w:keepLines w:val="0"/>
        <w:pageBreakBefore w:val="0"/>
        <w:widowControl/>
        <w:kinsoku/>
        <w:overflowPunct/>
        <w:topLinePunct w:val="0"/>
        <w:autoSpaceDN/>
        <w:bidi w:val="0"/>
        <w:adjustRightInd/>
        <w:snapToGrid w:val="0"/>
        <w:spacing w:before="100" w:line="360" w:lineRule="auto"/>
        <w:jc w:val="both"/>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keepNext w:val="0"/>
        <w:keepLines w:val="0"/>
        <w:pageBreakBefore w:val="0"/>
        <w:kinsoku/>
        <w:overflowPunct/>
        <w:topLinePunct w:val="0"/>
        <w:autoSpaceDN/>
        <w:bidi w:val="0"/>
        <w:adjustRightInd/>
        <w:spacing w:line="360" w:lineRule="auto"/>
        <w:jc w:val="both"/>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keepNext w:val="0"/>
        <w:keepLines w:val="0"/>
        <w:pageBreakBefore w:val="0"/>
        <w:widowControl/>
        <w:kinsoku/>
        <w:overflowPunct/>
        <w:topLinePunct w:val="0"/>
        <w:autoSpaceDN/>
        <w:bidi w:val="0"/>
        <w:adjustRightInd/>
        <w:snapToGrid w:val="0"/>
        <w:spacing w:before="100" w:line="360" w:lineRule="auto"/>
        <w:jc w:val="both"/>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keepNext w:val="0"/>
        <w:keepLines w:val="0"/>
        <w:pageBreakBefore w:val="0"/>
        <w:kinsoku/>
        <w:overflowPunct/>
        <w:topLinePunct w:val="0"/>
        <w:autoSpaceDN/>
        <w:bidi w:val="0"/>
        <w:adjustRightInd/>
        <w:spacing w:line="360" w:lineRule="auto"/>
        <w:jc w:val="center"/>
        <w:textAlignment w:val="auto"/>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pPr>
        <w:keepNext w:val="0"/>
        <w:keepLines w:val="0"/>
        <w:pageBreakBefore w:val="0"/>
        <w:kinsoku/>
        <w:overflowPunct/>
        <w:topLinePunct w:val="0"/>
        <w:autoSpaceDN/>
        <w:bidi w:val="0"/>
        <w:adjustRightInd/>
        <w:spacing w:line="360" w:lineRule="auto"/>
        <w:ind w:firstLine="600" w:firstLineChars="200"/>
        <w:jc w:val="both"/>
        <w:textAlignment w:val="auto"/>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pPr>
        <w:keepNext w:val="0"/>
        <w:keepLines w:val="0"/>
        <w:pageBreakBefore w:val="0"/>
        <w:kinsoku/>
        <w:overflowPunct/>
        <w:topLinePunct w:val="0"/>
        <w:autoSpaceDN/>
        <w:bidi w:val="0"/>
        <w:adjustRightInd/>
        <w:spacing w:before="57" w:line="360" w:lineRule="auto"/>
        <w:ind w:right="120" w:firstLine="810"/>
        <w:jc w:val="both"/>
        <w:textAlignment w:val="auto"/>
        <w:rPr>
          <w:rFonts w:ascii="仿宋" w:hAnsi="仿宋" w:eastAsia="仿宋" w:cs="仿宋"/>
          <w:sz w:val="32"/>
          <w:szCs w:val="32"/>
        </w:rPr>
      </w:pPr>
      <w:r>
        <w:rPr>
          <w:rFonts w:hint="eastAsia" w:ascii="仿宋" w:hAnsi="仿宋" w:eastAsia="仿宋" w:cs="仿宋"/>
          <w:spacing w:val="17"/>
          <w:sz w:val="32"/>
          <w:szCs w:val="32"/>
          <w:lang w:val="en-US" w:eastAsia="zh-CN"/>
        </w:rPr>
        <w:t>1.</w:t>
      </w:r>
      <w:r>
        <w:rPr>
          <w:rFonts w:ascii="仿宋" w:hAnsi="仿宋" w:eastAsia="仿宋" w:cs="仿宋"/>
          <w:spacing w:val="17"/>
          <w:sz w:val="32"/>
          <w:szCs w:val="32"/>
        </w:rPr>
        <w:t>负责贯彻执行国家和省、市、县有关</w:t>
      </w:r>
      <w:r>
        <w:rPr>
          <w:rFonts w:ascii="仿宋" w:hAnsi="仿宋" w:eastAsia="仿宋" w:cs="仿宋"/>
          <w:spacing w:val="16"/>
          <w:sz w:val="32"/>
          <w:szCs w:val="32"/>
        </w:rPr>
        <w:t>住房和城乡</w:t>
      </w:r>
      <w:r>
        <w:rPr>
          <w:rFonts w:ascii="仿宋" w:hAnsi="仿宋" w:eastAsia="仿宋" w:cs="仿宋"/>
          <w:sz w:val="32"/>
          <w:szCs w:val="32"/>
        </w:rPr>
        <w:t xml:space="preserve"> </w:t>
      </w:r>
      <w:r>
        <w:rPr>
          <w:rFonts w:ascii="仿宋" w:hAnsi="仿宋" w:eastAsia="仿宋" w:cs="仿宋"/>
          <w:spacing w:val="7"/>
          <w:sz w:val="32"/>
          <w:szCs w:val="32"/>
        </w:rPr>
        <w:t>建设的方针政策和法律法规。编制相关规划和年度计划，并</w:t>
      </w:r>
      <w:r>
        <w:rPr>
          <w:rFonts w:ascii="仿宋" w:hAnsi="仿宋" w:eastAsia="仿宋" w:cs="仿宋"/>
          <w:spacing w:val="17"/>
          <w:sz w:val="32"/>
          <w:szCs w:val="32"/>
        </w:rPr>
        <w:t xml:space="preserve"> </w:t>
      </w:r>
      <w:r>
        <w:rPr>
          <w:rFonts w:ascii="仿宋" w:hAnsi="仿宋" w:eastAsia="仿宋" w:cs="仿宋"/>
          <w:spacing w:val="3"/>
          <w:sz w:val="32"/>
          <w:szCs w:val="32"/>
        </w:rPr>
        <w:t>组织实施和监督检查。</w:t>
      </w:r>
    </w:p>
    <w:p>
      <w:pPr>
        <w:keepNext w:val="0"/>
        <w:keepLines w:val="0"/>
        <w:pageBreakBefore w:val="0"/>
        <w:kinsoku/>
        <w:overflowPunct/>
        <w:topLinePunct w:val="0"/>
        <w:autoSpaceDN/>
        <w:bidi w:val="0"/>
        <w:adjustRightInd/>
        <w:spacing w:before="175" w:line="360" w:lineRule="auto"/>
        <w:ind w:right="139" w:firstLine="810"/>
        <w:jc w:val="both"/>
        <w:textAlignment w:val="auto"/>
        <w:rPr>
          <w:rFonts w:ascii="仿宋" w:hAnsi="仿宋" w:eastAsia="仿宋" w:cs="仿宋"/>
          <w:sz w:val="32"/>
          <w:szCs w:val="32"/>
        </w:rPr>
      </w:pPr>
      <w:r>
        <w:rPr>
          <w:rFonts w:hint="eastAsia" w:ascii="仿宋" w:hAnsi="仿宋" w:eastAsia="仿宋" w:cs="仿宋"/>
          <w:spacing w:val="16"/>
          <w:sz w:val="32"/>
          <w:szCs w:val="32"/>
          <w:lang w:val="en-US" w:eastAsia="zh-CN"/>
        </w:rPr>
        <w:t>2.</w:t>
      </w:r>
      <w:r>
        <w:rPr>
          <w:rFonts w:ascii="仿宋" w:hAnsi="仿宋" w:eastAsia="仿宋" w:cs="仿宋"/>
          <w:spacing w:val="16"/>
          <w:sz w:val="32"/>
          <w:szCs w:val="32"/>
        </w:rPr>
        <w:t>负责推进建筑节能、城镇减排的工作，会同有关</w:t>
      </w:r>
      <w:r>
        <w:rPr>
          <w:rFonts w:ascii="仿宋" w:hAnsi="仿宋" w:eastAsia="仿宋" w:cs="仿宋"/>
          <w:sz w:val="32"/>
          <w:szCs w:val="32"/>
        </w:rPr>
        <w:t xml:space="preserve"> </w:t>
      </w:r>
      <w:r>
        <w:rPr>
          <w:rFonts w:ascii="仿宋" w:hAnsi="仿宋" w:eastAsia="仿宋" w:cs="仿宋"/>
          <w:spacing w:val="6"/>
          <w:sz w:val="32"/>
          <w:szCs w:val="32"/>
        </w:rPr>
        <w:t>部门拟订建筑节能和城镇减排的规划、政策并监督实施，组</w:t>
      </w:r>
      <w:r>
        <w:rPr>
          <w:rFonts w:ascii="仿宋" w:hAnsi="仿宋" w:eastAsia="仿宋" w:cs="仿宋"/>
          <w:spacing w:val="15"/>
          <w:sz w:val="32"/>
          <w:szCs w:val="32"/>
        </w:rPr>
        <w:t xml:space="preserve"> </w:t>
      </w:r>
      <w:r>
        <w:rPr>
          <w:rFonts w:ascii="仿宋" w:hAnsi="仿宋" w:eastAsia="仿宋" w:cs="仿宋"/>
          <w:sz w:val="32"/>
          <w:szCs w:val="32"/>
        </w:rPr>
        <w:t>织实施节能项目。</w:t>
      </w:r>
    </w:p>
    <w:p>
      <w:pPr>
        <w:keepNext w:val="0"/>
        <w:keepLines w:val="0"/>
        <w:pageBreakBefore w:val="0"/>
        <w:kinsoku/>
        <w:overflowPunct/>
        <w:topLinePunct w:val="0"/>
        <w:autoSpaceDN/>
        <w:bidi w:val="0"/>
        <w:adjustRightInd/>
        <w:spacing w:before="195" w:line="360" w:lineRule="auto"/>
        <w:ind w:right="29" w:firstLine="810"/>
        <w:jc w:val="both"/>
        <w:textAlignment w:val="auto"/>
        <w:rPr>
          <w:rFonts w:ascii="仿宋" w:hAnsi="仿宋" w:eastAsia="仿宋" w:cs="仿宋"/>
          <w:sz w:val="32"/>
          <w:szCs w:val="32"/>
        </w:rPr>
      </w:pPr>
      <w:r>
        <w:rPr>
          <w:rFonts w:hint="eastAsia" w:ascii="仿宋" w:hAnsi="仿宋" w:eastAsia="仿宋" w:cs="仿宋"/>
          <w:spacing w:val="17"/>
          <w:sz w:val="32"/>
          <w:szCs w:val="32"/>
          <w:lang w:val="en-US" w:eastAsia="zh-CN"/>
        </w:rPr>
        <w:t>3.</w:t>
      </w:r>
      <w:r>
        <w:rPr>
          <w:rFonts w:ascii="仿宋" w:hAnsi="仿宋" w:eastAsia="仿宋" w:cs="仿宋"/>
          <w:spacing w:val="17"/>
          <w:sz w:val="32"/>
          <w:szCs w:val="32"/>
        </w:rPr>
        <w:t>负责监督管理房地产市场和承担住房制度改革的</w:t>
      </w:r>
      <w:r>
        <w:rPr>
          <w:rFonts w:ascii="仿宋" w:hAnsi="仿宋" w:eastAsia="仿宋" w:cs="仿宋"/>
          <w:spacing w:val="13"/>
          <w:sz w:val="32"/>
          <w:szCs w:val="32"/>
        </w:rPr>
        <w:t xml:space="preserve"> </w:t>
      </w:r>
      <w:r>
        <w:rPr>
          <w:rFonts w:ascii="仿宋" w:hAnsi="仿宋" w:eastAsia="仿宋" w:cs="仿宋"/>
          <w:spacing w:val="9"/>
          <w:sz w:val="32"/>
          <w:szCs w:val="32"/>
        </w:rPr>
        <w:t>工作；指导城镇土地使用权有偿转让和开发利用工作；拟订</w:t>
      </w:r>
      <w:r>
        <w:rPr>
          <w:rFonts w:ascii="仿宋" w:hAnsi="仿宋" w:eastAsia="仿宋" w:cs="仿宋"/>
          <w:spacing w:val="1"/>
          <w:sz w:val="32"/>
          <w:szCs w:val="32"/>
        </w:rPr>
        <w:t xml:space="preserve"> </w:t>
      </w:r>
      <w:r>
        <w:rPr>
          <w:rFonts w:ascii="仿宋" w:hAnsi="仿宋" w:eastAsia="仿宋" w:cs="仿宋"/>
          <w:spacing w:val="-1"/>
          <w:sz w:val="32"/>
          <w:szCs w:val="32"/>
        </w:rPr>
        <w:t>房地产业的行业发展规划和产业政策；组织实施房地产开发、</w:t>
      </w:r>
      <w:r>
        <w:rPr>
          <w:rFonts w:ascii="仿宋" w:hAnsi="仿宋" w:eastAsia="仿宋" w:cs="仿宋"/>
          <w:spacing w:val="10"/>
          <w:sz w:val="32"/>
          <w:szCs w:val="32"/>
        </w:rPr>
        <w:t xml:space="preserve"> </w:t>
      </w:r>
      <w:r>
        <w:rPr>
          <w:rFonts w:ascii="仿宋" w:hAnsi="仿宋" w:eastAsia="仿宋" w:cs="仿宋"/>
          <w:spacing w:val="7"/>
          <w:sz w:val="32"/>
          <w:szCs w:val="32"/>
        </w:rPr>
        <w:t>房屋权属管理、房屋交易、房屋租赁、房地产估价与经纪管</w:t>
      </w:r>
      <w:r>
        <w:rPr>
          <w:rFonts w:ascii="仿宋" w:hAnsi="仿宋" w:eastAsia="仿宋" w:cs="仿宋"/>
          <w:spacing w:val="3"/>
          <w:sz w:val="32"/>
          <w:szCs w:val="32"/>
        </w:rPr>
        <w:t xml:space="preserve"> </w:t>
      </w:r>
      <w:r>
        <w:rPr>
          <w:rFonts w:ascii="仿宋" w:hAnsi="仿宋" w:eastAsia="仿宋" w:cs="仿宋"/>
          <w:spacing w:val="6"/>
          <w:sz w:val="32"/>
          <w:szCs w:val="32"/>
        </w:rPr>
        <w:t>理、物业管理、房屋征收的规章制度并监督执行；组织推进</w:t>
      </w:r>
      <w:r>
        <w:rPr>
          <w:rFonts w:ascii="仿宋" w:hAnsi="仿宋" w:eastAsia="仿宋" w:cs="仿宋"/>
          <w:spacing w:val="16"/>
          <w:sz w:val="32"/>
          <w:szCs w:val="32"/>
        </w:rPr>
        <w:t xml:space="preserve"> </w:t>
      </w:r>
      <w:r>
        <w:rPr>
          <w:rFonts w:ascii="仿宋" w:hAnsi="仿宋" w:eastAsia="仿宋" w:cs="仿宋"/>
          <w:sz w:val="32"/>
          <w:szCs w:val="32"/>
        </w:rPr>
        <w:t>住宅产业现代化工作。</w:t>
      </w:r>
    </w:p>
    <w:p>
      <w:pPr>
        <w:keepNext w:val="0"/>
        <w:keepLines w:val="0"/>
        <w:pageBreakBefore w:val="0"/>
        <w:kinsoku/>
        <w:overflowPunct/>
        <w:topLinePunct w:val="0"/>
        <w:autoSpaceDN/>
        <w:bidi w:val="0"/>
        <w:adjustRightInd/>
        <w:spacing w:before="170" w:line="360" w:lineRule="auto"/>
        <w:ind w:right="144" w:firstLine="810"/>
        <w:jc w:val="both"/>
        <w:textAlignment w:val="auto"/>
        <w:rPr>
          <w:rFonts w:ascii="仿宋" w:hAnsi="仿宋" w:eastAsia="仿宋" w:cs="仿宋"/>
          <w:sz w:val="32"/>
          <w:szCs w:val="32"/>
        </w:rPr>
      </w:pPr>
      <w:r>
        <w:rPr>
          <w:rFonts w:hint="eastAsia" w:ascii="仿宋" w:hAnsi="仿宋" w:eastAsia="仿宋" w:cs="仿宋"/>
          <w:spacing w:val="16"/>
          <w:sz w:val="32"/>
          <w:szCs w:val="32"/>
          <w:lang w:val="en-US" w:eastAsia="zh-CN"/>
        </w:rPr>
        <w:t>4.</w:t>
      </w:r>
      <w:r>
        <w:rPr>
          <w:rFonts w:ascii="仿宋" w:hAnsi="仿宋" w:eastAsia="仿宋" w:cs="仿宋"/>
          <w:spacing w:val="16"/>
          <w:sz w:val="32"/>
          <w:szCs w:val="32"/>
        </w:rPr>
        <w:t>负责城镇保障性住房建设管理、保障</w:t>
      </w:r>
      <w:r>
        <w:rPr>
          <w:rFonts w:ascii="仿宋" w:hAnsi="仿宋" w:eastAsia="仿宋" w:cs="仿宋"/>
          <w:spacing w:val="15"/>
          <w:sz w:val="32"/>
          <w:szCs w:val="32"/>
        </w:rPr>
        <w:t>城镇低收入</w:t>
      </w:r>
      <w:r>
        <w:rPr>
          <w:rFonts w:ascii="仿宋" w:hAnsi="仿宋" w:eastAsia="仿宋" w:cs="仿宋"/>
          <w:sz w:val="32"/>
          <w:szCs w:val="32"/>
        </w:rPr>
        <w:t xml:space="preserve"> </w:t>
      </w:r>
      <w:r>
        <w:rPr>
          <w:rFonts w:ascii="仿宋" w:hAnsi="仿宋" w:eastAsia="仿宋" w:cs="仿宋"/>
          <w:spacing w:val="7"/>
          <w:sz w:val="32"/>
          <w:szCs w:val="32"/>
        </w:rPr>
        <w:t>家庭住房工作，拟订城镇住房政策、住房保障政策</w:t>
      </w:r>
      <w:r>
        <w:rPr>
          <w:rFonts w:ascii="仿宋" w:hAnsi="仿宋" w:eastAsia="仿宋" w:cs="仿宋"/>
          <w:spacing w:val="6"/>
          <w:sz w:val="32"/>
          <w:szCs w:val="32"/>
        </w:rPr>
        <w:t>并指导实</w:t>
      </w:r>
      <w:r>
        <w:rPr>
          <w:rFonts w:ascii="仿宋" w:hAnsi="仿宋" w:eastAsia="仿宋" w:cs="仿宋"/>
          <w:sz w:val="32"/>
          <w:szCs w:val="32"/>
        </w:rPr>
        <w:t xml:space="preserve"> </w:t>
      </w:r>
      <w:r>
        <w:rPr>
          <w:rFonts w:ascii="仿宋" w:hAnsi="仿宋" w:eastAsia="仿宋" w:cs="仿宋"/>
          <w:spacing w:val="7"/>
          <w:sz w:val="32"/>
          <w:szCs w:val="32"/>
        </w:rPr>
        <w:t>施；拟订城镇住房、保障性安居工程发展规划、年度计划并</w:t>
      </w:r>
      <w:r>
        <w:rPr>
          <w:rFonts w:ascii="仿宋" w:hAnsi="仿宋" w:eastAsia="仿宋" w:cs="仿宋"/>
          <w:spacing w:val="17"/>
          <w:sz w:val="32"/>
          <w:szCs w:val="32"/>
        </w:rPr>
        <w:t xml:space="preserve"> </w:t>
      </w:r>
      <w:r>
        <w:rPr>
          <w:rFonts w:ascii="仿宋" w:hAnsi="仿宋" w:eastAsia="仿宋" w:cs="仿宋"/>
          <w:spacing w:val="7"/>
          <w:sz w:val="32"/>
          <w:szCs w:val="32"/>
        </w:rPr>
        <w:t>指导实施；会同有关部门申报和安排保障性安居工程资金并</w:t>
      </w:r>
      <w:r>
        <w:rPr>
          <w:rFonts w:ascii="仿宋" w:hAnsi="仿宋" w:eastAsia="仿宋" w:cs="仿宋"/>
          <w:spacing w:val="17"/>
          <w:sz w:val="32"/>
          <w:szCs w:val="32"/>
        </w:rPr>
        <w:t xml:space="preserve"> </w:t>
      </w:r>
      <w:r>
        <w:rPr>
          <w:rFonts w:ascii="仿宋" w:hAnsi="仿宋" w:eastAsia="仿宋" w:cs="仿宋"/>
          <w:spacing w:val="-5"/>
          <w:sz w:val="32"/>
          <w:szCs w:val="32"/>
        </w:rPr>
        <w:t>监督实施。</w:t>
      </w:r>
    </w:p>
    <w:p>
      <w:pPr>
        <w:keepNext w:val="0"/>
        <w:keepLines w:val="0"/>
        <w:pageBreakBefore w:val="0"/>
        <w:kinsoku/>
        <w:overflowPunct/>
        <w:topLinePunct w:val="0"/>
        <w:autoSpaceDN/>
        <w:bidi w:val="0"/>
        <w:adjustRightInd/>
        <w:spacing w:before="170" w:line="360" w:lineRule="auto"/>
        <w:ind w:right="144" w:firstLine="810"/>
        <w:jc w:val="both"/>
        <w:textAlignment w:val="auto"/>
        <w:rPr>
          <w:rFonts w:ascii="仿宋" w:hAnsi="仿宋" w:eastAsia="仿宋" w:cs="仿宋"/>
          <w:spacing w:val="16"/>
          <w:sz w:val="32"/>
          <w:szCs w:val="32"/>
        </w:rPr>
      </w:pPr>
      <w:r>
        <w:rPr>
          <w:rFonts w:hint="eastAsia" w:ascii="仿宋" w:hAnsi="仿宋" w:eastAsia="仿宋" w:cs="仿宋"/>
          <w:spacing w:val="16"/>
          <w:sz w:val="32"/>
          <w:szCs w:val="32"/>
          <w:lang w:val="en-US" w:eastAsia="zh-CN"/>
        </w:rPr>
        <w:t>5.</w:t>
      </w:r>
      <w:r>
        <w:rPr>
          <w:rFonts w:ascii="仿宋" w:hAnsi="仿宋" w:eastAsia="仿宋" w:cs="仿宋"/>
          <w:spacing w:val="16"/>
          <w:sz w:val="32"/>
          <w:szCs w:val="32"/>
        </w:rPr>
        <w:t>负责建筑业发展、监督管理建筑市场、规范建筑市场秩序，指导房屋建设和市政工程招投标工作；组织实施 规范建筑市场各方主体行为的规章制度并监督执行；监督管 理工程勘察设计咨询业、工程勘察设计质量和市场；承担建 设工程消防设计审查、消防验收及验收备案职责。</w:t>
      </w:r>
    </w:p>
    <w:p>
      <w:pPr>
        <w:keepNext w:val="0"/>
        <w:keepLines w:val="0"/>
        <w:pageBreakBefore w:val="0"/>
        <w:kinsoku/>
        <w:overflowPunct/>
        <w:topLinePunct w:val="0"/>
        <w:autoSpaceDN/>
        <w:bidi w:val="0"/>
        <w:adjustRightInd/>
        <w:spacing w:before="58" w:line="360" w:lineRule="auto"/>
        <w:ind w:firstLine="800"/>
        <w:jc w:val="both"/>
        <w:textAlignment w:val="auto"/>
        <w:rPr>
          <w:rFonts w:ascii="仿宋" w:hAnsi="仿宋" w:eastAsia="仿宋" w:cs="仿宋"/>
          <w:sz w:val="32"/>
          <w:szCs w:val="32"/>
        </w:rPr>
      </w:pPr>
      <w:r>
        <w:rPr>
          <w:rFonts w:hint="eastAsia" w:ascii="仿宋" w:hAnsi="仿宋" w:eastAsia="仿宋" w:cs="仿宋"/>
          <w:spacing w:val="7"/>
          <w:sz w:val="32"/>
          <w:szCs w:val="32"/>
          <w:lang w:val="en-US" w:eastAsia="zh-CN"/>
        </w:rPr>
        <w:t>6.</w:t>
      </w:r>
      <w:r>
        <w:rPr>
          <w:rFonts w:ascii="仿宋" w:hAnsi="仿宋" w:eastAsia="仿宋" w:cs="仿宋"/>
          <w:spacing w:val="7"/>
          <w:sz w:val="32"/>
          <w:szCs w:val="32"/>
        </w:rPr>
        <w:t>负责规范村镇建设，拟订村庄和集镇建设政策并</w:t>
      </w:r>
      <w:r>
        <w:rPr>
          <w:rFonts w:ascii="仿宋" w:hAnsi="仿宋" w:eastAsia="仿宋" w:cs="仿宋"/>
          <w:spacing w:val="12"/>
          <w:sz w:val="32"/>
          <w:szCs w:val="32"/>
        </w:rPr>
        <w:t xml:space="preserve"> </w:t>
      </w:r>
      <w:r>
        <w:rPr>
          <w:rFonts w:ascii="仿宋" w:hAnsi="仿宋" w:eastAsia="仿宋" w:cs="仿宋"/>
          <w:sz w:val="32"/>
          <w:szCs w:val="32"/>
        </w:rPr>
        <w:t>指导实施；指导农村住房建设、危房改造和农村建筑风貌引</w:t>
      </w:r>
      <w:r>
        <w:rPr>
          <w:rFonts w:ascii="仿宋" w:hAnsi="仿宋" w:eastAsia="仿宋" w:cs="仿宋"/>
          <w:spacing w:val="4"/>
          <w:sz w:val="32"/>
          <w:szCs w:val="32"/>
        </w:rPr>
        <w:t xml:space="preserve"> </w:t>
      </w:r>
      <w:r>
        <w:rPr>
          <w:rFonts w:ascii="仿宋" w:hAnsi="仿宋" w:eastAsia="仿宋" w:cs="仿宋"/>
          <w:spacing w:val="11"/>
          <w:sz w:val="32"/>
          <w:szCs w:val="32"/>
        </w:rPr>
        <w:t>导；指导乡镇(街道)开展建设业务统计工作；参与其它村</w:t>
      </w:r>
      <w:r>
        <w:rPr>
          <w:rFonts w:ascii="仿宋" w:hAnsi="仿宋" w:eastAsia="仿宋" w:cs="仿宋"/>
          <w:spacing w:val="15"/>
          <w:sz w:val="32"/>
          <w:szCs w:val="32"/>
        </w:rPr>
        <w:t xml:space="preserve"> </w:t>
      </w:r>
      <w:r>
        <w:rPr>
          <w:rFonts w:ascii="仿宋" w:hAnsi="仿宋" w:eastAsia="仿宋" w:cs="仿宋"/>
          <w:spacing w:val="4"/>
          <w:sz w:val="32"/>
          <w:szCs w:val="32"/>
        </w:rPr>
        <w:t>镇基础设施建设相关工作；指导乡镇(街道)做好传统村落、</w:t>
      </w:r>
      <w:r>
        <w:rPr>
          <w:rFonts w:ascii="仿宋" w:hAnsi="仿宋" w:eastAsia="仿宋" w:cs="仿宋"/>
          <w:sz w:val="32"/>
          <w:szCs w:val="32"/>
        </w:rPr>
        <w:t xml:space="preserve"> </w:t>
      </w:r>
      <w:r>
        <w:rPr>
          <w:rFonts w:ascii="仿宋" w:hAnsi="仿宋" w:eastAsia="仿宋" w:cs="仿宋"/>
          <w:spacing w:val="-6"/>
          <w:sz w:val="32"/>
          <w:szCs w:val="32"/>
        </w:rPr>
        <w:t>历史建筑保护和活化利用。</w:t>
      </w:r>
    </w:p>
    <w:p>
      <w:pPr>
        <w:keepNext w:val="0"/>
        <w:keepLines w:val="0"/>
        <w:pageBreakBefore w:val="0"/>
        <w:kinsoku/>
        <w:overflowPunct/>
        <w:topLinePunct w:val="0"/>
        <w:autoSpaceDN/>
        <w:bidi w:val="0"/>
        <w:adjustRightInd/>
        <w:spacing w:before="237" w:line="360" w:lineRule="auto"/>
        <w:ind w:firstLine="770"/>
        <w:jc w:val="both"/>
        <w:textAlignment w:val="auto"/>
        <w:rPr>
          <w:rFonts w:ascii="仿宋" w:hAnsi="仿宋" w:eastAsia="仿宋" w:cs="仿宋"/>
          <w:sz w:val="32"/>
          <w:szCs w:val="32"/>
        </w:rPr>
      </w:pPr>
      <w:r>
        <w:rPr>
          <w:rFonts w:hint="eastAsia" w:ascii="仿宋" w:hAnsi="仿宋" w:eastAsia="仿宋" w:cs="仿宋"/>
          <w:spacing w:val="9"/>
          <w:sz w:val="32"/>
          <w:szCs w:val="32"/>
          <w:lang w:val="en-US" w:eastAsia="zh-CN"/>
        </w:rPr>
        <w:t>7.</w:t>
      </w:r>
      <w:r>
        <w:rPr>
          <w:rFonts w:ascii="仿宋" w:hAnsi="仿宋" w:eastAsia="仿宋" w:cs="仿宋"/>
          <w:spacing w:val="9"/>
          <w:sz w:val="32"/>
          <w:szCs w:val="32"/>
        </w:rPr>
        <w:t>负责城市建设，负责市政道路、绿化</w:t>
      </w:r>
      <w:r>
        <w:rPr>
          <w:rFonts w:ascii="仿宋" w:hAnsi="仿宋" w:eastAsia="仿宋" w:cs="仿宋"/>
          <w:spacing w:val="8"/>
          <w:sz w:val="32"/>
          <w:szCs w:val="32"/>
        </w:rPr>
        <w:t>环卫、城市</w:t>
      </w:r>
      <w:r>
        <w:rPr>
          <w:rFonts w:ascii="仿宋" w:hAnsi="仿宋" w:eastAsia="仿宋" w:cs="仿宋"/>
          <w:sz w:val="32"/>
          <w:szCs w:val="32"/>
        </w:rPr>
        <w:t xml:space="preserve"> </w:t>
      </w:r>
      <w:r>
        <w:rPr>
          <w:rFonts w:ascii="仿宋" w:hAnsi="仿宋" w:eastAsia="仿宋" w:cs="仿宋"/>
          <w:spacing w:val="-1"/>
          <w:sz w:val="32"/>
          <w:szCs w:val="32"/>
        </w:rPr>
        <w:t>公厕、供排水等市政基础设施建设，拟订城市建</w:t>
      </w:r>
      <w:r>
        <w:rPr>
          <w:rFonts w:ascii="仿宋" w:hAnsi="仿宋" w:eastAsia="仿宋" w:cs="仿宋"/>
          <w:spacing w:val="-2"/>
          <w:sz w:val="32"/>
          <w:szCs w:val="32"/>
        </w:rPr>
        <w:t>设规划并指</w:t>
      </w:r>
      <w:r>
        <w:rPr>
          <w:rFonts w:ascii="仿宋" w:hAnsi="仿宋" w:eastAsia="仿宋" w:cs="仿宋"/>
          <w:sz w:val="32"/>
          <w:szCs w:val="32"/>
        </w:rPr>
        <w:t xml:space="preserve"> </w:t>
      </w:r>
      <w:r>
        <w:rPr>
          <w:rFonts w:ascii="仿宋" w:hAnsi="仿宋" w:eastAsia="仿宋" w:cs="仿宋"/>
          <w:spacing w:val="-9"/>
          <w:sz w:val="32"/>
          <w:szCs w:val="32"/>
        </w:rPr>
        <w:t>导监督实施；负责综合协调、指导、监督城市更新实施工作，</w:t>
      </w:r>
      <w:r>
        <w:rPr>
          <w:rFonts w:ascii="仿宋" w:hAnsi="仿宋" w:eastAsia="仿宋" w:cs="仿宋"/>
          <w:spacing w:val="12"/>
          <w:sz w:val="32"/>
          <w:szCs w:val="32"/>
        </w:rPr>
        <w:t xml:space="preserve"> </w:t>
      </w:r>
      <w:r>
        <w:rPr>
          <w:rFonts w:ascii="仿宋" w:hAnsi="仿宋" w:eastAsia="仿宋" w:cs="仿宋"/>
          <w:spacing w:val="-1"/>
          <w:sz w:val="32"/>
          <w:szCs w:val="32"/>
        </w:rPr>
        <w:t>按照职责组织制定相关政策和规范标准；负责城市建设档案</w:t>
      </w:r>
      <w:r>
        <w:rPr>
          <w:rFonts w:ascii="仿宋" w:hAnsi="仿宋" w:eastAsia="仿宋" w:cs="仿宋"/>
          <w:spacing w:val="2"/>
          <w:sz w:val="32"/>
          <w:szCs w:val="32"/>
        </w:rPr>
        <w:t xml:space="preserve"> </w:t>
      </w:r>
      <w:r>
        <w:rPr>
          <w:rFonts w:ascii="仿宋" w:hAnsi="仿宋" w:eastAsia="仿宋" w:cs="仿宋"/>
          <w:spacing w:val="-4"/>
          <w:sz w:val="32"/>
          <w:szCs w:val="32"/>
        </w:rPr>
        <w:t>工作；负责拟订城市园林绿化发展规划。</w:t>
      </w:r>
    </w:p>
    <w:p>
      <w:pPr>
        <w:keepNext w:val="0"/>
        <w:keepLines w:val="0"/>
        <w:pageBreakBefore w:val="0"/>
        <w:kinsoku/>
        <w:overflowPunct/>
        <w:topLinePunct w:val="0"/>
        <w:autoSpaceDN/>
        <w:bidi w:val="0"/>
        <w:adjustRightInd/>
        <w:spacing w:before="197" w:line="360" w:lineRule="auto"/>
        <w:ind w:firstLine="800"/>
        <w:jc w:val="both"/>
        <w:textAlignment w:val="auto"/>
        <w:rPr>
          <w:rFonts w:ascii="仿宋" w:hAnsi="仿宋" w:eastAsia="仿宋" w:cs="仿宋"/>
          <w:sz w:val="32"/>
          <w:szCs w:val="32"/>
        </w:rPr>
      </w:pPr>
      <w:r>
        <w:rPr>
          <w:rFonts w:hint="eastAsia" w:ascii="仿宋" w:hAnsi="仿宋" w:eastAsia="仿宋" w:cs="仿宋"/>
          <w:spacing w:val="-1"/>
          <w:sz w:val="32"/>
          <w:szCs w:val="32"/>
          <w:lang w:val="en-US" w:eastAsia="zh-CN"/>
        </w:rPr>
        <w:t>8.</w:t>
      </w:r>
      <w:r>
        <w:rPr>
          <w:rFonts w:ascii="仿宋" w:hAnsi="仿宋" w:eastAsia="仿宋" w:cs="仿宋"/>
          <w:spacing w:val="-1"/>
          <w:sz w:val="32"/>
          <w:szCs w:val="32"/>
        </w:rPr>
        <w:t>负责房屋建筑和市政基础设施工程质量安全监管，</w:t>
      </w:r>
      <w:r>
        <w:rPr>
          <w:rFonts w:ascii="仿宋" w:hAnsi="仿宋" w:eastAsia="仿宋" w:cs="仿宋"/>
          <w:spacing w:val="13"/>
          <w:sz w:val="32"/>
          <w:szCs w:val="32"/>
        </w:rPr>
        <w:t xml:space="preserve"> </w:t>
      </w:r>
      <w:r>
        <w:rPr>
          <w:rFonts w:ascii="仿宋" w:hAnsi="仿宋" w:eastAsia="仿宋" w:cs="仿宋"/>
          <w:spacing w:val="-1"/>
          <w:sz w:val="32"/>
          <w:szCs w:val="32"/>
        </w:rPr>
        <w:t>组织贯彻实施房屋建筑和市政基础设施工程质量、建筑安全</w:t>
      </w:r>
      <w:r>
        <w:rPr>
          <w:rFonts w:ascii="仿宋" w:hAnsi="仿宋" w:eastAsia="仿宋" w:cs="仿宋"/>
          <w:spacing w:val="1"/>
          <w:sz w:val="32"/>
          <w:szCs w:val="32"/>
        </w:rPr>
        <w:t xml:space="preserve"> </w:t>
      </w:r>
      <w:r>
        <w:rPr>
          <w:rFonts w:ascii="仿宋" w:hAnsi="仿宋" w:eastAsia="仿宋" w:cs="仿宋"/>
          <w:spacing w:val="-2"/>
          <w:sz w:val="32"/>
          <w:szCs w:val="32"/>
        </w:rPr>
        <w:t>生产和竣工验收备案的政策、规章制度并监督执行；组织或</w:t>
      </w:r>
      <w:r>
        <w:rPr>
          <w:rFonts w:ascii="仿宋" w:hAnsi="仿宋" w:eastAsia="仿宋" w:cs="仿宋"/>
          <w:spacing w:val="4"/>
          <w:sz w:val="32"/>
          <w:szCs w:val="32"/>
        </w:rPr>
        <w:t xml:space="preserve">  </w:t>
      </w:r>
      <w:r>
        <w:rPr>
          <w:rFonts w:ascii="仿宋" w:hAnsi="仿宋" w:eastAsia="仿宋" w:cs="仿宋"/>
          <w:spacing w:val="-1"/>
          <w:sz w:val="32"/>
          <w:szCs w:val="32"/>
        </w:rPr>
        <w:t>参与房屋建筑和市政工程质量、安全事故的应急救援</w:t>
      </w:r>
      <w:r>
        <w:rPr>
          <w:rFonts w:ascii="仿宋" w:hAnsi="仿宋" w:eastAsia="仿宋" w:cs="仿宋"/>
          <w:spacing w:val="-2"/>
          <w:sz w:val="32"/>
          <w:szCs w:val="32"/>
        </w:rPr>
        <w:t>、调查</w:t>
      </w:r>
      <w:r>
        <w:rPr>
          <w:rFonts w:ascii="仿宋" w:hAnsi="仿宋" w:eastAsia="仿宋" w:cs="仿宋"/>
          <w:sz w:val="32"/>
          <w:szCs w:val="32"/>
        </w:rPr>
        <w:t xml:space="preserve"> </w:t>
      </w:r>
      <w:r>
        <w:rPr>
          <w:rFonts w:ascii="仿宋" w:hAnsi="仿宋" w:eastAsia="仿宋" w:cs="仿宋"/>
          <w:spacing w:val="-13"/>
          <w:sz w:val="32"/>
          <w:szCs w:val="32"/>
        </w:rPr>
        <w:t>处</w:t>
      </w:r>
      <w:r>
        <w:rPr>
          <w:rFonts w:ascii="仿宋" w:hAnsi="仿宋" w:eastAsia="仿宋" w:cs="仿宋"/>
          <w:spacing w:val="-21"/>
          <w:sz w:val="32"/>
          <w:szCs w:val="32"/>
        </w:rPr>
        <w:t xml:space="preserve"> </w:t>
      </w:r>
      <w:r>
        <w:rPr>
          <w:rFonts w:ascii="仿宋" w:hAnsi="仿宋" w:eastAsia="仿宋" w:cs="仿宋"/>
          <w:spacing w:val="-13"/>
          <w:sz w:val="32"/>
          <w:szCs w:val="32"/>
        </w:rPr>
        <w:t>理</w:t>
      </w:r>
      <w:r>
        <w:rPr>
          <w:rFonts w:ascii="仿宋" w:hAnsi="仿宋" w:eastAsia="仿宋" w:cs="仿宋"/>
          <w:spacing w:val="-40"/>
          <w:sz w:val="32"/>
          <w:szCs w:val="32"/>
        </w:rPr>
        <w:t xml:space="preserve"> </w:t>
      </w:r>
      <w:r>
        <w:rPr>
          <w:rFonts w:ascii="仿宋" w:hAnsi="仿宋" w:eastAsia="仿宋" w:cs="仿宋"/>
          <w:spacing w:val="-13"/>
          <w:sz w:val="32"/>
          <w:szCs w:val="32"/>
        </w:rPr>
        <w:t>。</w:t>
      </w:r>
    </w:p>
    <w:p>
      <w:pPr>
        <w:keepNext w:val="0"/>
        <w:keepLines w:val="0"/>
        <w:pageBreakBefore w:val="0"/>
        <w:kinsoku/>
        <w:overflowPunct/>
        <w:topLinePunct w:val="0"/>
        <w:autoSpaceDN/>
        <w:bidi w:val="0"/>
        <w:adjustRightInd/>
        <w:spacing w:before="179" w:line="360" w:lineRule="auto"/>
        <w:ind w:right="131" w:firstLine="800"/>
        <w:jc w:val="both"/>
        <w:textAlignment w:val="auto"/>
        <w:rPr>
          <w:rFonts w:ascii="仿宋" w:hAnsi="仿宋" w:eastAsia="仿宋" w:cs="仿宋"/>
          <w:sz w:val="32"/>
          <w:szCs w:val="32"/>
        </w:rPr>
      </w:pPr>
      <w:r>
        <w:rPr>
          <w:rFonts w:hint="eastAsia" w:ascii="仿宋" w:hAnsi="仿宋" w:eastAsia="仿宋" w:cs="仿宋"/>
          <w:spacing w:val="7"/>
          <w:sz w:val="32"/>
          <w:szCs w:val="32"/>
          <w:lang w:val="en-US" w:eastAsia="zh-CN"/>
        </w:rPr>
        <w:t>9.</w:t>
      </w:r>
      <w:r>
        <w:rPr>
          <w:rFonts w:ascii="仿宋" w:hAnsi="仿宋" w:eastAsia="仿宋" w:cs="仿宋"/>
          <w:spacing w:val="7"/>
          <w:sz w:val="32"/>
          <w:szCs w:val="32"/>
        </w:rPr>
        <w:t>负责房屋建筑和市政基础设施工程和市政设施抗</w:t>
      </w:r>
      <w:r>
        <w:rPr>
          <w:rFonts w:ascii="仿宋" w:hAnsi="仿宋" w:eastAsia="仿宋" w:cs="仿宋"/>
          <w:spacing w:val="13"/>
          <w:sz w:val="32"/>
          <w:szCs w:val="32"/>
        </w:rPr>
        <w:t xml:space="preserve"> </w:t>
      </w:r>
      <w:r>
        <w:rPr>
          <w:rFonts w:ascii="仿宋" w:hAnsi="仿宋" w:eastAsia="仿宋" w:cs="仿宋"/>
          <w:spacing w:val="-1"/>
          <w:sz w:val="32"/>
          <w:szCs w:val="32"/>
        </w:rPr>
        <w:t>震设防监督管理，指导和组织震后恢复重建工作；负责震后</w:t>
      </w:r>
    </w:p>
    <w:p>
      <w:pPr>
        <w:keepNext w:val="0"/>
        <w:keepLines w:val="0"/>
        <w:pageBreakBefore w:val="0"/>
        <w:kinsoku/>
        <w:overflowPunct/>
        <w:topLinePunct w:val="0"/>
        <w:autoSpaceDN/>
        <w:bidi w:val="0"/>
        <w:adjustRightInd/>
        <w:spacing w:before="110" w:line="360" w:lineRule="auto"/>
        <w:ind w:right="93"/>
        <w:jc w:val="both"/>
        <w:textAlignment w:val="auto"/>
        <w:rPr>
          <w:rFonts w:ascii="仿宋" w:hAnsi="仿宋" w:eastAsia="仿宋" w:cs="仿宋"/>
          <w:sz w:val="32"/>
          <w:szCs w:val="32"/>
        </w:rPr>
      </w:pPr>
      <w:r>
        <w:rPr>
          <w:rFonts w:ascii="仿宋" w:hAnsi="仿宋" w:eastAsia="仿宋" w:cs="仿宋"/>
          <w:spacing w:val="-2"/>
          <w:sz w:val="32"/>
          <w:szCs w:val="32"/>
        </w:rPr>
        <w:t>应急抢险的相关工作；负责农村民居地震安全工程的监督管</w:t>
      </w:r>
      <w:r>
        <w:rPr>
          <w:rFonts w:ascii="仿宋" w:hAnsi="仿宋" w:eastAsia="仿宋" w:cs="仿宋"/>
          <w:spacing w:val="7"/>
          <w:sz w:val="32"/>
          <w:szCs w:val="32"/>
        </w:rPr>
        <w:t xml:space="preserve"> </w:t>
      </w:r>
      <w:r>
        <w:rPr>
          <w:rFonts w:ascii="仿宋" w:hAnsi="仿宋" w:eastAsia="仿宋" w:cs="仿宋"/>
          <w:spacing w:val="-10"/>
          <w:sz w:val="32"/>
          <w:szCs w:val="32"/>
        </w:rPr>
        <w:t>理</w:t>
      </w:r>
      <w:r>
        <w:rPr>
          <w:rFonts w:ascii="仿宋" w:hAnsi="仿宋" w:eastAsia="仿宋" w:cs="仿宋"/>
          <w:spacing w:val="32"/>
          <w:sz w:val="32"/>
          <w:szCs w:val="32"/>
        </w:rPr>
        <w:t xml:space="preserve"> </w:t>
      </w:r>
      <w:r>
        <w:rPr>
          <w:rFonts w:ascii="仿宋" w:hAnsi="仿宋" w:eastAsia="仿宋" w:cs="仿宋"/>
          <w:spacing w:val="-10"/>
          <w:sz w:val="32"/>
          <w:szCs w:val="32"/>
        </w:rPr>
        <w:t>。</w:t>
      </w:r>
    </w:p>
    <w:p>
      <w:pPr>
        <w:keepNext w:val="0"/>
        <w:keepLines w:val="0"/>
        <w:pageBreakBefore w:val="0"/>
        <w:kinsoku/>
        <w:overflowPunct/>
        <w:topLinePunct w:val="0"/>
        <w:autoSpaceDN/>
        <w:bidi w:val="0"/>
        <w:adjustRightInd/>
        <w:spacing w:before="14" w:line="360" w:lineRule="auto"/>
        <w:ind w:right="73" w:firstLine="819"/>
        <w:jc w:val="both"/>
        <w:textAlignment w:val="auto"/>
        <w:rPr>
          <w:rFonts w:ascii="仿宋" w:hAnsi="仿宋" w:eastAsia="仿宋" w:cs="仿宋"/>
          <w:sz w:val="32"/>
          <w:szCs w:val="32"/>
        </w:rPr>
      </w:pPr>
      <w:r>
        <w:rPr>
          <w:rFonts w:hint="eastAsia" w:ascii="仿宋" w:hAnsi="仿宋" w:eastAsia="仿宋" w:cs="仿宋"/>
          <w:spacing w:val="7"/>
          <w:sz w:val="32"/>
          <w:szCs w:val="32"/>
          <w:lang w:val="en-US" w:eastAsia="zh-CN"/>
        </w:rPr>
        <w:t>10.</w:t>
      </w:r>
      <w:r>
        <w:rPr>
          <w:rFonts w:ascii="仿宋" w:hAnsi="仿宋" w:eastAsia="仿宋" w:cs="仿宋"/>
          <w:spacing w:val="7"/>
          <w:sz w:val="32"/>
          <w:szCs w:val="32"/>
        </w:rPr>
        <w:t xml:space="preserve">负责指导、监督全县国有土地上房屋征收与补偿 </w:t>
      </w:r>
      <w:r>
        <w:rPr>
          <w:rFonts w:ascii="仿宋" w:hAnsi="仿宋" w:eastAsia="仿宋" w:cs="仿宋"/>
          <w:spacing w:val="-2"/>
          <w:sz w:val="32"/>
          <w:szCs w:val="32"/>
        </w:rPr>
        <w:t>工作；组织实施国有土地上房屋征收与补偿的</w:t>
      </w:r>
      <w:r>
        <w:rPr>
          <w:rFonts w:ascii="仿宋" w:hAnsi="仿宋" w:eastAsia="仿宋" w:cs="仿宋"/>
          <w:spacing w:val="-3"/>
          <w:sz w:val="32"/>
          <w:szCs w:val="32"/>
        </w:rPr>
        <w:t>监督执行，组</w:t>
      </w:r>
      <w:r>
        <w:rPr>
          <w:rFonts w:ascii="仿宋" w:hAnsi="仿宋" w:eastAsia="仿宋" w:cs="仿宋"/>
          <w:sz w:val="32"/>
          <w:szCs w:val="32"/>
        </w:rPr>
        <w:t xml:space="preserve"> </w:t>
      </w:r>
      <w:r>
        <w:rPr>
          <w:rFonts w:ascii="仿宋" w:hAnsi="仿宋" w:eastAsia="仿宋" w:cs="仿宋"/>
          <w:spacing w:val="11"/>
          <w:sz w:val="32"/>
          <w:szCs w:val="32"/>
        </w:rPr>
        <w:t>织从事国有土地上房屋征收工作人员法律法规和政策的培</w:t>
      </w:r>
      <w:r>
        <w:rPr>
          <w:rFonts w:ascii="仿宋" w:hAnsi="仿宋" w:eastAsia="仿宋" w:cs="仿宋"/>
          <w:spacing w:val="4"/>
          <w:sz w:val="32"/>
          <w:szCs w:val="32"/>
        </w:rPr>
        <w:t xml:space="preserve"> </w:t>
      </w:r>
      <w:r>
        <w:rPr>
          <w:rFonts w:ascii="仿宋" w:hAnsi="仿宋" w:eastAsia="仿宋" w:cs="仿宋"/>
          <w:spacing w:val="-2"/>
          <w:sz w:val="32"/>
          <w:szCs w:val="32"/>
        </w:rPr>
        <w:t>训；负责受理、调查处理国有土地上房屋征</w:t>
      </w:r>
      <w:r>
        <w:rPr>
          <w:rFonts w:ascii="仿宋" w:hAnsi="仿宋" w:eastAsia="仿宋" w:cs="仿宋"/>
          <w:spacing w:val="-3"/>
          <w:sz w:val="32"/>
          <w:szCs w:val="32"/>
        </w:rPr>
        <w:t>收与补偿的来信</w:t>
      </w:r>
      <w:r>
        <w:rPr>
          <w:rFonts w:ascii="仿宋" w:hAnsi="仿宋" w:eastAsia="仿宋" w:cs="仿宋"/>
          <w:sz w:val="32"/>
          <w:szCs w:val="32"/>
        </w:rPr>
        <w:t xml:space="preserve"> </w:t>
      </w:r>
      <w:r>
        <w:rPr>
          <w:rFonts w:ascii="仿宋" w:hAnsi="仿宋" w:eastAsia="仿宋" w:cs="仿宋"/>
          <w:spacing w:val="-7"/>
          <w:sz w:val="32"/>
          <w:szCs w:val="32"/>
        </w:rPr>
        <w:t>来访、纠纷和矛盾。</w:t>
      </w:r>
    </w:p>
    <w:p>
      <w:pPr>
        <w:keepNext w:val="0"/>
        <w:keepLines w:val="0"/>
        <w:pageBreakBefore w:val="0"/>
        <w:kinsoku/>
        <w:overflowPunct/>
        <w:topLinePunct w:val="0"/>
        <w:autoSpaceDN/>
        <w:bidi w:val="0"/>
        <w:adjustRightInd/>
        <w:spacing w:before="65" w:line="360" w:lineRule="auto"/>
        <w:ind w:right="96" w:firstLine="819"/>
        <w:jc w:val="both"/>
        <w:textAlignment w:val="auto"/>
        <w:rPr>
          <w:rFonts w:ascii="仿宋" w:hAnsi="仿宋" w:eastAsia="仿宋" w:cs="仿宋"/>
          <w:sz w:val="32"/>
          <w:szCs w:val="32"/>
        </w:rPr>
      </w:pPr>
      <w:r>
        <w:rPr>
          <w:rFonts w:hint="eastAsia" w:ascii="仿宋" w:hAnsi="仿宋" w:eastAsia="仿宋" w:cs="仿宋"/>
          <w:spacing w:val="6"/>
          <w:sz w:val="32"/>
          <w:szCs w:val="32"/>
          <w:lang w:val="en-US" w:eastAsia="zh-CN"/>
        </w:rPr>
        <w:t>11.</w:t>
      </w:r>
      <w:r>
        <w:rPr>
          <w:rFonts w:ascii="仿宋" w:hAnsi="仿宋" w:eastAsia="仿宋" w:cs="仿宋"/>
          <w:spacing w:val="6"/>
          <w:sz w:val="32"/>
          <w:szCs w:val="32"/>
        </w:rPr>
        <w:t>负责按照国家有关规定做好防空地下室建筑结</w:t>
      </w:r>
      <w:r>
        <w:rPr>
          <w:rFonts w:ascii="仿宋" w:hAnsi="仿宋" w:eastAsia="仿宋" w:cs="仿宋"/>
          <w:spacing w:val="8"/>
          <w:sz w:val="32"/>
          <w:szCs w:val="32"/>
        </w:rPr>
        <w:t xml:space="preserve"> </w:t>
      </w:r>
      <w:r>
        <w:rPr>
          <w:rFonts w:ascii="仿宋" w:hAnsi="仿宋" w:eastAsia="仿宋" w:cs="仿宋"/>
          <w:spacing w:val="-6"/>
          <w:sz w:val="32"/>
          <w:szCs w:val="32"/>
        </w:rPr>
        <w:t>构防护方面的质量监督。</w:t>
      </w:r>
    </w:p>
    <w:p>
      <w:pPr>
        <w:pStyle w:val="12"/>
        <w:keepNext w:val="0"/>
        <w:keepLines w:val="0"/>
        <w:pageBreakBefore w:val="0"/>
        <w:widowControl/>
        <w:suppressLineNumbers w:val="0"/>
        <w:kinsoku/>
        <w:overflowPunct/>
        <w:topLinePunct w:val="0"/>
        <w:autoSpaceDE w:val="0"/>
        <w:autoSpaceDN/>
        <w:bidi w:val="0"/>
        <w:adjustRightInd/>
        <w:spacing w:before="240" w:beforeAutospacing="0" w:after="0" w:afterAutospacing="0" w:line="360" w:lineRule="auto"/>
        <w:ind w:firstLine="664" w:firstLineChars="200"/>
        <w:jc w:val="both"/>
        <w:textAlignment w:val="auto"/>
        <w:rPr>
          <w:rFonts w:hint="eastAsia"/>
          <w:bCs/>
          <w:szCs w:val="30"/>
          <w:highlight w:val="none"/>
        </w:rPr>
      </w:pPr>
      <w:r>
        <w:rPr>
          <w:rFonts w:hint="eastAsia" w:ascii="仿宋" w:hAnsi="仿宋" w:eastAsia="仿宋" w:cs="仿宋"/>
          <w:spacing w:val="6"/>
          <w:sz w:val="32"/>
          <w:szCs w:val="32"/>
          <w:lang w:val="en-US" w:eastAsia="zh-CN"/>
        </w:rPr>
        <w:t>12.</w:t>
      </w:r>
      <w:r>
        <w:rPr>
          <w:rFonts w:ascii="仿宋" w:hAnsi="仿宋" w:eastAsia="仿宋" w:cs="仿宋"/>
          <w:spacing w:val="6"/>
          <w:sz w:val="32"/>
          <w:szCs w:val="32"/>
        </w:rPr>
        <w:t>完成县委、县政府交办的其他任务。</w:t>
      </w:r>
      <w:r>
        <w:rPr>
          <w:rFonts w:ascii="仿宋" w:hAnsi="仿宋" w:eastAsia="仿宋" w:cs="仿宋"/>
          <w:spacing w:val="9"/>
          <w:sz w:val="32"/>
          <w:szCs w:val="32"/>
        </w:rPr>
        <w:t xml:space="preserve"> </w:t>
      </w:r>
    </w:p>
    <w:p>
      <w:pPr>
        <w:keepNext w:val="0"/>
        <w:keepLines w:val="0"/>
        <w:pageBreakBefore w:val="0"/>
        <w:numPr>
          <w:ilvl w:val="0"/>
          <w:numId w:val="1"/>
        </w:numPr>
        <w:kinsoku/>
        <w:overflowPunct/>
        <w:topLinePunct w:val="0"/>
        <w:autoSpaceDN/>
        <w:bidi w:val="0"/>
        <w:adjustRightInd/>
        <w:spacing w:line="360" w:lineRule="auto"/>
        <w:ind w:firstLine="600" w:firstLineChars="200"/>
        <w:jc w:val="both"/>
        <w:textAlignment w:val="auto"/>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pPr>
        <w:keepNext w:val="0"/>
        <w:keepLines w:val="0"/>
        <w:pageBreakBefore w:val="0"/>
        <w:widowControl/>
        <w:kinsoku/>
        <w:overflowPunct/>
        <w:topLinePunct w:val="0"/>
        <w:autoSpaceDN/>
        <w:bidi w:val="0"/>
        <w:adjustRightInd/>
        <w:snapToGrid w:val="0"/>
        <w:spacing w:before="100" w:line="360" w:lineRule="auto"/>
        <w:ind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pPr>
        <w:pStyle w:val="12"/>
        <w:keepNext w:val="0"/>
        <w:keepLines w:val="0"/>
        <w:pageBreakBefore w:val="0"/>
        <w:widowControl/>
        <w:suppressLineNumbers w:val="0"/>
        <w:kinsoku/>
        <w:overflowPunct/>
        <w:topLinePunct w:val="0"/>
        <w:autoSpaceDE w:val="0"/>
        <w:autoSpaceDN/>
        <w:bidi w:val="0"/>
        <w:adjustRightInd/>
        <w:spacing w:before="240" w:beforeAutospacing="0" w:after="0" w:afterAutospacing="0" w:line="360" w:lineRule="auto"/>
        <w:ind w:firstLine="60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0"/>
          <w:szCs w:val="30"/>
          <w:highlight w:val="none"/>
          <w:lang w:val="en-US" w:eastAsia="zh-CN"/>
        </w:rPr>
        <w:t>我部门共设置4个内设机构，包括：</w:t>
      </w:r>
      <w:r>
        <w:rPr>
          <w:rFonts w:hint="eastAsia" w:ascii="仿宋" w:hAnsi="仿宋" w:eastAsia="仿宋" w:cs="仿宋"/>
          <w:sz w:val="30"/>
          <w:szCs w:val="30"/>
        </w:rPr>
        <w:t>办公室、行政审批</w:t>
      </w:r>
      <w:r>
        <w:rPr>
          <w:rFonts w:hint="eastAsia" w:ascii="仿宋" w:hAnsi="仿宋" w:eastAsia="仿宋" w:cs="仿宋"/>
          <w:sz w:val="30"/>
          <w:szCs w:val="30"/>
          <w:lang w:eastAsia="zh-CN"/>
        </w:rPr>
        <w:t>和法规</w:t>
      </w:r>
      <w:r>
        <w:rPr>
          <w:rFonts w:hint="eastAsia" w:ascii="仿宋" w:hAnsi="仿宋" w:eastAsia="仿宋" w:cs="仿宋"/>
          <w:sz w:val="30"/>
          <w:szCs w:val="30"/>
        </w:rPr>
        <w:t>股、</w:t>
      </w:r>
      <w:r>
        <w:rPr>
          <w:rFonts w:hint="eastAsia" w:ascii="仿宋" w:hAnsi="仿宋" w:eastAsia="仿宋" w:cs="仿宋"/>
          <w:sz w:val="30"/>
          <w:szCs w:val="30"/>
          <w:lang w:eastAsia="zh-CN"/>
        </w:rPr>
        <w:t>城乡</w:t>
      </w:r>
      <w:r>
        <w:rPr>
          <w:rFonts w:hint="eastAsia" w:ascii="仿宋" w:hAnsi="仿宋" w:eastAsia="仿宋" w:cs="仿宋"/>
          <w:sz w:val="30"/>
          <w:szCs w:val="30"/>
        </w:rPr>
        <w:t>建设管理股、建</w:t>
      </w:r>
      <w:r>
        <w:rPr>
          <w:rFonts w:hint="eastAsia" w:ascii="仿宋" w:hAnsi="仿宋" w:eastAsia="仿宋" w:cs="仿宋"/>
          <w:sz w:val="30"/>
          <w:szCs w:val="30"/>
          <w:lang w:eastAsia="zh-CN"/>
        </w:rPr>
        <w:t>设</w:t>
      </w:r>
      <w:r>
        <w:rPr>
          <w:rFonts w:hint="eastAsia" w:ascii="仿宋" w:hAnsi="仿宋" w:eastAsia="仿宋" w:cs="仿宋"/>
          <w:sz w:val="30"/>
          <w:szCs w:val="30"/>
        </w:rPr>
        <w:t>市场管理股</w:t>
      </w:r>
      <w:r>
        <w:rPr>
          <w:rFonts w:hint="eastAsia" w:ascii="仿宋" w:hAnsi="仿宋" w:eastAsia="仿宋" w:cs="仿宋"/>
          <w:sz w:val="30"/>
          <w:szCs w:val="30"/>
          <w:lang w:eastAsia="zh-CN"/>
        </w:rPr>
        <w:t>。</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所属单位3个，分别是：</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1.</w:t>
      </w:r>
      <w:r>
        <w:rPr>
          <w:rFonts w:hint="eastAsia" w:ascii="仿宋" w:hAnsi="仿宋" w:eastAsia="仿宋" w:cs="仿宋"/>
          <w:kern w:val="0"/>
          <w:sz w:val="30"/>
          <w:szCs w:val="30"/>
          <w:highlight w:val="none"/>
          <w:lang w:val="en-US" w:eastAsia="zh-CN"/>
        </w:rPr>
        <w:t>华宁县住房和城乡建设局（本级）</w:t>
      </w:r>
    </w:p>
    <w:p>
      <w:pPr>
        <w:pStyle w:val="3"/>
        <w:keepNext w:val="0"/>
        <w:keepLines w:val="0"/>
        <w:pageBreakBefore w:val="0"/>
        <w:tabs>
          <w:tab w:val="left" w:pos="6373"/>
        </w:tabs>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kern w:val="0"/>
          <w:sz w:val="30"/>
          <w:szCs w:val="30"/>
          <w:highlight w:val="none"/>
          <w:lang w:val="en-US" w:eastAsia="zh-CN"/>
        </w:rPr>
      </w:pPr>
      <w:r>
        <w:rPr>
          <w:rFonts w:hint="eastAsia" w:ascii="仿宋_GB2312" w:eastAsia="仿宋_GB2312"/>
          <w:sz w:val="30"/>
          <w:szCs w:val="30"/>
          <w:highlight w:val="none"/>
          <w:lang w:val="en-US" w:eastAsia="zh-CN"/>
        </w:rPr>
        <w:t>2.</w:t>
      </w:r>
      <w:r>
        <w:rPr>
          <w:rFonts w:hint="eastAsia" w:ascii="仿宋" w:hAnsi="仿宋" w:eastAsia="仿宋" w:cs="仿宋"/>
          <w:kern w:val="0"/>
          <w:sz w:val="30"/>
          <w:szCs w:val="30"/>
          <w:highlight w:val="none"/>
          <w:lang w:val="en-US" w:eastAsia="zh-CN"/>
        </w:rPr>
        <w:t>华宁县房屋管理所</w:t>
      </w:r>
      <w:r>
        <w:rPr>
          <w:rFonts w:hint="eastAsia" w:ascii="仿宋" w:hAnsi="仿宋" w:eastAsia="仿宋" w:cs="仿宋"/>
          <w:kern w:val="0"/>
          <w:sz w:val="30"/>
          <w:szCs w:val="30"/>
          <w:highlight w:val="none"/>
          <w:lang w:val="en-US" w:eastAsia="zh-CN"/>
        </w:rPr>
        <w:tab/>
      </w:r>
    </w:p>
    <w:p>
      <w:pPr>
        <w:pStyle w:val="3"/>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0"/>
          <w:szCs w:val="30"/>
          <w:highlight w:val="none"/>
          <w:lang w:val="en-US" w:eastAsia="zh-CN"/>
        </w:rPr>
        <w:t>3.华宁县建设工程质量监督管理站</w:t>
      </w:r>
    </w:p>
    <w:p>
      <w:pPr>
        <w:keepNext w:val="0"/>
        <w:keepLines w:val="0"/>
        <w:pageBreakBefore w:val="0"/>
        <w:widowControl/>
        <w:kinsoku/>
        <w:overflowPunct/>
        <w:topLinePunct w:val="0"/>
        <w:autoSpaceDN/>
        <w:bidi w:val="0"/>
        <w:adjustRightInd/>
        <w:snapToGrid w:val="0"/>
        <w:spacing w:before="100" w:line="360" w:lineRule="auto"/>
        <w:ind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年度部门决算编报的单位共</w:t>
      </w:r>
      <w:r>
        <w:rPr>
          <w:rFonts w:hint="eastAsia" w:ascii="仿宋_GB2312" w:hAnsi="仿宋_GB2312" w:eastAsia="仿宋_GB2312" w:cs="仿宋_GB2312"/>
          <w:color w:val="auto"/>
          <w:sz w:val="30"/>
          <w:lang w:val="en-US" w:eastAsia="zh-CN"/>
        </w:rPr>
        <w:t>3</w:t>
      </w:r>
      <w:r>
        <w:rPr>
          <w:rFonts w:hint="eastAsia" w:ascii="仿宋_GB2312" w:eastAsia="仿宋_GB2312"/>
          <w:sz w:val="30"/>
          <w:szCs w:val="30"/>
          <w:highlight w:val="none"/>
        </w:rPr>
        <w:t>个。分别是：</w:t>
      </w:r>
    </w:p>
    <w:p>
      <w:pPr>
        <w:keepNext w:val="0"/>
        <w:keepLines w:val="0"/>
        <w:pageBreakBefore w:val="0"/>
        <w:numPr>
          <w:ilvl w:val="0"/>
          <w:numId w:val="2"/>
        </w:numPr>
        <w:kinsoku/>
        <w:overflowPunct/>
        <w:topLinePunct w:val="0"/>
        <w:autoSpaceDN/>
        <w:bidi w:val="0"/>
        <w:adjustRightInd/>
        <w:spacing w:line="360" w:lineRule="auto"/>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华宁县住房和城乡建设局（本级）</w:t>
      </w:r>
    </w:p>
    <w:p>
      <w:pPr>
        <w:keepNext w:val="0"/>
        <w:keepLines w:val="0"/>
        <w:pageBreakBefore w:val="0"/>
        <w:numPr>
          <w:ilvl w:val="0"/>
          <w:numId w:val="0"/>
        </w:numPr>
        <w:kinsoku/>
        <w:overflowPunct/>
        <w:topLinePunct w:val="0"/>
        <w:autoSpaceDN/>
        <w:bidi w:val="0"/>
        <w:adjustRightInd/>
        <w:spacing w:line="360" w:lineRule="auto"/>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eastAsia="仿宋_GB2312"/>
          <w:sz w:val="30"/>
          <w:szCs w:val="30"/>
          <w:highlight w:val="none"/>
          <w:lang w:eastAsia="zh-CN"/>
        </w:rPr>
        <w:t>华宁县房屋管理所</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rPr>
        <w:t>3.</w:t>
      </w:r>
      <w:r>
        <w:rPr>
          <w:rFonts w:hint="eastAsia" w:ascii="仿宋_GB2312" w:eastAsia="仿宋_GB2312"/>
          <w:sz w:val="30"/>
          <w:szCs w:val="30"/>
          <w:highlight w:val="none"/>
          <w:lang w:eastAsia="zh-CN"/>
        </w:rPr>
        <w:t>华宁县建设工程质量监督管理站</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pPr>
        <w:keepNext w:val="0"/>
        <w:keepLines w:val="0"/>
        <w:pageBreakBefore w:val="0"/>
        <w:widowControl/>
        <w:kinsoku/>
        <w:overflowPunct/>
        <w:topLinePunct w:val="0"/>
        <w:autoSpaceDN/>
        <w:bidi w:val="0"/>
        <w:adjustRightInd/>
        <w:snapToGrid w:val="0"/>
        <w:spacing w:before="100" w:line="360" w:lineRule="auto"/>
        <w:ind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32</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24</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hAnsi="仿宋_GB2312" w:eastAsia="仿宋_GB2312" w:cs="仿宋_GB2312"/>
          <w:b w:val="0"/>
          <w:bCs w:val="0"/>
          <w:sz w:val="30"/>
          <w:szCs w:val="30"/>
          <w:highlight w:val="none"/>
          <w:u w:val="none"/>
          <w:lang w:val="en-US" w:eastAsia="zh-CN"/>
        </w:rPr>
      </w:pPr>
      <w:r>
        <w:rPr>
          <w:rFonts w:hint="eastAsia" w:ascii="仿宋_GB2312" w:hAnsi="仿宋_GB2312" w:eastAsia="仿宋_GB2312" w:cs="仿宋_GB2312"/>
          <w:b w:val="0"/>
          <w:bCs w:val="0"/>
          <w:sz w:val="30"/>
          <w:szCs w:val="30"/>
          <w:highlight w:val="none"/>
          <w:u w:val="none"/>
          <w:lang w:val="en-US" w:eastAsia="zh-CN"/>
        </w:rPr>
        <w:t>车辆编制1辆，在编实有车辆0辆，超编0辆。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0" w:firstLineChars="200"/>
        <w:jc w:val="both"/>
        <w:textAlignment w:val="auto"/>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重点工作概述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1.经济指标完成情况。</w:t>
      </w:r>
      <w:r>
        <w:rPr>
          <w:rFonts w:hint="eastAsia" w:ascii="仿宋" w:hAnsi="仿宋" w:eastAsia="仿宋" w:cs="仿宋"/>
          <w:b w:val="0"/>
          <w:bCs w:val="0"/>
          <w:sz w:val="30"/>
          <w:szCs w:val="30"/>
          <w:lang w:val="en-US" w:eastAsia="zh-CN"/>
        </w:rPr>
        <w:t>一是房地产业</w:t>
      </w:r>
      <w:r>
        <w:rPr>
          <w:rFonts w:hint="eastAsia" w:ascii="仿宋" w:hAnsi="仿宋" w:eastAsia="仿宋" w:cs="仿宋"/>
          <w:sz w:val="30"/>
          <w:szCs w:val="30"/>
          <w:lang w:val="en-US" w:eastAsia="zh-CN"/>
        </w:rPr>
        <w:t>。2024年完成房地产投资51,370.00万元，同比增长20.70%，完成商品房销售面积51,205.20平方米，同比增长-23.%；1-3季度房地产从业人员工资预计完成15,535.00千元，同比增长-2.33%。2024年办理合同网签备案572起，交易面积88,840.00平方米，交易金额39,925.00万元，其中：商品房交易388起，交易面积64,707.00平方米，交易金额31,740.00万元；二手房交易184起，交易面积24,133.00平方米，交易金额8,185.00万元。</w:t>
      </w:r>
      <w:r>
        <w:rPr>
          <w:rFonts w:hint="eastAsia" w:ascii="仿宋" w:hAnsi="仿宋" w:eastAsia="仿宋" w:cs="仿宋"/>
          <w:b/>
          <w:bCs/>
          <w:sz w:val="30"/>
          <w:szCs w:val="30"/>
          <w:lang w:val="en-US" w:eastAsia="zh-CN"/>
        </w:rPr>
        <w:t>二</w:t>
      </w:r>
      <w:r>
        <w:rPr>
          <w:rFonts w:hint="eastAsia" w:ascii="仿宋" w:hAnsi="仿宋" w:eastAsia="仿宋" w:cs="仿宋"/>
          <w:b w:val="0"/>
          <w:bCs w:val="0"/>
          <w:sz w:val="30"/>
          <w:szCs w:val="30"/>
          <w:lang w:val="en-US" w:eastAsia="zh-CN"/>
        </w:rPr>
        <w:t>是建筑业</w:t>
      </w:r>
      <w:r>
        <w:rPr>
          <w:rFonts w:hint="eastAsia" w:ascii="仿宋" w:hAnsi="仿宋" w:eastAsia="仿宋" w:cs="仿宋"/>
          <w:sz w:val="30"/>
          <w:szCs w:val="30"/>
          <w:lang w:val="en-US" w:eastAsia="zh-CN"/>
        </w:rPr>
        <w:t>。2024年县内21户在库资质建筑业企业完成建筑业总产值8.20亿元，同比增速8.26%。根据《华宁县2024年9月经营主体监测情况报告》，目前实有登记注册建筑企业243户，较2023年底226户净增17户，同比增长13.02%。1-10月华宁县新增入库建筑业企业4户，分别为：云南固滇建设工程有限公司、云南荣泰建设工程有限公司、云南筑佳建设工程有限公司、华宁宏屿工程管理有限公司，现有在库资质建筑业企业22户。</w:t>
      </w:r>
    </w:p>
    <w:p>
      <w:pPr>
        <w:pStyle w:val="5"/>
        <w:keepNext w:val="0"/>
        <w:keepLines w:val="0"/>
        <w:pageBreakBefore w:val="0"/>
        <w:kinsoku/>
        <w:overflowPunct/>
        <w:topLinePunct w:val="0"/>
        <w:autoSpaceDN/>
        <w:bidi w:val="0"/>
        <w:adjustRightInd/>
        <w:spacing w:line="360" w:lineRule="auto"/>
        <w:ind w:left="0" w:leftChars="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kern w:val="2"/>
          <w:sz w:val="30"/>
          <w:szCs w:val="30"/>
          <w:lang w:val="en-US" w:eastAsia="zh-CN" w:bidi="ar-SA"/>
        </w:rPr>
        <w:t>2.重点项目推进</w:t>
      </w:r>
      <w:r>
        <w:rPr>
          <w:rFonts w:hint="eastAsia" w:ascii="仿宋" w:hAnsi="仿宋" w:eastAsia="仿宋" w:cs="仿宋"/>
          <w:sz w:val="30"/>
          <w:szCs w:val="30"/>
          <w:lang w:val="en-US" w:eastAsia="zh-CN"/>
        </w:rPr>
        <w:t>。</w:t>
      </w:r>
      <w:r>
        <w:rPr>
          <w:rFonts w:hint="eastAsia" w:ascii="仿宋" w:hAnsi="仿宋" w:eastAsia="仿宋" w:cs="仿宋"/>
          <w:b w:val="0"/>
          <w:bCs w:val="0"/>
          <w:sz w:val="30"/>
          <w:szCs w:val="30"/>
          <w:lang w:val="en-US" w:eastAsia="zh-CN"/>
        </w:rPr>
        <w:t>一是“美丽县城”PPP项目总体平稳推进。</w:t>
      </w:r>
      <w:r>
        <w:rPr>
          <w:rFonts w:hint="eastAsia" w:ascii="仿宋" w:hAnsi="仿宋" w:eastAsia="仿宋" w:cs="仿宋"/>
          <w:sz w:val="30"/>
          <w:szCs w:val="30"/>
          <w:lang w:val="en-US" w:eastAsia="zh-CN"/>
        </w:rPr>
        <w:t>珠山路扩建工程已启动右幅道路施工，建成沙河桥、东风路桥、黄龙路桥、陶博物馆辅道桥梁并通车。陶博物馆项目已完成</w:t>
      </w:r>
      <w:r>
        <w:rPr>
          <w:rFonts w:hint="eastAsia" w:ascii="仿宋" w:hAnsi="仿宋" w:eastAsia="仿宋" w:cs="仿宋"/>
          <w:kern w:val="2"/>
          <w:sz w:val="30"/>
          <w:szCs w:val="30"/>
          <w:lang w:val="en-US" w:eastAsia="zh-CN" w:bidi="ar-SA"/>
        </w:rPr>
        <w:t>1、2、3、4</w:t>
      </w:r>
      <w:r>
        <w:rPr>
          <w:rFonts w:hint="eastAsia" w:ascii="仿宋" w:hAnsi="仿宋" w:eastAsia="仿宋" w:cs="仿宋"/>
          <w:sz w:val="30"/>
          <w:szCs w:val="30"/>
          <w:lang w:val="en-US" w:eastAsia="zh-CN"/>
        </w:rPr>
        <w:t>号楼建筑主体建设，室外雨污水、强弱电、消防、给水等管网埋设完成，正在实施室外道路压实回填、景观绿化、广场铺装平整施工。江华路路灯安装工程启动实施。</w:t>
      </w:r>
      <w:r>
        <w:rPr>
          <w:rFonts w:hint="eastAsia" w:ascii="仿宋" w:hAnsi="仿宋" w:eastAsia="仿宋" w:cs="仿宋"/>
          <w:b w:val="0"/>
          <w:bCs w:val="0"/>
          <w:sz w:val="30"/>
          <w:szCs w:val="30"/>
          <w:lang w:val="en-US" w:eastAsia="zh-CN"/>
        </w:rPr>
        <w:t>二是“一水两污”项目有序推进。</w:t>
      </w:r>
      <w:r>
        <w:rPr>
          <w:rFonts w:hint="eastAsia" w:ascii="仿宋" w:hAnsi="仿宋" w:eastAsia="仿宋" w:cs="仿宋"/>
          <w:sz w:val="30"/>
          <w:szCs w:val="30"/>
          <w:lang w:val="en-US" w:eastAsia="zh-CN"/>
        </w:rPr>
        <w:t>完成盘溪镇、青龙镇、县城</w:t>
      </w:r>
      <w:r>
        <w:rPr>
          <w:rFonts w:hint="eastAsia" w:ascii="仿宋" w:hAnsi="仿宋" w:eastAsia="仿宋" w:cs="仿宋"/>
          <w:kern w:val="2"/>
          <w:sz w:val="30"/>
          <w:szCs w:val="30"/>
          <w:lang w:val="en-US" w:eastAsia="zh-CN" w:bidi="ar-SA"/>
        </w:rPr>
        <w:t>3</w:t>
      </w:r>
      <w:r>
        <w:rPr>
          <w:rFonts w:hint="eastAsia" w:ascii="仿宋" w:hAnsi="仿宋" w:eastAsia="仿宋" w:cs="仿宋"/>
          <w:sz w:val="30"/>
          <w:szCs w:val="30"/>
          <w:lang w:val="en-US" w:eastAsia="zh-CN"/>
        </w:rPr>
        <w:t>个生活</w:t>
      </w:r>
      <w:r>
        <w:rPr>
          <w:rFonts w:hint="eastAsia" w:ascii="仿宋" w:hAnsi="仿宋" w:eastAsia="仿宋" w:cs="仿宋"/>
          <w:b w:val="0"/>
          <w:bCs w:val="0"/>
          <w:sz w:val="30"/>
          <w:szCs w:val="30"/>
          <w:lang w:val="en-US" w:eastAsia="zh-CN"/>
        </w:rPr>
        <w:t>垃圾处理场整治项目和盘溪镇县城污水管网完善工程。三是保障性租赁住房项目开工建设。盘溪</w:t>
      </w:r>
      <w:r>
        <w:rPr>
          <w:rFonts w:hint="eastAsia" w:ascii="仿宋" w:hAnsi="仿宋" w:eastAsia="仿宋" w:cs="仿宋"/>
          <w:kern w:val="2"/>
          <w:sz w:val="30"/>
          <w:szCs w:val="30"/>
          <w:lang w:val="en-US" w:eastAsia="zh-CN" w:bidi="ar-SA"/>
        </w:rPr>
        <w:t>400</w:t>
      </w:r>
      <w:r>
        <w:rPr>
          <w:rFonts w:hint="eastAsia" w:ascii="仿宋" w:hAnsi="仿宋" w:eastAsia="仿宋" w:cs="仿宋"/>
          <w:b w:val="0"/>
          <w:bCs w:val="0"/>
          <w:sz w:val="30"/>
          <w:szCs w:val="30"/>
          <w:lang w:val="en-US" w:eastAsia="zh-CN"/>
        </w:rPr>
        <w:t>套保障性租赁住房完成主体工程，宁州择木居</w:t>
      </w:r>
      <w:r>
        <w:rPr>
          <w:rFonts w:hint="eastAsia" w:ascii="仿宋" w:hAnsi="仿宋" w:eastAsia="仿宋" w:cs="仿宋"/>
          <w:kern w:val="2"/>
          <w:sz w:val="30"/>
          <w:szCs w:val="30"/>
          <w:lang w:val="en-US" w:eastAsia="zh-CN" w:bidi="ar-SA"/>
        </w:rPr>
        <w:t>368</w:t>
      </w:r>
      <w:r>
        <w:rPr>
          <w:rFonts w:hint="eastAsia" w:ascii="仿宋" w:hAnsi="仿宋" w:eastAsia="仿宋" w:cs="仿宋"/>
          <w:b w:val="0"/>
          <w:bCs w:val="0"/>
          <w:sz w:val="30"/>
          <w:szCs w:val="30"/>
          <w:lang w:val="en-US" w:eastAsia="zh-CN"/>
        </w:rPr>
        <w:t>套保障性租赁住房开工建设。</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3.住房保障情况。</w:t>
      </w:r>
      <w:r>
        <w:rPr>
          <w:rFonts w:hint="eastAsia" w:ascii="仿宋" w:hAnsi="仿宋" w:eastAsia="仿宋" w:cs="仿宋"/>
          <w:b w:val="0"/>
          <w:bCs w:val="0"/>
          <w:sz w:val="30"/>
          <w:szCs w:val="30"/>
          <w:lang w:val="en-US" w:eastAsia="zh-CN"/>
        </w:rPr>
        <w:t>一是</w:t>
      </w:r>
      <w:r>
        <w:rPr>
          <w:rFonts w:hint="eastAsia" w:ascii="仿宋" w:hAnsi="仿宋" w:eastAsia="仿宋" w:cs="仿宋"/>
          <w:sz w:val="30"/>
          <w:szCs w:val="30"/>
          <w:lang w:val="en-US" w:eastAsia="zh-CN"/>
        </w:rPr>
        <w:t>开展公共租赁住房房分配工作，</w:t>
      </w:r>
      <w:r>
        <w:rPr>
          <w:rFonts w:hint="eastAsia" w:ascii="仿宋" w:hAnsi="仿宋" w:eastAsia="仿宋" w:cs="仿宋"/>
          <w:kern w:val="2"/>
          <w:sz w:val="30"/>
          <w:szCs w:val="30"/>
          <w:lang w:val="en-US" w:eastAsia="zh-CN" w:bidi="ar-SA"/>
        </w:rPr>
        <w:t>2024</w:t>
      </w:r>
      <w:r>
        <w:rPr>
          <w:rFonts w:hint="eastAsia" w:ascii="仿宋" w:hAnsi="仿宋" w:eastAsia="仿宋" w:cs="仿宋"/>
          <w:sz w:val="30"/>
          <w:szCs w:val="30"/>
          <w:lang w:val="en-US" w:eastAsia="zh-CN"/>
        </w:rPr>
        <w:t>年共计分配公共租赁住房</w:t>
      </w:r>
      <w:r>
        <w:rPr>
          <w:rFonts w:hint="eastAsia" w:ascii="仿宋" w:hAnsi="仿宋" w:eastAsia="仿宋" w:cs="仿宋"/>
          <w:kern w:val="2"/>
          <w:sz w:val="30"/>
          <w:szCs w:val="30"/>
          <w:lang w:val="en-US" w:eastAsia="zh-CN" w:bidi="ar-SA"/>
        </w:rPr>
        <w:t>68</w:t>
      </w:r>
      <w:r>
        <w:rPr>
          <w:rFonts w:hint="eastAsia" w:ascii="仿宋" w:hAnsi="仿宋" w:eastAsia="仿宋" w:cs="仿宋"/>
          <w:sz w:val="30"/>
          <w:szCs w:val="30"/>
          <w:lang w:val="en-US" w:eastAsia="zh-CN"/>
        </w:rPr>
        <w:t>套。</w:t>
      </w:r>
      <w:r>
        <w:rPr>
          <w:rFonts w:hint="eastAsia" w:ascii="仿宋" w:hAnsi="仿宋" w:eastAsia="仿宋" w:cs="仿宋"/>
          <w:b w:val="0"/>
          <w:bCs w:val="0"/>
          <w:sz w:val="30"/>
          <w:szCs w:val="30"/>
          <w:lang w:val="en-US" w:eastAsia="zh-CN"/>
        </w:rPr>
        <w:t>二是</w:t>
      </w:r>
      <w:r>
        <w:rPr>
          <w:rFonts w:hint="eastAsia" w:ascii="仿宋" w:hAnsi="仿宋" w:eastAsia="仿宋" w:cs="仿宋"/>
          <w:sz w:val="30"/>
          <w:szCs w:val="30"/>
          <w:lang w:val="en-US" w:eastAsia="zh-CN"/>
        </w:rPr>
        <w:t>完成住房租赁补贴发放任务</w:t>
      </w:r>
      <w:r>
        <w:rPr>
          <w:rFonts w:hint="eastAsia" w:ascii="仿宋" w:hAnsi="仿宋" w:eastAsia="仿宋" w:cs="仿宋"/>
          <w:kern w:val="2"/>
          <w:sz w:val="30"/>
          <w:szCs w:val="30"/>
          <w:lang w:val="en-US" w:eastAsia="zh-CN" w:bidi="ar-SA"/>
        </w:rPr>
        <w:t>600</w:t>
      </w:r>
      <w:r>
        <w:rPr>
          <w:rFonts w:hint="eastAsia" w:ascii="仿宋" w:hAnsi="仿宋" w:eastAsia="仿宋" w:cs="仿宋"/>
          <w:sz w:val="30"/>
          <w:szCs w:val="30"/>
          <w:lang w:val="en-US" w:eastAsia="zh-CN"/>
        </w:rPr>
        <w:t>户，发放资金</w:t>
      </w:r>
      <w:r>
        <w:rPr>
          <w:rFonts w:hint="eastAsia" w:ascii="仿宋" w:hAnsi="仿宋" w:eastAsia="仿宋" w:cs="仿宋"/>
          <w:kern w:val="2"/>
          <w:sz w:val="30"/>
          <w:szCs w:val="30"/>
          <w:lang w:val="en-US" w:eastAsia="zh-CN" w:bidi="ar-SA"/>
        </w:rPr>
        <w:t>582,516.00</w:t>
      </w:r>
      <w:r>
        <w:rPr>
          <w:rFonts w:hint="eastAsia" w:ascii="仿宋" w:hAnsi="仿宋" w:eastAsia="仿宋" w:cs="仿宋"/>
          <w:sz w:val="30"/>
          <w:szCs w:val="30"/>
          <w:lang w:val="en-US" w:eastAsia="zh-CN"/>
        </w:rPr>
        <w:t>元。</w:t>
      </w:r>
      <w:r>
        <w:rPr>
          <w:rFonts w:hint="eastAsia" w:ascii="仿宋" w:hAnsi="仿宋" w:eastAsia="仿宋" w:cs="仿宋"/>
          <w:b w:val="0"/>
          <w:bCs w:val="0"/>
          <w:sz w:val="30"/>
          <w:szCs w:val="30"/>
          <w:lang w:val="en-US" w:eastAsia="zh-CN"/>
        </w:rPr>
        <w:t>三是</w:t>
      </w:r>
      <w:r>
        <w:rPr>
          <w:rFonts w:hint="eastAsia" w:ascii="仿宋" w:hAnsi="仿宋" w:eastAsia="仿宋" w:cs="仿宋"/>
          <w:sz w:val="30"/>
          <w:szCs w:val="30"/>
          <w:lang w:val="en-US" w:eastAsia="zh-CN"/>
        </w:rPr>
        <w:t>开展农村危房改造。</w:t>
      </w:r>
      <w:r>
        <w:rPr>
          <w:rFonts w:hint="eastAsia" w:ascii="仿宋" w:hAnsi="仿宋" w:eastAsia="仿宋" w:cs="仿宋"/>
          <w:kern w:val="2"/>
          <w:sz w:val="30"/>
          <w:szCs w:val="30"/>
          <w:lang w:val="en-US" w:eastAsia="zh-CN" w:bidi="ar-SA"/>
        </w:rPr>
        <w:t>2024</w:t>
      </w:r>
      <w:r>
        <w:rPr>
          <w:rFonts w:hint="eastAsia" w:ascii="仿宋" w:hAnsi="仿宋" w:eastAsia="仿宋" w:cs="仿宋"/>
          <w:sz w:val="30"/>
          <w:szCs w:val="30"/>
          <w:lang w:val="en-US" w:eastAsia="zh-CN"/>
        </w:rPr>
        <w:t>年改造任务</w:t>
      </w:r>
      <w:r>
        <w:rPr>
          <w:rFonts w:hint="eastAsia" w:ascii="仿宋" w:hAnsi="仿宋" w:eastAsia="仿宋" w:cs="仿宋"/>
          <w:kern w:val="2"/>
          <w:sz w:val="30"/>
          <w:szCs w:val="30"/>
          <w:lang w:val="en-US" w:eastAsia="zh-CN" w:bidi="ar-SA"/>
        </w:rPr>
        <w:t>103</w:t>
      </w:r>
      <w:r>
        <w:rPr>
          <w:rFonts w:hint="eastAsia" w:ascii="仿宋" w:hAnsi="仿宋" w:eastAsia="仿宋" w:cs="仿宋"/>
          <w:sz w:val="30"/>
          <w:szCs w:val="30"/>
          <w:lang w:val="en-US" w:eastAsia="zh-CN"/>
        </w:rPr>
        <w:t>户，下达中央补助资金</w:t>
      </w:r>
      <w:r>
        <w:rPr>
          <w:rFonts w:hint="eastAsia" w:ascii="仿宋" w:hAnsi="仿宋" w:eastAsia="仿宋" w:cs="仿宋"/>
          <w:kern w:val="2"/>
          <w:sz w:val="30"/>
          <w:szCs w:val="30"/>
          <w:lang w:val="en-US" w:eastAsia="zh-CN" w:bidi="ar-SA"/>
        </w:rPr>
        <w:t>215.40</w:t>
      </w:r>
      <w:r>
        <w:rPr>
          <w:rFonts w:hint="eastAsia" w:ascii="仿宋" w:hAnsi="仿宋" w:eastAsia="仿宋" w:cs="仿宋"/>
          <w:sz w:val="30"/>
          <w:szCs w:val="30"/>
          <w:lang w:val="en-US" w:eastAsia="zh-CN"/>
        </w:rPr>
        <w:t>万元，目前已开工</w:t>
      </w:r>
      <w:r>
        <w:rPr>
          <w:rFonts w:hint="eastAsia" w:ascii="仿宋" w:hAnsi="仿宋" w:eastAsia="仿宋" w:cs="仿宋"/>
          <w:kern w:val="2"/>
          <w:sz w:val="30"/>
          <w:szCs w:val="30"/>
          <w:lang w:val="en-US" w:eastAsia="zh-CN" w:bidi="ar-SA"/>
        </w:rPr>
        <w:t>103</w:t>
      </w:r>
      <w:r>
        <w:rPr>
          <w:rFonts w:hint="eastAsia" w:ascii="仿宋" w:hAnsi="仿宋" w:eastAsia="仿宋" w:cs="仿宋"/>
          <w:sz w:val="30"/>
          <w:szCs w:val="30"/>
          <w:lang w:val="en-US" w:eastAsia="zh-CN"/>
        </w:rPr>
        <w:t>户，已兑付资金</w:t>
      </w:r>
      <w:r>
        <w:rPr>
          <w:rFonts w:hint="eastAsia" w:ascii="仿宋" w:hAnsi="仿宋" w:eastAsia="仿宋" w:cs="仿宋"/>
          <w:kern w:val="2"/>
          <w:sz w:val="30"/>
          <w:szCs w:val="30"/>
          <w:lang w:val="en-US" w:eastAsia="zh-CN" w:bidi="ar-SA"/>
        </w:rPr>
        <w:t>100.00</w:t>
      </w:r>
      <w:r>
        <w:rPr>
          <w:rFonts w:hint="eastAsia" w:ascii="仿宋" w:hAnsi="仿宋" w:eastAsia="仿宋" w:cs="仿宋"/>
          <w:sz w:val="30"/>
          <w:szCs w:val="30"/>
          <w:lang w:val="en-US" w:eastAsia="zh-CN"/>
        </w:rPr>
        <w:t>万元，资金兑付率</w:t>
      </w:r>
      <w:r>
        <w:rPr>
          <w:rFonts w:hint="eastAsia" w:ascii="仿宋" w:hAnsi="仿宋" w:eastAsia="仿宋" w:cs="仿宋"/>
          <w:kern w:val="2"/>
          <w:sz w:val="30"/>
          <w:szCs w:val="30"/>
          <w:lang w:val="en-US" w:eastAsia="zh-CN" w:bidi="ar-SA"/>
        </w:rPr>
        <w:t>46.42%</w:t>
      </w:r>
      <w:r>
        <w:rPr>
          <w:rFonts w:hint="eastAsia" w:ascii="仿宋" w:hAnsi="仿宋" w:eastAsia="仿宋" w:cs="仿宋"/>
          <w:sz w:val="30"/>
          <w:szCs w:val="30"/>
          <w:lang w:val="en-US" w:eastAsia="zh-CN"/>
        </w:rPr>
        <w:t>，预计</w:t>
      </w:r>
      <w:r>
        <w:rPr>
          <w:rFonts w:hint="eastAsia" w:ascii="仿宋" w:hAnsi="仿宋" w:eastAsia="仿宋" w:cs="仿宋"/>
          <w:kern w:val="2"/>
          <w:sz w:val="30"/>
          <w:szCs w:val="30"/>
          <w:lang w:val="en-US" w:eastAsia="zh-CN" w:bidi="ar-SA"/>
        </w:rPr>
        <w:t>12</w:t>
      </w:r>
      <w:r>
        <w:rPr>
          <w:rFonts w:hint="eastAsia" w:ascii="仿宋" w:hAnsi="仿宋" w:eastAsia="仿宋" w:cs="仿宋"/>
          <w:sz w:val="30"/>
          <w:szCs w:val="30"/>
          <w:lang w:val="en-US" w:eastAsia="zh-CN"/>
        </w:rPr>
        <w:t>月份全面竣工。</w:t>
      </w:r>
      <w:r>
        <w:rPr>
          <w:rFonts w:hint="eastAsia" w:ascii="仿宋" w:hAnsi="仿宋" w:eastAsia="仿宋" w:cs="仿宋"/>
          <w:b w:val="0"/>
          <w:bCs w:val="0"/>
          <w:sz w:val="30"/>
          <w:szCs w:val="30"/>
          <w:lang w:val="en-US" w:eastAsia="zh-CN"/>
        </w:rPr>
        <w:t>四是</w:t>
      </w:r>
      <w:r>
        <w:rPr>
          <w:rFonts w:hint="eastAsia" w:ascii="仿宋" w:hAnsi="仿宋" w:eastAsia="仿宋" w:cs="仿宋"/>
          <w:sz w:val="30"/>
          <w:szCs w:val="30"/>
          <w:lang w:val="en-US" w:eastAsia="zh-CN"/>
        </w:rPr>
        <w:t>常态化开展自建房排查，非经营性自建房排查发现问题房屋</w:t>
      </w:r>
      <w:r>
        <w:rPr>
          <w:rFonts w:hint="eastAsia" w:ascii="仿宋" w:hAnsi="仿宋" w:eastAsia="仿宋" w:cs="仿宋"/>
          <w:kern w:val="2"/>
          <w:sz w:val="30"/>
          <w:szCs w:val="30"/>
          <w:lang w:val="en-US" w:eastAsia="zh-CN" w:bidi="ar-SA"/>
        </w:rPr>
        <w:t>251</w:t>
      </w:r>
      <w:r>
        <w:rPr>
          <w:rFonts w:hint="eastAsia" w:ascii="仿宋" w:hAnsi="仿宋" w:eastAsia="仿宋" w:cs="仿宋"/>
          <w:sz w:val="30"/>
          <w:szCs w:val="30"/>
          <w:lang w:val="en-US" w:eastAsia="zh-CN"/>
        </w:rPr>
        <w:t>栋，目前已推进整治销号</w:t>
      </w:r>
      <w:r>
        <w:rPr>
          <w:rFonts w:hint="eastAsia" w:ascii="仿宋" w:hAnsi="仿宋" w:eastAsia="仿宋" w:cs="仿宋"/>
          <w:kern w:val="2"/>
          <w:sz w:val="30"/>
          <w:szCs w:val="30"/>
          <w:lang w:val="en-US" w:eastAsia="zh-CN" w:bidi="ar-SA"/>
        </w:rPr>
        <w:t>106</w:t>
      </w:r>
      <w:r>
        <w:rPr>
          <w:rFonts w:hint="eastAsia" w:ascii="仿宋" w:hAnsi="仿宋" w:eastAsia="仿宋" w:cs="仿宋"/>
          <w:sz w:val="30"/>
          <w:szCs w:val="30"/>
          <w:lang w:val="en-US" w:eastAsia="zh-CN"/>
        </w:rPr>
        <w:t>栋，整治销号率</w:t>
      </w:r>
      <w:r>
        <w:rPr>
          <w:rFonts w:hint="eastAsia" w:ascii="仿宋" w:hAnsi="仿宋" w:eastAsia="仿宋" w:cs="仿宋"/>
          <w:kern w:val="2"/>
          <w:sz w:val="30"/>
          <w:szCs w:val="30"/>
          <w:lang w:val="en-US" w:eastAsia="zh-CN" w:bidi="ar-SA"/>
        </w:rPr>
        <w:t>42.23%</w:t>
      </w:r>
      <w:r>
        <w:rPr>
          <w:rFonts w:hint="eastAsia" w:ascii="仿宋" w:hAnsi="仿宋" w:eastAsia="仿宋" w:cs="仿宋"/>
          <w:sz w:val="30"/>
          <w:szCs w:val="30"/>
          <w:lang w:val="en-US" w:eastAsia="zh-CN"/>
        </w:rPr>
        <w:t>，正按照销号时间部署稳步推进。</w:t>
      </w:r>
    </w:p>
    <w:p>
      <w:pPr>
        <w:keepNext w:val="0"/>
        <w:keepLines w:val="0"/>
        <w:pageBreakBefore w:val="0"/>
        <w:kinsoku/>
        <w:overflowPunct/>
        <w:topLinePunct w:val="0"/>
        <w:autoSpaceDN/>
        <w:bidi w:val="0"/>
        <w:adjustRightInd/>
        <w:spacing w:line="360" w:lineRule="auto"/>
        <w:ind w:firstLine="300" w:firstLineChars="1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4.建筑市场管理。</w:t>
      </w:r>
      <w:r>
        <w:rPr>
          <w:rFonts w:hint="eastAsia" w:ascii="仿宋" w:hAnsi="仿宋" w:eastAsia="仿宋" w:cs="仿宋"/>
          <w:b w:val="0"/>
          <w:bCs w:val="0"/>
          <w:sz w:val="30"/>
          <w:szCs w:val="30"/>
          <w:lang w:val="en-US" w:eastAsia="zh-CN"/>
        </w:rPr>
        <w:t>一是</w:t>
      </w:r>
      <w:r>
        <w:rPr>
          <w:rFonts w:hint="eastAsia" w:ascii="仿宋" w:hAnsi="仿宋" w:eastAsia="仿宋" w:cs="仿宋"/>
          <w:sz w:val="30"/>
          <w:szCs w:val="30"/>
          <w:lang w:val="en-US" w:eastAsia="zh-CN"/>
        </w:rPr>
        <w:t>行政审批和执法情况</w:t>
      </w:r>
      <w:r>
        <w:rPr>
          <w:rFonts w:hint="eastAsia" w:ascii="仿宋" w:hAnsi="仿宋" w:eastAsia="仿宋" w:cs="仿宋"/>
          <w:kern w:val="2"/>
          <w:sz w:val="30"/>
          <w:szCs w:val="30"/>
          <w:lang w:val="en-US" w:eastAsia="zh-CN" w:bidi="ar-SA"/>
        </w:rPr>
        <w:t>。2024</w:t>
      </w:r>
      <w:r>
        <w:rPr>
          <w:rFonts w:hint="eastAsia" w:ascii="仿宋" w:hAnsi="仿宋" w:eastAsia="仿宋" w:cs="仿宋"/>
          <w:sz w:val="30"/>
          <w:szCs w:val="30"/>
          <w:lang w:val="en-US" w:eastAsia="zh-CN"/>
        </w:rPr>
        <w:t>年共审批核发建筑工程施工许可证</w:t>
      </w:r>
      <w:r>
        <w:rPr>
          <w:rFonts w:hint="eastAsia" w:ascii="仿宋" w:hAnsi="仿宋" w:eastAsia="仿宋" w:cs="仿宋"/>
          <w:kern w:val="2"/>
          <w:sz w:val="30"/>
          <w:szCs w:val="30"/>
          <w:lang w:val="en-US" w:eastAsia="zh-CN" w:bidi="ar-SA"/>
        </w:rPr>
        <w:t>8</w:t>
      </w:r>
      <w:r>
        <w:rPr>
          <w:rFonts w:hint="eastAsia" w:ascii="仿宋" w:hAnsi="仿宋" w:eastAsia="仿宋" w:cs="仿宋"/>
          <w:sz w:val="30"/>
          <w:szCs w:val="30"/>
          <w:lang w:val="en-US" w:eastAsia="zh-CN"/>
        </w:rPr>
        <w:t>项；办结房屋建筑工程和市政工程初步设计审批</w:t>
      </w:r>
      <w:r>
        <w:rPr>
          <w:rFonts w:hint="eastAsia" w:ascii="仿宋" w:hAnsi="仿宋" w:eastAsia="仿宋" w:cs="仿宋"/>
          <w:kern w:val="2"/>
          <w:sz w:val="30"/>
          <w:szCs w:val="30"/>
          <w:lang w:val="en-US" w:eastAsia="zh-CN" w:bidi="ar-SA"/>
        </w:rPr>
        <w:t>2</w:t>
      </w:r>
      <w:r>
        <w:rPr>
          <w:rFonts w:hint="eastAsia" w:ascii="仿宋" w:hAnsi="仿宋" w:eastAsia="仿宋" w:cs="仿宋"/>
          <w:sz w:val="30"/>
          <w:szCs w:val="30"/>
          <w:lang w:val="en-US" w:eastAsia="zh-CN"/>
        </w:rPr>
        <w:t>件；办结建设工程消防设计审查</w:t>
      </w:r>
      <w:r>
        <w:rPr>
          <w:rFonts w:hint="eastAsia" w:ascii="仿宋" w:hAnsi="仿宋" w:eastAsia="仿宋" w:cs="仿宋"/>
          <w:kern w:val="2"/>
          <w:sz w:val="30"/>
          <w:szCs w:val="30"/>
          <w:lang w:val="en-US" w:eastAsia="zh-CN" w:bidi="ar-SA"/>
        </w:rPr>
        <w:t>6</w:t>
      </w:r>
      <w:r>
        <w:rPr>
          <w:rFonts w:hint="eastAsia" w:ascii="仿宋" w:hAnsi="仿宋" w:eastAsia="仿宋" w:cs="仿宋"/>
          <w:sz w:val="30"/>
          <w:szCs w:val="30"/>
          <w:lang w:val="en-US" w:eastAsia="zh-CN"/>
        </w:rPr>
        <w:t>件、建设工程竣工消防验收</w:t>
      </w:r>
      <w:r>
        <w:rPr>
          <w:rFonts w:hint="eastAsia" w:ascii="仿宋" w:hAnsi="仿宋" w:eastAsia="仿宋" w:cs="仿宋"/>
          <w:kern w:val="2"/>
          <w:sz w:val="30"/>
          <w:szCs w:val="30"/>
          <w:lang w:val="en-US" w:eastAsia="zh-CN" w:bidi="ar-SA"/>
        </w:rPr>
        <w:t>5</w:t>
      </w:r>
      <w:r>
        <w:rPr>
          <w:rFonts w:hint="eastAsia" w:ascii="仿宋" w:hAnsi="仿宋" w:eastAsia="仿宋" w:cs="仿宋"/>
          <w:sz w:val="30"/>
          <w:szCs w:val="30"/>
          <w:lang w:val="en-US" w:eastAsia="zh-CN"/>
        </w:rPr>
        <w:t>件，建设工程竣工消防验收备案</w:t>
      </w:r>
      <w:r>
        <w:rPr>
          <w:rFonts w:hint="eastAsia" w:ascii="仿宋" w:hAnsi="仿宋" w:eastAsia="仿宋" w:cs="仿宋"/>
          <w:kern w:val="2"/>
          <w:sz w:val="30"/>
          <w:szCs w:val="30"/>
          <w:lang w:val="en-US" w:eastAsia="zh-CN" w:bidi="ar-SA"/>
        </w:rPr>
        <w:t>5</w:t>
      </w:r>
      <w:r>
        <w:rPr>
          <w:rFonts w:hint="eastAsia" w:ascii="仿宋" w:hAnsi="仿宋" w:eastAsia="仿宋" w:cs="仿宋"/>
          <w:sz w:val="30"/>
          <w:szCs w:val="30"/>
          <w:lang w:val="en-US" w:eastAsia="zh-CN"/>
        </w:rPr>
        <w:t>件，完成建筑工程招标备案</w:t>
      </w:r>
      <w:r>
        <w:rPr>
          <w:rFonts w:hint="eastAsia" w:ascii="仿宋" w:hAnsi="仿宋" w:eastAsia="仿宋" w:cs="仿宋"/>
          <w:kern w:val="2"/>
          <w:sz w:val="30"/>
          <w:szCs w:val="30"/>
          <w:lang w:val="en-US" w:eastAsia="zh-CN" w:bidi="ar-SA"/>
        </w:rPr>
        <w:t>3</w:t>
      </w:r>
      <w:r>
        <w:rPr>
          <w:rFonts w:hint="eastAsia" w:ascii="仿宋" w:hAnsi="仿宋" w:eastAsia="仿宋" w:cs="仿宋"/>
          <w:sz w:val="30"/>
          <w:szCs w:val="30"/>
          <w:lang w:val="en-US" w:eastAsia="zh-CN"/>
        </w:rPr>
        <w:t>项。查处未办理施工许可擅自开工建设违法行为1件，罚款金额共计</w:t>
      </w:r>
      <w:r>
        <w:rPr>
          <w:rFonts w:hint="eastAsia" w:ascii="仿宋" w:hAnsi="仿宋" w:eastAsia="仿宋" w:cs="仿宋"/>
          <w:kern w:val="2"/>
          <w:sz w:val="30"/>
          <w:szCs w:val="30"/>
          <w:lang w:val="en-US" w:eastAsia="zh-CN" w:bidi="ar-SA"/>
        </w:rPr>
        <w:t>11.49</w:t>
      </w:r>
      <w:r>
        <w:rPr>
          <w:rFonts w:hint="eastAsia" w:ascii="仿宋" w:hAnsi="仿宋" w:eastAsia="仿宋" w:cs="仿宋"/>
          <w:sz w:val="30"/>
          <w:szCs w:val="30"/>
          <w:lang w:val="en-US" w:eastAsia="zh-CN"/>
        </w:rPr>
        <w:t>万元。</w:t>
      </w:r>
      <w:r>
        <w:rPr>
          <w:rFonts w:hint="eastAsia" w:ascii="仿宋" w:hAnsi="仿宋" w:eastAsia="仿宋" w:cs="仿宋"/>
          <w:b w:val="0"/>
          <w:bCs w:val="0"/>
          <w:sz w:val="30"/>
          <w:szCs w:val="30"/>
          <w:lang w:val="en-US" w:eastAsia="zh-CN"/>
        </w:rPr>
        <w:t>二是</w:t>
      </w:r>
      <w:r>
        <w:rPr>
          <w:rFonts w:hint="eastAsia" w:ascii="仿宋" w:hAnsi="仿宋" w:eastAsia="仿宋" w:cs="仿宋"/>
          <w:sz w:val="30"/>
          <w:szCs w:val="30"/>
          <w:lang w:val="en-US" w:eastAsia="zh-CN"/>
        </w:rPr>
        <w:t>化解拖欠农民工工资问题。</w:t>
      </w:r>
      <w:r>
        <w:rPr>
          <w:rFonts w:hint="eastAsia" w:ascii="仿宋" w:hAnsi="仿宋" w:eastAsia="仿宋" w:cs="仿宋"/>
          <w:kern w:val="2"/>
          <w:sz w:val="30"/>
          <w:szCs w:val="30"/>
          <w:lang w:val="en-US" w:eastAsia="zh-CN" w:bidi="ar-SA"/>
        </w:rPr>
        <w:t>2024</w:t>
      </w:r>
      <w:r>
        <w:rPr>
          <w:rFonts w:hint="eastAsia" w:ascii="仿宋" w:hAnsi="仿宋" w:eastAsia="仿宋" w:cs="仿宋"/>
          <w:sz w:val="30"/>
          <w:szCs w:val="30"/>
          <w:lang w:val="en-US" w:eastAsia="zh-CN"/>
        </w:rPr>
        <w:t>年办结农民工工资信访件39件，年初以来共化解拖欠农民工资</w:t>
      </w:r>
      <w:r>
        <w:rPr>
          <w:rFonts w:hint="eastAsia" w:ascii="仿宋" w:hAnsi="仿宋" w:eastAsia="仿宋" w:cs="仿宋"/>
          <w:kern w:val="2"/>
          <w:sz w:val="30"/>
          <w:szCs w:val="30"/>
          <w:lang w:val="en-US" w:eastAsia="zh-CN" w:bidi="ar-SA"/>
        </w:rPr>
        <w:t>560.00</w:t>
      </w:r>
      <w:r>
        <w:rPr>
          <w:rFonts w:hint="eastAsia" w:ascii="仿宋" w:hAnsi="仿宋" w:eastAsia="仿宋" w:cs="仿宋"/>
          <w:sz w:val="30"/>
          <w:szCs w:val="30"/>
          <w:lang w:val="en-US" w:eastAsia="zh-CN"/>
        </w:rPr>
        <w:t>万元，涉及</w:t>
      </w:r>
      <w:r>
        <w:rPr>
          <w:rFonts w:hint="eastAsia" w:ascii="仿宋" w:hAnsi="仿宋" w:eastAsia="仿宋" w:cs="仿宋"/>
          <w:kern w:val="2"/>
          <w:sz w:val="30"/>
          <w:szCs w:val="30"/>
          <w:lang w:val="en-US" w:eastAsia="zh-CN" w:bidi="ar-SA"/>
        </w:rPr>
        <w:t>300</w:t>
      </w:r>
      <w:r>
        <w:rPr>
          <w:rFonts w:hint="eastAsia" w:ascii="仿宋" w:hAnsi="仿宋" w:eastAsia="仿宋" w:cs="仿宋"/>
          <w:sz w:val="30"/>
          <w:szCs w:val="30"/>
          <w:lang w:val="en-US" w:eastAsia="zh-CN"/>
        </w:rPr>
        <w:t>余人。</w:t>
      </w:r>
    </w:p>
    <w:p>
      <w:pPr>
        <w:keepNext w:val="0"/>
        <w:keepLines w:val="0"/>
        <w:pageBreakBefore w:val="0"/>
        <w:kinsoku/>
        <w:overflowPunct/>
        <w:topLinePunct w:val="0"/>
        <w:autoSpaceDN/>
        <w:bidi w:val="0"/>
        <w:adjustRightInd/>
        <w:spacing w:line="360" w:lineRule="auto"/>
        <w:ind w:firstLine="300" w:firstLineChars="1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5.乡镇“两污”。村庄垃圾收集处理设施覆盖达到</w:t>
      </w:r>
      <w:r>
        <w:rPr>
          <w:rFonts w:hint="eastAsia" w:ascii="仿宋" w:hAnsi="仿宋" w:eastAsia="仿宋" w:cs="仿宋"/>
          <w:kern w:val="2"/>
          <w:sz w:val="30"/>
          <w:szCs w:val="30"/>
          <w:lang w:val="en-US" w:eastAsia="zh-CN" w:bidi="ar-SA"/>
        </w:rPr>
        <w:t>91.59%</w:t>
      </w:r>
      <w:r>
        <w:rPr>
          <w:rFonts w:hint="eastAsia" w:ascii="仿宋" w:hAnsi="仿宋" w:eastAsia="仿宋" w:cs="仿宋"/>
          <w:sz w:val="30"/>
          <w:szCs w:val="30"/>
          <w:lang w:val="en-US" w:eastAsia="zh-CN"/>
        </w:rPr>
        <w:t>，完成</w:t>
      </w:r>
      <w:r>
        <w:rPr>
          <w:rFonts w:hint="eastAsia" w:ascii="仿宋" w:hAnsi="仿宋" w:eastAsia="仿宋" w:cs="仿宋"/>
          <w:kern w:val="2"/>
          <w:sz w:val="30"/>
          <w:szCs w:val="30"/>
          <w:lang w:val="en-US" w:eastAsia="zh-CN" w:bidi="ar-SA"/>
        </w:rPr>
        <w:t>2024</w:t>
      </w:r>
      <w:r>
        <w:rPr>
          <w:rFonts w:hint="eastAsia" w:ascii="仿宋" w:hAnsi="仿宋" w:eastAsia="仿宋" w:cs="仿宋"/>
          <w:sz w:val="30"/>
          <w:szCs w:val="30"/>
          <w:lang w:val="en-US" w:eastAsia="zh-CN"/>
        </w:rPr>
        <w:t>年度</w:t>
      </w:r>
      <w:r>
        <w:rPr>
          <w:rFonts w:hint="eastAsia" w:ascii="仿宋" w:hAnsi="仿宋" w:eastAsia="仿宋" w:cs="仿宋"/>
          <w:kern w:val="2"/>
          <w:sz w:val="30"/>
          <w:szCs w:val="30"/>
          <w:lang w:val="en-US" w:eastAsia="zh-CN" w:bidi="ar-SA"/>
        </w:rPr>
        <w:t>90.00%</w:t>
      </w:r>
      <w:r>
        <w:rPr>
          <w:rFonts w:hint="eastAsia" w:ascii="仿宋" w:hAnsi="仿宋" w:eastAsia="仿宋" w:cs="仿宋"/>
          <w:sz w:val="30"/>
          <w:szCs w:val="30"/>
          <w:lang w:val="en-US" w:eastAsia="zh-CN"/>
        </w:rPr>
        <w:t>目标任务。协同县生态环境局推进华溪镇污水处理站、通红甸乡一体化污水处理设施建设，完成后镇区污水处理设施覆盖将达到</w:t>
      </w:r>
      <w:r>
        <w:rPr>
          <w:rFonts w:hint="eastAsia" w:ascii="仿宋" w:hAnsi="仿宋" w:eastAsia="仿宋" w:cs="仿宋"/>
          <w:kern w:val="2"/>
          <w:sz w:val="30"/>
          <w:szCs w:val="30"/>
          <w:lang w:val="en-US" w:eastAsia="zh-CN" w:bidi="ar-SA"/>
        </w:rPr>
        <w:t>100.00%</w:t>
      </w:r>
      <w:r>
        <w:rPr>
          <w:rFonts w:hint="eastAsia" w:ascii="仿宋" w:hAnsi="仿宋" w:eastAsia="仿宋" w:cs="仿宋"/>
          <w:sz w:val="30"/>
          <w:szCs w:val="30"/>
          <w:lang w:val="en-US" w:eastAsia="zh-CN"/>
        </w:rPr>
        <w:t>。</w:t>
      </w:r>
    </w:p>
    <w:p>
      <w:pPr>
        <w:keepNext w:val="0"/>
        <w:keepLines w:val="0"/>
        <w:pageBreakBefore w:val="0"/>
        <w:kinsoku/>
        <w:overflowPunct/>
        <w:topLinePunct w:val="0"/>
        <w:autoSpaceDN/>
        <w:bidi w:val="0"/>
        <w:adjustRightInd/>
        <w:spacing w:line="360" w:lineRule="auto"/>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pPr>
        <w:keepNext w:val="0"/>
        <w:keepLines w:val="0"/>
        <w:pageBreakBefore w:val="0"/>
        <w:kinsoku/>
        <w:overflowPunct/>
        <w:topLinePunct w:val="0"/>
        <w:autoSpaceDN/>
        <w:bidi w:val="0"/>
        <w:adjustRightInd/>
        <w:spacing w:line="360" w:lineRule="auto"/>
        <w:ind w:firstLine="600" w:firstLineChars="200"/>
        <w:jc w:val="both"/>
        <w:textAlignment w:val="auto"/>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本部门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lang w:eastAsia="zh-CN"/>
        </w:rPr>
        <w:t>年度无国有资本经营预算财政拨款收入，《国有资本经营预算财政拨款收入支出决算表》为空表。</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eastAsia="仿宋_GB2312"/>
          <w:sz w:val="30"/>
          <w:szCs w:val="30"/>
          <w:highlight w:val="none"/>
          <w:lang w:eastAsia="zh-CN"/>
        </w:rPr>
      </w:pPr>
    </w:p>
    <w:p>
      <w:pPr>
        <w:keepNext w:val="0"/>
        <w:keepLines w:val="0"/>
        <w:pageBreakBefore w:val="0"/>
        <w:kinsoku/>
        <w:overflowPunct/>
        <w:topLinePunct w:val="0"/>
        <w:autoSpaceDN/>
        <w:bidi w:val="0"/>
        <w:adjustRightInd/>
        <w:spacing w:line="360" w:lineRule="auto"/>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keepNext w:val="0"/>
        <w:keepLines w:val="0"/>
        <w:pageBreakBefore w:val="0"/>
        <w:kinsoku/>
        <w:overflowPunct/>
        <w:topLinePunct w:val="0"/>
        <w:autoSpaceDN/>
        <w:bidi w:val="0"/>
        <w:adjustRightInd/>
        <w:spacing w:line="360" w:lineRule="auto"/>
        <w:ind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keepNext w:val="0"/>
        <w:keepLines w:val="0"/>
        <w:pageBreakBefore w:val="0"/>
        <w:widowControl/>
        <w:kinsoku/>
        <w:overflowPunct/>
        <w:topLinePunct w:val="0"/>
        <w:autoSpaceDN/>
        <w:bidi w:val="0"/>
        <w:adjustRightInd/>
        <w:snapToGrid w:val="0"/>
        <w:spacing w:before="100" w:line="360" w:lineRule="auto"/>
        <w:ind w:firstLine="538"/>
        <w:jc w:val="both"/>
        <w:textAlignment w:val="auto"/>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华宁县住房和城乡建设局</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312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043</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947.31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312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043</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947.31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100.00</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2024年无</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事业收入；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经营收入；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其他收</w:t>
      </w:r>
      <w:r>
        <w:rPr>
          <w:rFonts w:hint="eastAsia" w:ascii="仿宋_GB2312" w:eastAsia="仿宋_GB2312"/>
          <w:sz w:val="30"/>
          <w:szCs w:val="30"/>
          <w:highlight w:val="none"/>
          <w:lang w:eastAsia="zh-CN"/>
        </w:rPr>
        <w:t>入</w:t>
      </w:r>
      <w:r>
        <w:rPr>
          <w:rFonts w:hint="eastAsia" w:ascii="仿宋_GB2312" w:eastAsia="仿宋_GB2312"/>
          <w:sz w:val="30"/>
          <w:szCs w:val="30"/>
          <w:highlight w:val="none"/>
        </w:rPr>
        <w:t>。</w:t>
      </w:r>
    </w:p>
    <w:p>
      <w:pPr>
        <w:keepNext w:val="0"/>
        <w:keepLines w:val="0"/>
        <w:pageBreakBefore w:val="0"/>
        <w:widowControl/>
        <w:kinsoku/>
        <w:overflowPunct/>
        <w:topLinePunct w:val="0"/>
        <w:autoSpaceDN/>
        <w:bidi w:val="0"/>
        <w:adjustRightInd/>
        <w:snapToGrid w:val="0"/>
        <w:spacing w:before="100" w:line="360" w:lineRule="auto"/>
        <w:ind w:firstLine="538"/>
        <w:jc w:val="both"/>
        <w:textAlignment w:val="auto"/>
        <w:rPr>
          <w:rFonts w:hint="eastAsia" w:ascii="仿宋_GB2312" w:hAnsi="宋体" w:eastAsia="仿宋_GB2312" w:cs="Arial"/>
          <w:color w:val="FF0000"/>
          <w:kern w:val="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226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187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584.39</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263.45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226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443</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584.39</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264.54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2024年无</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；无事业收入；无经营收入；无附属单位上缴收入；其他收入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256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100.00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2024年在实际执行预算过程中增加了历年项目经费拨付及还棚户区改造、农村危房改造贷款，所以导致收入增加。其他收入减少是因为2024年机构改革，原宁州公园管理所、环境卫生管理站划到综合行政执法局，因此没有此项收入，所以导致其他收入减少。</w:t>
      </w:r>
    </w:p>
    <w:p>
      <w:pPr>
        <w:keepNext w:val="0"/>
        <w:keepLines w:val="0"/>
        <w:pageBreakBefore w:val="0"/>
        <w:kinsoku/>
        <w:overflowPunct/>
        <w:topLinePunct w:val="0"/>
        <w:autoSpaceDN/>
        <w:bidi w:val="0"/>
        <w:adjustRightInd/>
        <w:spacing w:line="360" w:lineRule="auto"/>
        <w:ind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华宁县住房和城乡建设局</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312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043</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947.31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4</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671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533.15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1.50</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307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372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414.16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98.50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2024年无</w:t>
      </w:r>
      <w:r>
        <w:rPr>
          <w:rFonts w:hint="eastAsia" w:ascii="仿宋_GB2312" w:hAnsi="宋体" w:eastAsia="仿宋_GB2312" w:cs="Arial"/>
          <w:kern w:val="0"/>
          <w:sz w:val="30"/>
          <w:szCs w:val="30"/>
          <w:highlight w:val="none"/>
        </w:rPr>
        <w:t>上缴上级支出；</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经营支出；</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对附属单位补助支出。</w:t>
      </w:r>
    </w:p>
    <w:p>
      <w:pPr>
        <w:keepNext w:val="0"/>
        <w:keepLines w:val="0"/>
        <w:pageBreakBefore w:val="0"/>
        <w:kinsoku/>
        <w:overflowPunct/>
        <w:topLinePunct w:val="0"/>
        <w:autoSpaceDN/>
        <w:bidi w:val="0"/>
        <w:adjustRightInd/>
        <w:spacing w:line="360" w:lineRule="auto"/>
        <w:ind w:firstLine="600" w:firstLineChars="200"/>
        <w:jc w:val="both"/>
        <w:textAlignment w:val="auto"/>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226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188</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020.04</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263.45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10</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162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258.00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68.51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236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350</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278.04</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332.78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2024年无</w:t>
      </w:r>
      <w:r>
        <w:rPr>
          <w:rFonts w:hint="eastAsia" w:ascii="仿宋_GB2312" w:eastAsia="仿宋_GB2312"/>
          <w:sz w:val="30"/>
          <w:szCs w:val="30"/>
          <w:highlight w:val="none"/>
          <w:lang w:eastAsia="zh-CN"/>
        </w:rPr>
        <w:t>上缴上级支出；无经营支出；无对附属单位补助支出。</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是基本支出减少是</w:t>
      </w:r>
      <w:r>
        <w:rPr>
          <w:rFonts w:hint="eastAsia" w:ascii="仿宋_GB2312" w:eastAsia="仿宋_GB2312"/>
          <w:sz w:val="30"/>
          <w:szCs w:val="30"/>
          <w:highlight w:val="none"/>
          <w:lang w:val="en-US" w:eastAsia="zh-CN"/>
        </w:rPr>
        <w:t>2024年基本支出中项目经费减少，项目支出增加是2024年在实际执行预算过程中增加了历年项目经费拨付及还棚户区改造、农村危房改造贷款，所以导致收入增加。</w:t>
      </w:r>
    </w:p>
    <w:p>
      <w:pPr>
        <w:keepNext w:val="0"/>
        <w:keepLines w:val="0"/>
        <w:pageBreakBefore w:val="0"/>
        <w:widowControl/>
        <w:kinsoku/>
        <w:overflowPunct/>
        <w:topLinePunct w:val="0"/>
        <w:autoSpaceDN/>
        <w:bidi w:val="0"/>
        <w:adjustRightInd/>
        <w:snapToGrid w:val="0"/>
        <w:spacing w:before="100" w:line="360" w:lineRule="auto"/>
        <w:ind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keepNext w:val="0"/>
        <w:keepLines w:val="0"/>
        <w:pageBreakBefore w:val="0"/>
        <w:widowControl/>
        <w:kinsoku/>
        <w:overflowPunct/>
        <w:topLinePunct w:val="0"/>
        <w:autoSpaceDN/>
        <w:bidi w:val="0"/>
        <w:adjustRightInd/>
        <w:snapToGrid w:val="0"/>
        <w:spacing w:before="100" w:line="360" w:lineRule="auto"/>
        <w:ind w:firstLine="600" w:firstLineChars="200"/>
        <w:jc w:val="both"/>
        <w:textAlignment w:val="auto"/>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华宁县住房和城乡建设局</w:t>
      </w:r>
      <w:r>
        <w:rPr>
          <w:rFonts w:hint="eastAsia" w:ascii="仿宋_GB2312" w:hAnsi="仿宋_GB2312" w:eastAsia="仿宋_GB2312" w:cs="仿宋_GB2312"/>
          <w:sz w:val="30"/>
          <w:szCs w:val="30"/>
          <w:highlight w:val="none"/>
        </w:rPr>
        <w:t>机关、下属事业单位等机构正常运转的日常支出</w:t>
      </w:r>
      <w:r>
        <w:rPr>
          <w:rFonts w:hint="eastAsia" w:ascii="仿宋_GB2312" w:hAnsi="仿宋_GB2312" w:eastAsia="仿宋_GB2312" w:cs="仿宋_GB2312"/>
          <w:color w:val="auto"/>
          <w:sz w:val="30"/>
          <w:lang w:val="zh-CN"/>
        </w:rPr>
        <w:t>4</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671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533.15</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4</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490</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844.30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96.13</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180</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688.85</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3.87</w:t>
      </w:r>
      <w:r>
        <w:rPr>
          <w:rFonts w:hint="eastAsia" w:ascii="仿宋_GB2312" w:hAnsi="仿宋_GB2312" w:eastAsia="仿宋_GB2312" w:cs="仿宋_GB2312"/>
          <w:sz w:val="30"/>
          <w:szCs w:val="30"/>
          <w:highlight w:val="none"/>
        </w:rPr>
        <w:t>％。</w:t>
      </w:r>
    </w:p>
    <w:p>
      <w:pPr>
        <w:keepNext w:val="0"/>
        <w:keepLines w:val="0"/>
        <w:pageBreakBefore w:val="0"/>
        <w:widowControl/>
        <w:kinsoku/>
        <w:overflowPunct/>
        <w:topLinePunct w:val="0"/>
        <w:autoSpaceDN/>
        <w:bidi w:val="0"/>
        <w:adjustRightInd/>
        <w:snapToGrid w:val="0"/>
        <w:spacing w:before="100" w:line="360" w:lineRule="auto"/>
        <w:ind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华宁县住房和城乡建设局</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307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372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414.16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1.污水处理费</w:t>
      </w:r>
      <w:r>
        <w:rPr>
          <w:rFonts w:hint="eastAsia" w:ascii="仿宋_GB2312" w:eastAsia="仿宋_GB2312"/>
          <w:sz w:val="30"/>
          <w:szCs w:val="30"/>
          <w:highlight w:val="none"/>
        </w:rPr>
        <w:t>项目经费</w:t>
      </w:r>
      <w:r>
        <w:rPr>
          <w:rFonts w:hint="eastAsia" w:ascii="仿宋_GB2312" w:eastAsia="仿宋_GB2312"/>
          <w:sz w:val="30"/>
          <w:szCs w:val="30"/>
          <w:highlight w:val="none"/>
          <w:lang w:val="en-US" w:eastAsia="zh-CN"/>
        </w:rPr>
        <w:t>5,119,473.90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支付污水处理费。</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2.美丽乡村指挥部办公经费</w:t>
      </w:r>
      <w:r>
        <w:rPr>
          <w:rFonts w:hint="eastAsia" w:ascii="仿宋_GB2312" w:eastAsia="仿宋_GB2312"/>
          <w:sz w:val="30"/>
          <w:szCs w:val="30"/>
          <w:highlight w:val="none"/>
        </w:rPr>
        <w:t>项目经费</w:t>
      </w:r>
      <w:r>
        <w:rPr>
          <w:rFonts w:hint="eastAsia" w:ascii="仿宋_GB2312" w:eastAsia="仿宋_GB2312"/>
          <w:sz w:val="30"/>
          <w:szCs w:val="30"/>
          <w:highlight w:val="none"/>
          <w:lang w:val="en-US" w:eastAsia="zh-CN"/>
        </w:rPr>
        <w:t>60,671.20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支付美丽县城办公室办公经费。</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3.基础设施建设</w:t>
      </w:r>
      <w:r>
        <w:rPr>
          <w:rFonts w:hint="eastAsia" w:ascii="仿宋_GB2312" w:eastAsia="仿宋_GB2312"/>
          <w:sz w:val="30"/>
          <w:szCs w:val="30"/>
          <w:highlight w:val="none"/>
        </w:rPr>
        <w:t>项目经费</w:t>
      </w:r>
      <w:r>
        <w:rPr>
          <w:rFonts w:hint="eastAsia" w:ascii="仿宋_GB2312" w:eastAsia="仿宋_GB2312"/>
          <w:sz w:val="30"/>
          <w:szCs w:val="30"/>
          <w:highlight w:val="none"/>
          <w:lang w:val="en-US" w:eastAsia="zh-CN"/>
        </w:rPr>
        <w:t>20,621,010.70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支付棚户区改造贷款；土地划拨价款。</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4.城市维护费项目经费4,579,651.25元，主要用于支付城市公共基础设施建设修缮、维护费用。</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5.消防专家评审费项目经费17,400.00元，主要用于支付聘请消防专家费用。</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6.基础设施项目经费18,000,000.00元,主要用于支付农村危房改造贷款、土地划拨价款。</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7.基础设施项目经费234,566,815.11元，主要用于归还棚户区改造、农村危房改造贷款本息，土地划拨价款。</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8.农村危房改造项目经费1,588,000.00元，主要用于支付各乡镇农村危房改造项目资金。</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9.保障性租赁住房项目经费2,538,700.00元，主要用于支付保障性住房建设项目资金。</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10.基础设施建设项目经费19,200,000.00元，主要用于棚户区改造、农村危房改造项目资金。</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11.阳光家园、云泉广场电梯维修项目经费30,016.00元,主要用于电梯维修支出。</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12.公共租赁住房维修资金项目109,740.00元，主要用于公共租赁住房维修。</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13.保障性住房公证费、测绘费项目22,000.00元，主要用于保障性住房费用支出。</w:t>
      </w:r>
    </w:p>
    <w:p>
      <w:pPr>
        <w:keepNext w:val="0"/>
        <w:keepLines w:val="0"/>
        <w:pageBreakBefore w:val="0"/>
        <w:widowControl/>
        <w:kinsoku/>
        <w:wordWrap w:val="0"/>
        <w:overflowPunct/>
        <w:topLinePunct w:val="0"/>
        <w:autoSpaceDE/>
        <w:autoSpaceDN/>
        <w:bidi w:val="0"/>
        <w:adjustRightInd/>
        <w:snapToGrid w:val="0"/>
        <w:spacing w:before="100" w:line="360" w:lineRule="auto"/>
        <w:ind w:firstLine="600" w:firstLineChars="200"/>
        <w:jc w:val="both"/>
        <w:textAlignment w:val="auto"/>
        <w:rPr>
          <w:rFonts w:hint="eastAsia" w:ascii="仿宋_GB2312" w:eastAsia="仿宋_GB2312"/>
          <w:color w:val="FF0000"/>
          <w:sz w:val="30"/>
          <w:szCs w:val="30"/>
          <w:highlight w:val="none"/>
        </w:rPr>
      </w:pPr>
      <w:r>
        <w:rPr>
          <w:rFonts w:hint="eastAsia" w:ascii="仿宋_GB2312" w:eastAsia="仿宋_GB2312"/>
          <w:sz w:val="30"/>
          <w:szCs w:val="30"/>
          <w:highlight w:val="none"/>
          <w:lang w:val="en-US" w:eastAsia="zh-CN"/>
        </w:rPr>
        <w:t>14.保障性住房补助资金项目经费918,936.00元，主要用于住房符合补助人员住房费用补贴。</w:t>
      </w:r>
    </w:p>
    <w:p>
      <w:pPr>
        <w:keepNext w:val="0"/>
        <w:keepLines w:val="0"/>
        <w:pageBreakBefore w:val="0"/>
        <w:widowControl/>
        <w:kinsoku/>
        <w:overflowPunct/>
        <w:topLinePunct w:val="0"/>
        <w:autoSpaceDN/>
        <w:bidi w:val="0"/>
        <w:adjustRightInd/>
        <w:snapToGrid w:val="0"/>
        <w:spacing w:before="100" w:line="360" w:lineRule="auto"/>
        <w:ind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华宁县住房和城乡建设局</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40</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277</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132.20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12.91</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减少</w:t>
      </w:r>
      <w:r>
        <w:rPr>
          <w:rFonts w:hint="eastAsia" w:ascii="仿宋_GB2312" w:hAnsi="仿宋_GB2312" w:eastAsia="仿宋_GB2312" w:cs="仿宋_GB2312"/>
          <w:color w:val="auto"/>
          <w:kern w:val="0"/>
          <w:sz w:val="30"/>
          <w:lang w:val="zh-CN"/>
        </w:rPr>
        <w:t>28</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683</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330.72</w:t>
      </w:r>
      <w:r>
        <w:rPr>
          <w:rFonts w:hint="eastAsia" w:ascii="仿宋_GB2312" w:hAnsi="宋体" w:eastAsia="仿宋_GB2312" w:cs="Arial"/>
          <w:kern w:val="0"/>
          <w:sz w:val="30"/>
          <w:szCs w:val="30"/>
          <w:highlight w:val="none"/>
        </w:rPr>
        <w:t>元，下降</w:t>
      </w:r>
      <w:r>
        <w:rPr>
          <w:rFonts w:hint="eastAsia" w:ascii="仿宋_GB2312" w:hAnsi="仿宋_GB2312" w:eastAsia="仿宋_GB2312" w:cs="仿宋_GB2312"/>
          <w:color w:val="auto"/>
          <w:kern w:val="0"/>
          <w:sz w:val="30"/>
          <w:lang w:val="zh-CN"/>
        </w:rPr>
        <w:t>41.59</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789.39</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467,520.48</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1.16</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61.71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 w:hAnsi="仿宋" w:eastAsia="仿宋" w:cs="仿宋"/>
          <w:i w:val="0"/>
          <w:iCs w:val="0"/>
          <w:caps w:val="0"/>
          <w:color w:val="000000"/>
          <w:spacing w:val="0"/>
          <w:sz w:val="30"/>
          <w:szCs w:val="30"/>
        </w:rPr>
        <w:t>单位职工的养老保险、工伤保险、失业保险的支出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造成预决算差异的主要原因是机构改革人员减少及财政困难未按时支付职工保险。</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425</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202.06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1.06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99.58</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 w:hAnsi="仿宋" w:eastAsia="仿宋" w:cs="仿宋"/>
          <w:i w:val="0"/>
          <w:iCs w:val="0"/>
          <w:caps w:val="0"/>
          <w:color w:val="000000"/>
          <w:spacing w:val="0"/>
          <w:sz w:val="30"/>
          <w:szCs w:val="30"/>
        </w:rPr>
        <w:t>单位职工的医疗保险、大病医疗保险补充、公务员医疗补助</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5</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119</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473.90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12.71</w:t>
      </w:r>
      <w:r>
        <w:rPr>
          <w:rFonts w:hint="eastAsia" w:ascii="仿宋_GB2312" w:eastAsia="仿宋_GB2312"/>
          <w:sz w:val="30"/>
          <w:szCs w:val="30"/>
          <w:highlight w:val="none"/>
        </w:rPr>
        <w:t>%,</w:t>
      </w:r>
      <w:r>
        <w:rPr>
          <w:rFonts w:hint="eastAsia" w:ascii="仿宋_GB2312" w:hAnsi="仿宋_GB2312" w:eastAsia="仿宋_GB2312" w:cs="仿宋_GB2312"/>
          <w:color w:val="auto"/>
          <w:kern w:val="0"/>
          <w:sz w:val="30"/>
          <w:lang w:val="en-US" w:eastAsia="zh-CN"/>
        </w:rPr>
        <w:t>年初无此项预算</w:t>
      </w:r>
      <w:r>
        <w:rPr>
          <w:rFonts w:hint="eastAsia" w:ascii="仿宋_GB2312" w:eastAsia="仿宋_GB2312"/>
          <w:sz w:val="30"/>
          <w:szCs w:val="30"/>
          <w:highlight w:val="none"/>
        </w:rPr>
        <w:t>。</w:t>
      </w:r>
      <w:r>
        <w:rPr>
          <w:rFonts w:hint="eastAsia" w:ascii="仿宋_GB2312" w:hAnsi="仿宋_GB2312" w:eastAsia="仿宋_GB2312" w:cs="仿宋_GB2312"/>
          <w:color w:val="auto"/>
          <w:kern w:val="0"/>
          <w:sz w:val="30"/>
          <w:lang w:val="en-US" w:eastAsia="zh-CN"/>
        </w:rPr>
        <w:t>主要用于支付污水处理服</w:t>
      </w:r>
      <w:r>
        <w:rPr>
          <w:rFonts w:hint="eastAsia" w:ascii="仿宋" w:hAnsi="仿宋" w:eastAsia="仿宋" w:cs="仿宋"/>
          <w:sz w:val="30"/>
          <w:szCs w:val="30"/>
        </w:rPr>
        <w:t>务费及一水两污项目经费</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造成预决算差异的主要原因是年初单位有预算但财未纳入。</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27</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973</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989.82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69.45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998.91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 w:hAnsi="仿宋" w:eastAsia="仿宋" w:cs="仿宋"/>
          <w:sz w:val="30"/>
          <w:szCs w:val="30"/>
        </w:rPr>
        <w:t>支付住建系统各站所人员工资及公用经费</w:t>
      </w:r>
      <w:r>
        <w:rPr>
          <w:rFonts w:hint="eastAsia" w:ascii="仿宋" w:hAnsi="仿宋" w:eastAsia="仿宋" w:cs="仿宋"/>
          <w:sz w:val="30"/>
          <w:szCs w:val="30"/>
          <w:lang w:eastAsia="zh-CN"/>
        </w:rPr>
        <w:t>、项目经费</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hAnsi="宋体" w:eastAsia="仿宋_GB2312" w:cs="Arial"/>
          <w:kern w:val="0"/>
          <w:sz w:val="30"/>
          <w:szCs w:val="30"/>
          <w:highlight w:val="none"/>
          <w:lang w:val="en-US" w:eastAsia="zh-CN"/>
        </w:rPr>
        <w:t>拨付历年项目经费增加</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6</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290</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945.94</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15.62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563.07</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支付保障性住房项目建设资金</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造成预决算差异的主要原因是年初财政未纳入预算，但根据实际工作开展形成支出。</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年初无此项预算的</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eastAsia="仿宋_GB2312"/>
          <w:sz w:val="30"/>
          <w:szCs w:val="30"/>
          <w:highlight w:val="none"/>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numPr>
          <w:ilvl w:val="0"/>
          <w:numId w:val="4"/>
        </w:numPr>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33,600.00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23.50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24</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152.94</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75.36</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line="360" w:lineRule="auto"/>
        <w:ind w:left="0" w:leftChars="0" w:right="0" w:rightChars="0" w:firstLine="600" w:firstLineChars="200"/>
        <w:jc w:val="both"/>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12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21</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36.56</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rPr>
        <w:t>因公出国（境）费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公务用车购置费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10</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686.94</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公务接待费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13</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466.00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63.03</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13</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466.00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63.03</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元，上年无此项支出</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33</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23.50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24</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152.94</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75.36</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12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rPr>
        <w:t>%；公务接待费支出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21</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36.56</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是公务接待费严格执行接待标准，控制陪同人员；公务用车运行维护费减少的原因是公务用车有编制，实际没有车，所以导致决算数小于预算数。</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上年无此项支出</w:t>
      </w:r>
      <w:r>
        <w:rPr>
          <w:rFonts w:hint="eastAsia" w:ascii="仿宋_GB2312" w:hAnsi="仿宋_GB2312" w:eastAsia="仿宋_GB2312" w:cs="仿宋_GB2312"/>
          <w:sz w:val="30"/>
          <w:szCs w:val="30"/>
          <w:highlight w:val="none"/>
        </w:rPr>
        <w:t>；公务用车购置费支出决算增加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上年无此项支出</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支出决算减少</w:t>
      </w:r>
      <w:r>
        <w:rPr>
          <w:rFonts w:hint="eastAsia" w:ascii="仿宋_GB2312" w:hAnsi="仿宋_GB2312" w:eastAsia="仿宋_GB2312" w:cs="仿宋_GB2312"/>
          <w:color w:val="000000"/>
          <w:sz w:val="30"/>
          <w:lang w:val="zh-CN"/>
        </w:rPr>
        <w:t>10</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686.94</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下降</w:t>
      </w:r>
      <w:r>
        <w:rPr>
          <w:rFonts w:hint="eastAsia" w:ascii="仿宋_GB2312" w:hAnsi="仿宋_GB2312" w:eastAsia="仿宋_GB2312" w:cs="仿宋_GB2312"/>
          <w:sz w:val="30"/>
          <w:szCs w:val="30"/>
          <w:highlight w:val="none"/>
          <w:lang w:val="en-US" w:eastAsia="zh-CN"/>
        </w:rPr>
        <w:t>100.00%</w:t>
      </w:r>
      <w:r>
        <w:rPr>
          <w:rFonts w:hint="eastAsia" w:ascii="仿宋_GB2312" w:hAnsi="仿宋_GB2312" w:eastAsia="仿宋_GB2312" w:cs="仿宋_GB2312"/>
          <w:sz w:val="30"/>
          <w:szCs w:val="30"/>
          <w:highlight w:val="none"/>
        </w:rPr>
        <w:t>；公务接待费支出决算减少</w:t>
      </w:r>
      <w:r>
        <w:rPr>
          <w:rFonts w:hint="eastAsia" w:ascii="仿宋_GB2312" w:hAnsi="仿宋_GB2312" w:eastAsia="仿宋_GB2312" w:cs="仿宋_GB2312"/>
          <w:color w:val="000000"/>
          <w:sz w:val="30"/>
          <w:lang w:val="zh-CN"/>
        </w:rPr>
        <w:t>13</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466.00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63.03</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kern w:val="0"/>
          <w:sz w:val="30"/>
          <w:szCs w:val="30"/>
          <w:highlight w:val="none"/>
          <w:lang w:val="en-US" w:eastAsia="zh-CN"/>
        </w:rPr>
        <w:t>0.00元，上年无此项支出；</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kern w:val="0"/>
          <w:sz w:val="30"/>
          <w:szCs w:val="30"/>
          <w:highlight w:val="none"/>
          <w:lang w:val="en-US" w:eastAsia="zh-CN"/>
        </w:rPr>
        <w:t>0.00元，上年无此项支出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年度一般公共预算财政拨款“三公”经费支出决算减少的主要原因</w:t>
      </w:r>
      <w:r>
        <w:rPr>
          <w:rFonts w:hint="eastAsia" w:ascii="仿宋_GB2312" w:hAnsi="仿宋_GB2312" w:eastAsia="仿宋_GB2312" w:cs="仿宋_GB2312"/>
          <w:sz w:val="30"/>
          <w:szCs w:val="30"/>
          <w:highlight w:val="none"/>
          <w:lang w:eastAsia="zh-CN"/>
        </w:rPr>
        <w:t>是公务接待费严格执行接待标准，控制陪同人员；公务用车运行维护费减少的原因是公务用车有编制，实际没有车，所以导致决算数小于预算数。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1.安排因公出国（境）团组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人次。</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color w:val="000000"/>
          <w:sz w:val="30"/>
          <w:lang w:val="zh-CN"/>
        </w:rPr>
        <w:t>18</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83</w:t>
      </w:r>
      <w:r>
        <w:rPr>
          <w:rFonts w:hint="eastAsia" w:ascii="仿宋_GB2312" w:hAnsi="仿宋_GB2312" w:eastAsia="仿宋_GB2312" w:cs="仿宋_GB2312"/>
          <w:sz w:val="30"/>
          <w:szCs w:val="30"/>
          <w:highlight w:val="none"/>
        </w:rPr>
        <w:t>人（其中：外事接待人次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人）。主要用于</w:t>
      </w:r>
      <w:r>
        <w:rPr>
          <w:rFonts w:hint="eastAsia" w:ascii="仿宋" w:hAnsi="仿宋" w:eastAsia="仿宋" w:cs="仿宋"/>
          <w:sz w:val="30"/>
          <w:szCs w:val="30"/>
        </w:rPr>
        <w:t>上级领导来检查、指导工作、县外及乡镇人员相互交流学习</w:t>
      </w:r>
      <w:r>
        <w:rPr>
          <w:rFonts w:hint="eastAsia" w:ascii="仿宋_GB2312" w:hAnsi="仿宋_GB2312" w:eastAsia="仿宋_GB2312" w:cs="仿宋_GB2312"/>
          <w:sz w:val="30"/>
          <w:szCs w:val="30"/>
          <w:highlight w:val="none"/>
        </w:rPr>
        <w:t>（相关工作，产生的接待批次及人次等）发生的接待支出。安排国（境）外公务接待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900" w:firstLineChars="3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keepNext w:val="0"/>
        <w:keepLines w:val="0"/>
        <w:pageBreakBefore w:val="0"/>
        <w:kinsoku/>
        <w:wordWrap/>
        <w:overflowPunct/>
        <w:topLinePunct w:val="0"/>
        <w:autoSpaceDE/>
        <w:autoSpaceDN/>
        <w:bidi w:val="0"/>
        <w:adjustRightInd/>
        <w:spacing w:line="360" w:lineRule="auto"/>
        <w:ind w:left="0" w:leftChars="0" w:right="0" w:rightChars="0" w:firstLine="600" w:firstLineChars="200"/>
        <w:jc w:val="both"/>
        <w:textAlignment w:val="auto"/>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华宁县住房和城乡建设局</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151,946.39</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auto"/>
          <w:sz w:val="30"/>
          <w:lang w:val="en-US" w:eastAsia="zh-CN"/>
        </w:rPr>
        <w:t>7,871.85</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4.93</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2024年机构改革，人员减少，所以相关费用减少</w:t>
      </w:r>
      <w:r>
        <w:rPr>
          <w:rFonts w:hint="eastAsia" w:ascii="仿宋_GB2312" w:hAnsi="仿宋_GB2312" w:eastAsia="仿宋_GB2312" w:cs="仿宋_GB2312"/>
          <w:sz w:val="30"/>
          <w:szCs w:val="30"/>
          <w:highlight w:val="none"/>
        </w:rPr>
        <w:t>。部门机关运行经费主要用于</w:t>
      </w:r>
      <w:r>
        <w:rPr>
          <w:rFonts w:hint="eastAsia" w:ascii="仿宋" w:hAnsi="仿宋" w:eastAsia="仿宋" w:cs="仿宋"/>
          <w:color w:val="auto"/>
          <w:sz w:val="30"/>
          <w:szCs w:val="30"/>
        </w:rPr>
        <w:t>保障局机关</w:t>
      </w:r>
      <w:r>
        <w:rPr>
          <w:rFonts w:hint="eastAsia" w:ascii="仿宋" w:hAnsi="仿宋" w:eastAsia="仿宋" w:cs="仿宋"/>
          <w:i w:val="0"/>
          <w:iCs w:val="0"/>
          <w:caps w:val="0"/>
          <w:color w:val="auto"/>
          <w:spacing w:val="0"/>
          <w:sz w:val="30"/>
          <w:szCs w:val="30"/>
        </w:rPr>
        <w:t>办公费、水</w:t>
      </w:r>
      <w:r>
        <w:rPr>
          <w:rFonts w:hint="eastAsia" w:ascii="仿宋" w:hAnsi="仿宋" w:eastAsia="仿宋" w:cs="仿宋"/>
          <w:i w:val="0"/>
          <w:iCs w:val="0"/>
          <w:caps w:val="0"/>
          <w:color w:val="000000"/>
          <w:spacing w:val="0"/>
          <w:sz w:val="30"/>
          <w:szCs w:val="30"/>
        </w:rPr>
        <w:t>电费、邮电费、差旅费、维修（护）费、培训费、公务接待费、工会经费、福利费、公务用车运行维护费、其他交通费用、其他商品和服务支出。</w:t>
      </w:r>
    </w:p>
    <w:p>
      <w:pPr>
        <w:keepNext w:val="0"/>
        <w:keepLines w:val="0"/>
        <w:pageBreakBefore w:val="0"/>
        <w:widowControl/>
        <w:numPr>
          <w:ilvl w:val="0"/>
          <w:numId w:val="0"/>
        </w:numPr>
        <w:kinsoku/>
        <w:overflowPunct/>
        <w:topLinePunct w:val="0"/>
        <w:autoSpaceDN/>
        <w:bidi w:val="0"/>
        <w:adjustRightInd/>
        <w:spacing w:line="360" w:lineRule="auto"/>
        <w:ind w:leftChars="200"/>
        <w:jc w:val="both"/>
        <w:textAlignment w:val="auto"/>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华宁县住房和城乡建设局</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385,753,438.37</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27,479,793.53</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82,361,300.00</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256,037,338.16</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19,875,006.68</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。与上年相比，本年资产总额减少</w:t>
      </w:r>
      <w:r>
        <w:rPr>
          <w:rFonts w:hint="eastAsia" w:ascii="仿宋_GB2312" w:hAnsi="仿宋_GB2312" w:eastAsia="仿宋_GB2312" w:cs="仿宋_GB2312"/>
          <w:color w:val="000000"/>
          <w:kern w:val="0"/>
          <w:sz w:val="30"/>
          <w:szCs w:val="30"/>
          <w:highlight w:val="none"/>
          <w:lang w:val="en-US" w:eastAsia="zh-CN"/>
        </w:rPr>
        <w:t>46,960,860.93</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，其中固定资产减少</w:t>
      </w:r>
      <w:r>
        <w:rPr>
          <w:rFonts w:hint="eastAsia" w:ascii="仿宋_GB2312" w:hAnsi="仿宋_GB2312" w:eastAsia="仿宋_GB2312" w:cs="仿宋_GB2312"/>
          <w:color w:val="000000"/>
          <w:kern w:val="0"/>
          <w:sz w:val="30"/>
          <w:szCs w:val="30"/>
          <w:highlight w:val="none"/>
          <w:lang w:val="en-US" w:eastAsia="zh-CN"/>
        </w:rPr>
        <w:t>46,960,860.93</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。处置房屋建筑物</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辆，账面原值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项，账面原值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tbl>
      <w:tblPr>
        <w:tblStyle w:val="9"/>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Layout w:type="fixed"/>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415"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345"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395"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563"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495" w:hRule="atLeast"/>
        </w:trPr>
        <w:tc>
          <w:tcPr>
            <w:tcW w:w="142" w:type="dxa"/>
            <w:vAlign w:val="center"/>
          </w:tcPr>
          <w:p>
            <w:pPr>
              <w:keepNext w:val="0"/>
              <w:keepLines w:val="0"/>
              <w:pageBreakBefore w:val="0"/>
              <w:widowControl/>
              <w:kinsoku/>
              <w:overflowPunct/>
              <w:topLinePunct w:val="0"/>
              <w:autoSpaceDN/>
              <w:bidi w:val="0"/>
              <w:adjustRightInd/>
              <w:spacing w:line="360" w:lineRule="auto"/>
              <w:jc w:val="both"/>
              <w:textAlignment w:val="auto"/>
              <w:rPr>
                <w:rFonts w:ascii="Times New Roman" w:hAnsi="Times New Roman" w:eastAsia="Times New Roman"/>
                <w:kern w:val="0"/>
                <w:sz w:val="20"/>
                <w:szCs w:val="20"/>
                <w:highlight w:val="none"/>
              </w:rPr>
            </w:pPr>
          </w:p>
        </w:tc>
      </w:tr>
    </w:tbl>
    <w:p>
      <w:pPr>
        <w:keepNext w:val="0"/>
        <w:keepLines w:val="0"/>
        <w:pageBreakBefore w:val="0"/>
        <w:widowControl/>
        <w:kinsoku/>
        <w:wordWrap/>
        <w:overflowPunct/>
        <w:topLinePunct w:val="0"/>
        <w:autoSpaceDE/>
        <w:autoSpaceDN/>
        <w:bidi w:val="0"/>
        <w:adjustRightInd/>
        <w:spacing w:line="360" w:lineRule="auto"/>
        <w:ind w:right="0" w:rightChars="0" w:firstLine="600" w:firstLineChars="200"/>
        <w:jc w:val="both"/>
        <w:textAlignment w:val="auto"/>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keepNext w:val="0"/>
        <w:keepLines w:val="0"/>
        <w:pageBreakBefore w:val="0"/>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keepNext w:val="0"/>
        <w:keepLines w:val="0"/>
        <w:pageBreakBefore w:val="0"/>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lang w:eastAsia="zh-CN"/>
        </w:rPr>
        <w:t>我单位无其他重要事项情况说明</w:t>
      </w:r>
      <w:r>
        <w:rPr>
          <w:rFonts w:hint="eastAsia" w:ascii="仿宋_GB2312" w:hAnsi="黑体" w:eastAsia="仿宋_GB2312" w:cs="方正小标宋简体"/>
          <w:sz w:val="30"/>
          <w:szCs w:val="30"/>
          <w:highlight w:val="none"/>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keepNext w:val="0"/>
        <w:keepLines w:val="0"/>
        <w:pageBreakBefore w:val="0"/>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pPr>
        <w:keepNext w:val="0"/>
        <w:keepLines w:val="0"/>
        <w:pageBreakBefore w:val="0"/>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pPr>
        <w:keepNext w:val="0"/>
        <w:keepLines w:val="0"/>
        <w:pageBreakBefore w:val="0"/>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autoSpaceDE/>
        <w:autoSpaceDN/>
        <w:bidi w:val="0"/>
        <w:adjustRightInd/>
        <w:spacing w:line="360" w:lineRule="auto"/>
        <w:ind w:left="0" w:leftChars="0" w:right="0" w:rightChars="0"/>
        <w:jc w:val="center"/>
        <w:textAlignment w:val="auto"/>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keepNext w:val="0"/>
        <w:keepLines w:val="0"/>
        <w:pageBreakBefore w:val="0"/>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kinsoku/>
        <w:overflowPunct/>
        <w:topLinePunct w:val="0"/>
        <w:autoSpaceDN/>
        <w:bidi w:val="0"/>
        <w:adjustRightInd/>
        <w:spacing w:line="360" w:lineRule="auto"/>
        <w:jc w:val="both"/>
        <w:textAlignment w:val="auto"/>
      </w:pP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ZrxD48YBAABuAwAADgAAAAAAAAABACAAAAAiAQAAZHJzL2Uyb0Rv&#10;Yy54bWxQSwUGAAAAAAYABgBZAQAAWgUAAAAA&#10;">
              <v:fill on="f" focussize="0,0"/>
              <v:stroke on="f" weight="1.25pt"/>
              <v:imagedata o:title=""/>
              <o:lock v:ext="edit" aspectratio="f"/>
              <v:textbox inset="0mm,0mm,0mm,0mm" style="mso-fit-shape-to-text:t;">
                <w:txbxContent>
                  <w:p>
                    <w:pPr>
                      <w:pStyle w:val="4"/>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E8E3B"/>
    <w:multiLevelType w:val="singleLevel"/>
    <w:tmpl w:val="68BE8E3B"/>
    <w:lvl w:ilvl="0" w:tentative="0">
      <w:start w:val="2"/>
      <w:numFmt w:val="chineseCounting"/>
      <w:suff w:val="nothing"/>
      <w:lvlText w:val="%1、"/>
      <w:lvlJc w:val="left"/>
      <w:rPr>
        <w:rFonts w:hint="eastAsia"/>
      </w:rPr>
    </w:lvl>
  </w:abstractNum>
  <w:abstractNum w:abstractNumId="1">
    <w:nsid w:val="68BE8E46"/>
    <w:multiLevelType w:val="singleLevel"/>
    <w:tmpl w:val="68BE8E46"/>
    <w:lvl w:ilvl="0" w:tentative="0">
      <w:start w:val="4"/>
      <w:numFmt w:val="chineseCounting"/>
      <w:suff w:val="nothing"/>
      <w:lvlText w:val="%1、"/>
      <w:lvlJc w:val="left"/>
      <w:rPr>
        <w:rFonts w:hint="eastAsia"/>
      </w:rPr>
    </w:lvl>
  </w:abstractNum>
  <w:abstractNum w:abstractNumId="2">
    <w:nsid w:val="68BE966B"/>
    <w:multiLevelType w:val="singleLevel"/>
    <w:tmpl w:val="68BE966B"/>
    <w:lvl w:ilvl="0" w:tentative="0">
      <w:start w:val="1"/>
      <w:numFmt w:val="decimal"/>
      <w:suff w:val="nothing"/>
      <w:lvlText w:val="%1."/>
      <w:lvlJc w:val="left"/>
    </w:lvl>
  </w:abstractNum>
  <w:abstractNum w:abstractNumId="3">
    <w:nsid w:val="68BE9A32"/>
    <w:multiLevelType w:val="singleLevel"/>
    <w:tmpl w:val="68BE9A32"/>
    <w:lvl w:ilvl="0" w:tentative="0">
      <w:start w:val="3"/>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3E08"/>
    <w:rsid w:val="0A5D586B"/>
    <w:rsid w:val="0AE33A79"/>
    <w:rsid w:val="117C5918"/>
    <w:rsid w:val="12981CF3"/>
    <w:rsid w:val="18BD1C06"/>
    <w:rsid w:val="1A505417"/>
    <w:rsid w:val="1A527F83"/>
    <w:rsid w:val="1D26713E"/>
    <w:rsid w:val="1E6445C7"/>
    <w:rsid w:val="21F1259A"/>
    <w:rsid w:val="2DDF7D2C"/>
    <w:rsid w:val="2E78575A"/>
    <w:rsid w:val="3175660E"/>
    <w:rsid w:val="324A78EB"/>
    <w:rsid w:val="33720653"/>
    <w:rsid w:val="38A76538"/>
    <w:rsid w:val="44731486"/>
    <w:rsid w:val="45651737"/>
    <w:rsid w:val="466803AE"/>
    <w:rsid w:val="4B02296C"/>
    <w:rsid w:val="50665BD9"/>
    <w:rsid w:val="521141C8"/>
    <w:rsid w:val="5299576D"/>
    <w:rsid w:val="56214D3A"/>
    <w:rsid w:val="59920E62"/>
    <w:rsid w:val="5A2C1A7A"/>
    <w:rsid w:val="5CB4115A"/>
    <w:rsid w:val="5D0E14A8"/>
    <w:rsid w:val="5E383238"/>
    <w:rsid w:val="5E5A023D"/>
    <w:rsid w:val="60460557"/>
    <w:rsid w:val="611F0475"/>
    <w:rsid w:val="61B51C11"/>
    <w:rsid w:val="61F145A1"/>
    <w:rsid w:val="633616DA"/>
    <w:rsid w:val="67B64012"/>
    <w:rsid w:val="70756C63"/>
    <w:rsid w:val="70E95D93"/>
    <w:rsid w:val="73D41B79"/>
    <w:rsid w:val="743533A6"/>
    <w:rsid w:val="76F02F62"/>
    <w:rsid w:val="7D0E089D"/>
    <w:rsid w:val="7D8741A2"/>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cs="仿宋_GB2312"/>
      <w:kern w:val="0"/>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1"/>
    <w:next w:val="1"/>
    <w:qFormat/>
    <w:uiPriority w:val="0"/>
    <w:pPr>
      <w:ind w:left="420" w:leftChars="200" w:firstLine="420" w:firstLineChars="2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实施方案正文"/>
    <w:basedOn w:val="1"/>
    <w:qFormat/>
    <w:uiPriority w:val="0"/>
    <w:pPr>
      <w:ind w:firstLine="566" w:firstLineChars="202"/>
    </w:pPr>
    <w:rPr>
      <w:szCs w:val="28"/>
    </w:rPr>
  </w:style>
  <w:style w:type="paragraph" w:customStyle="1" w:styleId="12">
    <w:name w:val="38"/>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3">
    <w:name w:val="2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be38f-7ca6-4899-bbea-be61786e560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Administrator</cp:lastModifiedBy>
  <dcterms:modified xsi:type="dcterms:W3CDTF">2025-09-11T07:04:29Z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