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rPr>
          <w:rFonts w:hint="eastAsia" w:ascii="方正小标宋简体" w:hAnsi="方正小标宋简体" w:eastAsia="方正小标宋简体" w:cs="方正小标宋简体"/>
          <w:sz w:val="30"/>
          <w:szCs w:val="30"/>
          <w:highlight w:val="none"/>
          <w:lang w:val="en-US" w:eastAsia="zh-CN"/>
        </w:rPr>
      </w:pPr>
      <w:r>
        <w:rPr>
          <w:rFonts w:ascii="Arial" w:hAnsi="Arial" w:eastAsia="宋体" w:cs="Arial"/>
          <w:b/>
          <w:i w:val="0"/>
          <w:caps w:val="0"/>
          <w:color w:val="000000"/>
          <w:spacing w:val="0"/>
          <w:sz w:val="30"/>
          <w:szCs w:val="30"/>
        </w:rPr>
        <w:t>监督索引号53042400632400201000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华宁县土地储备中心</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黑体" w:hAnsi="黑体" w:eastAsia="黑体"/>
          <w:sz w:val="30"/>
          <w:szCs w:val="30"/>
          <w:highlight w:val="none"/>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一、主要职</w:t>
      </w:r>
      <w:r>
        <w:rPr>
          <w:rFonts w:hint="eastAsia" w:ascii="仿宋_GB2312" w:hAnsi="仿宋_GB2312" w:eastAsia="仿宋_GB2312" w:cs="仿宋_GB2312"/>
          <w:sz w:val="30"/>
          <w:szCs w:val="30"/>
          <w:highlight w:val="none"/>
          <w:lang w:eastAsia="zh-CN"/>
        </w:rPr>
        <w:t>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二、</w:t>
      </w:r>
      <w:r>
        <w:rPr>
          <w:rFonts w:hint="eastAsia" w:ascii="仿宋_GB2312" w:hAnsi="仿宋_GB2312" w:eastAsia="仿宋_GB2312" w:cs="仿宋_GB2312"/>
          <w:sz w:val="30"/>
          <w:szCs w:val="30"/>
          <w:highlight w:val="none"/>
          <w:lang w:eastAsia="zh-CN"/>
        </w:rPr>
        <w:t>基本情况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三、重点工作概述</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一、收入支出决算表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二、收入决算表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四、财政拨款收入支出决算表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五、一般公共预算财政拨款收入支出决算表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六、一般公共预算财政拨款基本支出决算表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七、</w:t>
      </w:r>
      <w:r>
        <w:rPr>
          <w:rFonts w:hint="eastAsia" w:ascii="仿宋_GB2312" w:hAnsi="仿宋_GB2312" w:eastAsia="仿宋_GB2312" w:cs="仿宋_GB2312"/>
          <w:sz w:val="30"/>
          <w:szCs w:val="30"/>
          <w:highlight w:val="none"/>
          <w:lang w:eastAsia="zh-CN"/>
        </w:rPr>
        <w:t>一般公共预算财政拨款项目支出决算表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九、国有资本经营预算财政拨款收入支出决算表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财政拨款</w:t>
      </w:r>
      <w:r>
        <w:rPr>
          <w:rFonts w:hint="eastAsia" w:ascii="仿宋_GB2312" w:hAnsi="仿宋_GB2312" w:eastAsia="仿宋_GB2312" w:cs="仿宋_GB2312"/>
          <w:sz w:val="30"/>
          <w:szCs w:val="30"/>
          <w:highlight w:val="none"/>
        </w:rPr>
        <w:t>“三公”经费、行政参公单位机关运行经费情况表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十一、一般公共预算财政拨款“三公”经费情况表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一、收入决算情况说明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二、支出决算情况说明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机关运行经费支出情况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w:t>
      </w:r>
      <w:r>
        <w:rPr>
          <w:rFonts w:hint="eastAsia" w:ascii="仿宋_GB2312" w:hAnsi="仿宋_GB2312" w:eastAsia="仿宋_GB2312" w:cs="仿宋_GB2312"/>
          <w:sz w:val="30"/>
          <w:szCs w:val="30"/>
          <w:highlight w:val="none"/>
        </w:rPr>
        <w:t>政府采购支出情况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四、</w:t>
      </w:r>
      <w:r>
        <w:rPr>
          <w:rFonts w:hint="eastAsia" w:ascii="仿宋_GB2312" w:hAnsi="仿宋_GB2312" w:eastAsia="仿宋_GB2312" w:cs="仿宋_GB2312"/>
          <w:sz w:val="30"/>
          <w:szCs w:val="30"/>
          <w:highlight w:val="none"/>
          <w:lang w:val="en-US" w:eastAsia="zh-CN"/>
        </w:rPr>
        <w:t>部门绩效自评情况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五、</w:t>
      </w:r>
      <w:r>
        <w:rPr>
          <w:rFonts w:hint="eastAsia" w:ascii="仿宋_GB2312" w:hAnsi="仿宋_GB2312" w:eastAsia="仿宋_GB2312" w:cs="仿宋_GB2312"/>
          <w:sz w:val="30"/>
          <w:szCs w:val="30"/>
          <w:highlight w:val="none"/>
          <w:lang w:val="en-US" w:eastAsia="zh-CN"/>
        </w:rPr>
        <w:t>其他重要事项情况说明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六、相关口径说明</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p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pStyle w:val="4"/>
        <w:keepNext w:val="0"/>
        <w:keepLines w:val="0"/>
        <w:pageBreakBefore w:val="0"/>
        <w:widowControl w:val="0"/>
        <w:kinsoku/>
        <w:wordWrap/>
        <w:overflowPunct/>
        <w:topLinePunct w:val="0"/>
        <w:autoSpaceDE/>
        <w:autoSpaceDN/>
        <w:bidi w:val="0"/>
        <w:adjustRightInd w:val="0"/>
        <w:snapToGrid w:val="0"/>
        <w:spacing w:before="95" w:beforeLines="30" w:line="600" w:lineRule="exact"/>
        <w:ind w:left="0" w:leftChars="0" w:right="0" w:rightChars="0" w:firstLine="627" w:firstLineChars="209"/>
        <w:jc w:val="both"/>
        <w:textAlignment w:val="auto"/>
        <w:outlineLvl w:val="9"/>
        <w:rPr>
          <w:rFonts w:hint="eastAsia"/>
          <w:bCs/>
          <w:szCs w:val="30"/>
          <w:highlight w:val="none"/>
          <w:lang w:eastAsia="zh-CN"/>
        </w:rPr>
      </w:pPr>
      <w:r>
        <w:rPr>
          <w:rFonts w:hint="eastAsia"/>
          <w:bCs/>
          <w:szCs w:val="30"/>
          <w:highlight w:val="none"/>
          <w:lang w:eastAsia="zh-CN"/>
        </w:rPr>
        <w:t>1.根据土地利用和总体规划、城镇规划和城区开发改造计划，制定土地储备计划；</w:t>
      </w:r>
    </w:p>
    <w:p>
      <w:pPr>
        <w:pStyle w:val="4"/>
        <w:keepNext w:val="0"/>
        <w:keepLines w:val="0"/>
        <w:pageBreakBefore w:val="0"/>
        <w:widowControl w:val="0"/>
        <w:kinsoku/>
        <w:wordWrap/>
        <w:overflowPunct/>
        <w:topLinePunct w:val="0"/>
        <w:autoSpaceDE/>
        <w:autoSpaceDN/>
        <w:bidi w:val="0"/>
        <w:adjustRightInd w:val="0"/>
        <w:snapToGrid w:val="0"/>
        <w:spacing w:before="95" w:beforeLines="30" w:line="600" w:lineRule="exact"/>
        <w:ind w:left="0" w:leftChars="0" w:right="0" w:rightChars="0" w:firstLine="627" w:firstLineChars="209"/>
        <w:jc w:val="both"/>
        <w:textAlignment w:val="auto"/>
        <w:outlineLvl w:val="9"/>
        <w:rPr>
          <w:rFonts w:hint="eastAsia"/>
          <w:bCs/>
          <w:szCs w:val="30"/>
          <w:highlight w:val="none"/>
          <w:lang w:eastAsia="zh-CN"/>
        </w:rPr>
      </w:pPr>
      <w:r>
        <w:rPr>
          <w:rFonts w:hint="eastAsia"/>
          <w:bCs/>
          <w:szCs w:val="30"/>
          <w:highlight w:val="none"/>
          <w:lang w:eastAsia="zh-CN"/>
        </w:rPr>
        <w:t>2.对城镇规划区范围内需盘活的存量土地、旧城区改造的国有土地和依法收回的违法用地、闲置土地、待征土地及无主地给予安置补偿后，进行收购储备；</w:t>
      </w:r>
    </w:p>
    <w:p>
      <w:pPr>
        <w:pStyle w:val="4"/>
        <w:keepNext w:val="0"/>
        <w:keepLines w:val="0"/>
        <w:pageBreakBefore w:val="0"/>
        <w:widowControl w:val="0"/>
        <w:kinsoku/>
        <w:wordWrap/>
        <w:overflowPunct/>
        <w:topLinePunct w:val="0"/>
        <w:autoSpaceDE/>
        <w:autoSpaceDN/>
        <w:bidi w:val="0"/>
        <w:adjustRightInd w:val="0"/>
        <w:snapToGrid w:val="0"/>
        <w:spacing w:before="95" w:beforeLines="30" w:line="600" w:lineRule="exact"/>
        <w:ind w:left="0" w:leftChars="0" w:right="0" w:rightChars="0" w:firstLine="627" w:firstLineChars="209"/>
        <w:jc w:val="both"/>
        <w:textAlignment w:val="auto"/>
        <w:outlineLvl w:val="9"/>
        <w:rPr>
          <w:rFonts w:hint="eastAsia"/>
          <w:bCs/>
          <w:szCs w:val="30"/>
          <w:highlight w:val="none"/>
          <w:lang w:eastAsia="zh-CN"/>
        </w:rPr>
      </w:pPr>
      <w:r>
        <w:rPr>
          <w:rFonts w:hint="eastAsia"/>
          <w:bCs/>
          <w:szCs w:val="30"/>
          <w:highlight w:val="none"/>
          <w:lang w:eastAsia="zh-CN"/>
        </w:rPr>
        <w:t>3.根据土地利用总体规划、城镇规划及市场需求，适当储备新增建设用地，增强政府对土地供应的调控力度；</w:t>
      </w:r>
    </w:p>
    <w:p>
      <w:pPr>
        <w:pStyle w:val="4"/>
        <w:keepNext w:val="0"/>
        <w:keepLines w:val="0"/>
        <w:pageBreakBefore w:val="0"/>
        <w:widowControl w:val="0"/>
        <w:kinsoku/>
        <w:wordWrap/>
        <w:overflowPunct/>
        <w:topLinePunct w:val="0"/>
        <w:autoSpaceDE/>
        <w:autoSpaceDN/>
        <w:bidi w:val="0"/>
        <w:adjustRightInd w:val="0"/>
        <w:snapToGrid w:val="0"/>
        <w:spacing w:before="95" w:beforeLines="30" w:line="600" w:lineRule="exact"/>
        <w:ind w:left="0" w:leftChars="0" w:right="0" w:rightChars="0" w:firstLine="627" w:firstLineChars="209"/>
        <w:jc w:val="both"/>
        <w:textAlignment w:val="auto"/>
        <w:outlineLvl w:val="9"/>
        <w:rPr>
          <w:rFonts w:hint="eastAsia"/>
          <w:bCs/>
          <w:szCs w:val="30"/>
          <w:highlight w:val="none"/>
          <w:lang w:eastAsia="zh-CN"/>
        </w:rPr>
      </w:pPr>
      <w:r>
        <w:rPr>
          <w:rFonts w:hint="eastAsia"/>
          <w:bCs/>
          <w:szCs w:val="30"/>
          <w:highlight w:val="none"/>
          <w:lang w:eastAsia="zh-CN"/>
        </w:rPr>
        <w:t>4.在市土地储备中心的指导、监督下，加强与各部门配合，管理、运作土地储备；</w:t>
      </w:r>
    </w:p>
    <w:p>
      <w:pPr>
        <w:pStyle w:val="4"/>
        <w:keepNext w:val="0"/>
        <w:keepLines w:val="0"/>
        <w:pageBreakBefore w:val="0"/>
        <w:widowControl w:val="0"/>
        <w:kinsoku/>
        <w:wordWrap/>
        <w:overflowPunct/>
        <w:topLinePunct w:val="0"/>
        <w:autoSpaceDE/>
        <w:autoSpaceDN/>
        <w:bidi w:val="0"/>
        <w:adjustRightInd w:val="0"/>
        <w:snapToGrid w:val="0"/>
        <w:spacing w:before="95" w:beforeLines="30" w:line="600" w:lineRule="exact"/>
        <w:ind w:left="0" w:leftChars="0" w:right="0" w:rightChars="0" w:firstLine="627" w:firstLineChars="209"/>
        <w:jc w:val="both"/>
        <w:textAlignment w:val="auto"/>
        <w:outlineLvl w:val="9"/>
        <w:rPr>
          <w:rFonts w:hint="eastAsia"/>
          <w:bCs/>
          <w:szCs w:val="30"/>
          <w:highlight w:val="none"/>
          <w:lang w:eastAsia="zh-CN"/>
        </w:rPr>
      </w:pPr>
      <w:r>
        <w:rPr>
          <w:rFonts w:hint="eastAsia"/>
          <w:bCs/>
          <w:szCs w:val="30"/>
          <w:highlight w:val="none"/>
          <w:lang w:eastAsia="zh-CN"/>
        </w:rPr>
        <w:t>5.进行收购储备资金的测算、平衡，开展储备土地的前期开发、招商洽谈、出让、招标、拍卖及挂牌出让前期准备工作；</w:t>
      </w:r>
    </w:p>
    <w:p>
      <w:pPr>
        <w:pStyle w:val="4"/>
        <w:keepNext w:val="0"/>
        <w:keepLines w:val="0"/>
        <w:pageBreakBefore w:val="0"/>
        <w:widowControl w:val="0"/>
        <w:kinsoku/>
        <w:wordWrap/>
        <w:overflowPunct/>
        <w:topLinePunct w:val="0"/>
        <w:autoSpaceDE/>
        <w:autoSpaceDN/>
        <w:bidi w:val="0"/>
        <w:adjustRightInd w:val="0"/>
        <w:snapToGrid w:val="0"/>
        <w:spacing w:before="95" w:beforeLines="30" w:line="600" w:lineRule="exact"/>
        <w:ind w:left="0" w:leftChars="0" w:right="0" w:rightChars="0" w:firstLine="627" w:firstLineChars="209"/>
        <w:jc w:val="both"/>
        <w:textAlignment w:val="auto"/>
        <w:outlineLvl w:val="9"/>
        <w:rPr>
          <w:rFonts w:hint="eastAsia"/>
          <w:bCs/>
          <w:szCs w:val="30"/>
          <w:highlight w:val="none"/>
        </w:rPr>
      </w:pPr>
      <w:r>
        <w:rPr>
          <w:rFonts w:hint="eastAsia"/>
          <w:bCs/>
          <w:szCs w:val="30"/>
          <w:highlight w:val="none"/>
          <w:lang w:eastAsia="zh-CN"/>
        </w:rPr>
        <w:t>6.制定土地储备方案，报土地储备审批。</w:t>
      </w:r>
    </w:p>
    <w:p>
      <w:pPr>
        <w:spacing w:line="600" w:lineRule="exact"/>
        <w:ind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二、</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基本情况</w:t>
      </w:r>
    </w:p>
    <w:p>
      <w:pPr>
        <w:spacing w:line="600" w:lineRule="exact"/>
        <w:ind w:firstLine="600" w:firstLineChars="200"/>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我单位共设置</w:t>
      </w:r>
      <w:r>
        <w:rPr>
          <w:rFonts w:hint="eastAsia" w:ascii="仿宋_GB2312" w:eastAsia="仿宋_GB2312"/>
          <w:sz w:val="30"/>
          <w:szCs w:val="30"/>
          <w:highlight w:val="none"/>
        </w:rPr>
        <w:t>3个内设机构，包括：办公室、交易股、收储股，所属单位0个。</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我单位为基层预算单位，无下属单位。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eastAsia="zh-CN"/>
        </w:rPr>
        <w:t>我单位作为</w:t>
      </w:r>
      <w:r>
        <w:rPr>
          <w:rFonts w:hint="eastAsia" w:ascii="仿宋_GB2312" w:eastAsia="仿宋_GB2312"/>
          <w:sz w:val="30"/>
          <w:szCs w:val="30"/>
          <w:highlight w:val="none"/>
          <w:lang w:val="en-US" w:eastAsia="zh-CN"/>
        </w:rPr>
        <w:t>华宁县自然资源局的</w:t>
      </w:r>
      <w:r>
        <w:rPr>
          <w:rFonts w:hint="eastAsia" w:ascii="仿宋_GB2312" w:eastAsia="仿宋_GB2312"/>
          <w:sz w:val="30"/>
          <w:szCs w:val="30"/>
          <w:highlight w:val="none"/>
          <w:lang w:eastAsia="zh-CN"/>
        </w:rPr>
        <w:t>二级预算单位</w:t>
      </w: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w:t>
      </w:r>
      <w:r>
        <w:rPr>
          <w:rFonts w:hint="eastAsia" w:ascii="仿宋_GB2312" w:eastAsia="仿宋_GB2312"/>
          <w:sz w:val="30"/>
          <w:szCs w:val="30"/>
          <w:highlight w:val="none"/>
          <w:lang w:eastAsia="zh-CN"/>
        </w:rPr>
        <w:t>范围</w:t>
      </w:r>
      <w:r>
        <w:rPr>
          <w:rFonts w:hint="eastAsia" w:ascii="仿宋_GB2312" w:eastAsia="仿宋_GB2312"/>
          <w:sz w:val="30"/>
          <w:szCs w:val="30"/>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eastAsia="zh-CN"/>
        </w:rPr>
        <w:t>我单位</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编制内</w:t>
      </w:r>
      <w:r>
        <w:rPr>
          <w:rFonts w:hint="eastAsia" w:ascii="仿宋_GB2312" w:eastAsia="仿宋_GB2312"/>
          <w:sz w:val="30"/>
          <w:szCs w:val="30"/>
          <w:highlight w:val="none"/>
        </w:rPr>
        <w:t>实有人员</w:t>
      </w:r>
      <w:r>
        <w:rPr>
          <w:rFonts w:hint="eastAsia" w:ascii="仿宋_GB2312" w:eastAsia="仿宋_GB2312"/>
          <w:sz w:val="30"/>
          <w:szCs w:val="30"/>
          <w:highlight w:val="none"/>
          <w:lang w:val="en-US" w:eastAsia="zh-CN"/>
        </w:rPr>
        <w:t>5</w:t>
      </w:r>
      <w:r>
        <w:rPr>
          <w:rFonts w:hint="eastAsia" w:ascii="仿宋_GB2312" w:hAnsi="宋体" w:eastAsia="仿宋_GB2312" w:cs="Arial"/>
          <w:kern w:val="0"/>
          <w:sz w:val="30"/>
          <w:szCs w:val="30"/>
          <w:highlight w:val="none"/>
        </w:rPr>
        <w:t>人。</w:t>
      </w:r>
      <w:r>
        <w:rPr>
          <w:rFonts w:hint="eastAsia" w:ascii="仿宋_GB2312" w:hAnsi="宋体" w:eastAsia="仿宋_GB2312" w:cs="Arial"/>
          <w:b w:val="0"/>
          <w:bCs w:val="0"/>
          <w:kern w:val="0"/>
          <w:sz w:val="30"/>
          <w:szCs w:val="30"/>
          <w:highlight w:val="none"/>
          <w:lang w:eastAsia="zh-CN"/>
        </w:rPr>
        <w:t>包括</w:t>
      </w:r>
      <w:r>
        <w:rPr>
          <w:rFonts w:hint="eastAsia" w:ascii="仿宋_GB2312" w:hAnsi="宋体" w:eastAsia="仿宋_GB2312" w:cs="Arial"/>
          <w:kern w:val="0"/>
          <w:sz w:val="30"/>
          <w:szCs w:val="30"/>
          <w:highlight w:val="none"/>
          <w:lang w:eastAsia="zh-CN"/>
        </w:rPr>
        <w:t>财政拨款开支经费的</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公务员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事业管理人员和专业技术人员</w:t>
      </w:r>
      <w:r>
        <w:rPr>
          <w:rFonts w:hint="eastAsia" w:ascii="仿宋_GB2312" w:eastAsia="仿宋_GB2312"/>
          <w:sz w:val="30"/>
          <w:szCs w:val="30"/>
          <w:highlight w:val="none"/>
          <w:lang w:val="en-US" w:eastAsia="zh-CN"/>
        </w:rPr>
        <w:t>5</w:t>
      </w:r>
      <w:r>
        <w:rPr>
          <w:rFonts w:hint="eastAsia" w:ascii="仿宋_GB2312" w:hAnsi="宋体" w:eastAsia="仿宋_GB2312" w:cs="Arial"/>
          <w:kern w:val="0"/>
          <w:sz w:val="30"/>
          <w:szCs w:val="30"/>
          <w:highlight w:val="none"/>
        </w:rPr>
        <w:t>人，机关和事业工人</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；经费自理人员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仿宋_GB2312" w:hAnsi="宋体" w:eastAsia="仿宋_GB2312" w:cs="Arial"/>
          <w:kern w:val="0"/>
          <w:sz w:val="30"/>
          <w:szCs w:val="30"/>
          <w:highlight w:val="none"/>
          <w:lang w:val="en-US" w:eastAsia="zh-CN"/>
        </w:rPr>
      </w:pPr>
      <w:r>
        <w:rPr>
          <w:rFonts w:hint="eastAsia" w:ascii="仿宋_GB2312" w:eastAsia="仿宋_GB2312"/>
          <w:sz w:val="30"/>
          <w:szCs w:val="30"/>
          <w:highlight w:val="none"/>
          <w:lang w:eastAsia="zh-CN"/>
        </w:rPr>
        <w:t>我单位</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年末</w:t>
      </w:r>
      <w:r>
        <w:rPr>
          <w:rFonts w:hint="eastAsia" w:ascii="仿宋_GB2312" w:eastAsia="仿宋_GB2312"/>
          <w:sz w:val="30"/>
          <w:szCs w:val="30"/>
          <w:highlight w:val="none"/>
          <w:lang w:eastAsia="zh-CN"/>
        </w:rPr>
        <w:t>其他人员</w:t>
      </w:r>
      <w:r>
        <w:rPr>
          <w:rFonts w:hint="eastAsia" w:ascii="仿宋_GB2312" w:eastAsia="仿宋_GB2312"/>
          <w:sz w:val="30"/>
          <w:szCs w:val="30"/>
          <w:highlight w:val="none"/>
          <w:lang w:val="en-US" w:eastAsia="zh-CN"/>
        </w:rPr>
        <w:t>1人。包括财政拨款开支经费的人员1</w:t>
      </w:r>
      <w:r>
        <w:rPr>
          <w:rFonts w:hint="eastAsia" w:ascii="仿宋_GB2312" w:eastAsia="仿宋_GB2312"/>
          <w:sz w:val="30"/>
          <w:szCs w:val="30"/>
          <w:highlight w:val="none"/>
          <w:lang w:eastAsia="zh-CN"/>
        </w:rPr>
        <w:t>人；经费自理人员</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lang w:eastAsia="zh-CN"/>
        </w:rPr>
        <w:t>人。</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default" w:ascii="仿宋_GB2312" w:hAnsi="宋体" w:eastAsia="仿宋_GB2312" w:cs="Arial"/>
          <w:color w:val="FF0000"/>
          <w:kern w:val="0"/>
          <w:sz w:val="30"/>
          <w:szCs w:val="30"/>
          <w:highlight w:val="none"/>
          <w:lang w:val="en-US" w:eastAsia="zh-CN"/>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0人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年末学生0人。年末遗属0人。</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车辆编制0辆，在编实有车辆0辆，超编0辆。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00" w:firstLineChars="200"/>
        <w:jc w:val="both"/>
        <w:textAlignment w:val="auto"/>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仿宋" w:eastAsia="仿宋_GB2312"/>
          <w:sz w:val="30"/>
          <w:szCs w:val="30"/>
          <w:highlight w:val="none"/>
        </w:rPr>
      </w:pPr>
      <w:r>
        <w:rPr>
          <w:rFonts w:hint="eastAsia" w:ascii="仿宋_GB2312" w:hAnsi="仿宋" w:eastAsia="仿宋_GB2312"/>
          <w:sz w:val="30"/>
          <w:szCs w:val="30"/>
          <w:highlight w:val="none"/>
        </w:rPr>
        <w:t>1.土地收储供应。积极落实“项目跟着规划走、土地要素跟着项目走”的新要求，完成土地收储项目6个、收储面积123.5亩；供应土地6宗，面积150.6亩，供应价款7096.6万元，其中，工业项目“标准地”供应2宗，面积106.3亩，供应价款2022万元，为220KV橘乡变电站建设项目、起则风电等重点项目提供土地保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仿宋" w:eastAsia="仿宋_GB2312"/>
          <w:sz w:val="30"/>
          <w:szCs w:val="30"/>
          <w:highlight w:val="none"/>
        </w:rPr>
      </w:pPr>
      <w:r>
        <w:rPr>
          <w:rFonts w:hint="eastAsia" w:ascii="仿宋_GB2312" w:hAnsi="仿宋" w:eastAsia="仿宋_GB2312"/>
          <w:sz w:val="30"/>
          <w:szCs w:val="30"/>
          <w:highlight w:val="none"/>
        </w:rPr>
        <w:t>2.批闲土地处置。一是批而未供。2024年下发我县批而未供土地基数为1305亩，处置任务数为391.5亩。截至目前，已处置批而未供土地面积146.51亩，处置率达 11.23 %。二是闲置土地。2024年市级下达我县闲置土地基数为475.58亩，处置任务数为166.45亩，截至目前，已处置闲置土地7宗，面积180.23亩，处置率37.9%，已完成今年处置任务。</w:t>
      </w:r>
    </w:p>
    <w:p>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spacing w:line="600" w:lineRule="exact"/>
        <w:ind w:firstLine="600" w:firstLineChars="200"/>
        <w:jc w:val="center"/>
        <w:rPr>
          <w:rFonts w:hint="eastAsia" w:ascii="仿宋_GB2312" w:eastAsia="仿宋_GB2312"/>
          <w:sz w:val="30"/>
          <w:szCs w:val="30"/>
          <w:highlight w:val="none"/>
        </w:rPr>
      </w:pPr>
      <w:r>
        <w:rPr>
          <w:rFonts w:hint="eastAsia" w:ascii="仿宋_GB2312" w:eastAsia="仿宋_GB2312"/>
          <w:sz w:val="30"/>
          <w:szCs w:val="30"/>
          <w:highlight w:val="none"/>
        </w:rPr>
        <w:t>（详见附件）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1.本部门202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2.本部门202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lang w:eastAsia="zh-CN"/>
        </w:rPr>
        <w:t>年度无一般公共预算财政拨款项目支出，《一般公共预算财政拨款项目支出决算表》为空表。</w:t>
      </w:r>
    </w:p>
    <w:p>
      <w:pPr>
        <w:jc w:val="center"/>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keepNext w:val="0"/>
        <w:keepLines w:val="0"/>
        <w:pageBreakBefore w:val="0"/>
        <w:kinsoku/>
        <w:overflowPunct/>
        <w:topLinePunct w:val="0"/>
        <w:autoSpaceDE/>
        <w:autoSpaceDN/>
        <w:bidi w:val="0"/>
        <w:adjustRightInd/>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538" w:firstLineChars="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华宁县土地储备中心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年度收入合计83,638,042.91元。其中：财政拨款收入83,638,042.91元，占总收入的</w:t>
      </w:r>
      <w:r>
        <w:rPr>
          <w:rFonts w:hint="eastAsia" w:ascii="仿宋_GB2312" w:eastAsia="仿宋_GB2312"/>
          <w:sz w:val="30"/>
          <w:szCs w:val="30"/>
          <w:highlight w:val="none"/>
          <w:lang w:val="en-US" w:eastAsia="zh-CN"/>
        </w:rPr>
        <w:t>100.00</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538" w:firstLineChars="0"/>
        <w:jc w:val="both"/>
        <w:textAlignment w:val="auto"/>
        <w:outlineLvl w:val="9"/>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29,421,122.11</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54.27%</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29,421,122.11</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54.27%</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是2024年项目支出增加。</w:t>
      </w:r>
    </w:p>
    <w:p>
      <w:pPr>
        <w:keepNext w:val="0"/>
        <w:keepLines w:val="0"/>
        <w:pageBreakBefore w:val="0"/>
        <w:kinsoku/>
        <w:overflowPunct/>
        <w:topLinePunct w:val="0"/>
        <w:autoSpaceDE/>
        <w:autoSpaceDN/>
        <w:bidi w:val="0"/>
        <w:adjustRightInd/>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kinsoku/>
        <w:overflowPunct/>
        <w:topLinePunct w:val="0"/>
        <w:autoSpaceDE/>
        <w:autoSpaceDN/>
        <w:bidi w:val="0"/>
        <w:adjustRightInd/>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华宁县土地储备中心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年度支出合计83,638,042.91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rPr>
        <w:t>823,330.96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rPr>
        <w:t>0.98</w:t>
      </w:r>
      <w:r>
        <w:rPr>
          <w:rFonts w:hint="eastAsia" w:ascii="仿宋_GB2312" w:hAnsi="宋体" w:eastAsia="仿宋_GB2312" w:cs="Arial"/>
          <w:kern w:val="0"/>
          <w:sz w:val="30"/>
          <w:szCs w:val="30"/>
          <w:highlight w:val="none"/>
        </w:rPr>
        <w:t>％；项目支出</w:t>
      </w:r>
      <w:r>
        <w:rPr>
          <w:rFonts w:hint="eastAsia" w:ascii="仿宋_GB2312" w:eastAsia="仿宋_GB2312"/>
          <w:sz w:val="30"/>
          <w:szCs w:val="30"/>
          <w:highlight w:val="none"/>
        </w:rPr>
        <w:t>82,814,711.95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rPr>
        <w:t>99.02</w:t>
      </w:r>
      <w:r>
        <w:rPr>
          <w:rFonts w:hint="eastAsia" w:ascii="仿宋_GB2312" w:hAnsi="宋体" w:eastAsia="仿宋_GB2312" w:cs="Arial"/>
          <w:kern w:val="0"/>
          <w:sz w:val="30"/>
          <w:szCs w:val="30"/>
          <w:highlight w:val="none"/>
        </w:rPr>
        <w:t>％；上缴上级支出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％；经营支出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％；对附属单位补助支出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w:t>
      </w:r>
    </w:p>
    <w:p>
      <w:pPr>
        <w:keepNext w:val="0"/>
        <w:keepLines w:val="0"/>
        <w:pageBreakBefore w:val="0"/>
        <w:kinsoku/>
        <w:overflowPunct/>
        <w:topLinePunct w:val="0"/>
        <w:autoSpaceDE/>
        <w:autoSpaceDN/>
        <w:bidi w:val="0"/>
        <w:adjustRightInd/>
        <w:spacing w:line="600" w:lineRule="exact"/>
        <w:ind w:left="0" w:leftChars="0" w:right="0" w:rightChars="0" w:firstLine="600" w:firstLineChars="200"/>
        <w:jc w:val="both"/>
        <w:textAlignment w:val="auto"/>
        <w:outlineLvl w:val="9"/>
        <w:rPr>
          <w:rFonts w:hint="eastAsia" w:ascii="仿宋_GB2312" w:eastAsia="仿宋_GB2312"/>
          <w:color w:val="FF0000"/>
          <w:sz w:val="30"/>
          <w:szCs w:val="30"/>
          <w:highlight w:val="none"/>
          <w:lang w:eastAsia="zh-CN"/>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29,421,122.11</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54.27%</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减少144,663.75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下降14.94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eastAsia="仿宋_GB2312"/>
          <w:sz w:val="30"/>
          <w:szCs w:val="30"/>
          <w:highlight w:val="none"/>
          <w:lang w:val="en-US" w:eastAsia="zh-CN"/>
        </w:rPr>
        <w:t>29,565,785.86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77.67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是2024年项目支出增加</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color w:val="FF0000"/>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eastAsia="仿宋_GB2312"/>
          <w:sz w:val="30"/>
          <w:szCs w:val="30"/>
          <w:highlight w:val="none"/>
          <w:lang w:eastAsia="zh-CN"/>
        </w:rPr>
        <w:t>华宁县土地储备中心</w:t>
      </w:r>
      <w:r>
        <w:rPr>
          <w:rFonts w:hint="eastAsia" w:ascii="仿宋_GB2312" w:eastAsia="仿宋_GB2312"/>
          <w:sz w:val="30"/>
          <w:szCs w:val="30"/>
          <w:highlight w:val="none"/>
        </w:rPr>
        <w:t>机构正常运转的日常支出823,330.96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w:t>
      </w:r>
      <w:r>
        <w:rPr>
          <w:rFonts w:hint="eastAsia" w:ascii="仿宋_GB2312" w:eastAsia="仿宋_GB2312"/>
          <w:sz w:val="30"/>
          <w:szCs w:val="30"/>
          <w:highlight w:val="none"/>
          <w:lang w:val="en-US" w:eastAsia="zh-CN"/>
        </w:rPr>
        <w:t>818,591.96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99.42</w:t>
      </w:r>
      <w:r>
        <w:rPr>
          <w:rFonts w:hint="eastAsia" w:ascii="仿宋_GB2312" w:eastAsia="仿宋_GB2312"/>
          <w:sz w:val="30"/>
          <w:szCs w:val="30"/>
          <w:highlight w:val="none"/>
        </w:rPr>
        <w:t>％；办公费、印刷费、水电费、办公设备购置等公用经费</w:t>
      </w:r>
      <w:r>
        <w:rPr>
          <w:rFonts w:hint="eastAsia" w:ascii="仿宋_GB2312" w:eastAsia="仿宋_GB2312"/>
          <w:sz w:val="30"/>
          <w:szCs w:val="30"/>
          <w:highlight w:val="none"/>
          <w:lang w:val="en-US" w:eastAsia="zh-CN"/>
        </w:rPr>
        <w:t>4,739.00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0.58</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eastAsia="仿宋_GB2312"/>
          <w:sz w:val="30"/>
          <w:szCs w:val="30"/>
          <w:highlight w:val="none"/>
          <w:lang w:eastAsia="zh-CN"/>
        </w:rPr>
        <w:t>华宁县土地储备中心</w:t>
      </w:r>
      <w:r>
        <w:rPr>
          <w:rFonts w:hint="eastAsia" w:ascii="仿宋_GB2312" w:eastAsia="仿宋_GB2312"/>
          <w:sz w:val="30"/>
          <w:szCs w:val="30"/>
          <w:highlight w:val="none"/>
        </w:rPr>
        <w:t>为完成特定的行政工作任务或事业发展目标，用于专项业务工作的经费支出82,814,711.95</w:t>
      </w:r>
      <w:bookmarkStart w:id="0" w:name="OLE_LINK1"/>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bookmarkEnd w:id="0"/>
    <w:p>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征地和拆迁补偿项目经费26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848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244.51元，主要用于</w:t>
      </w:r>
      <w:r>
        <w:rPr>
          <w:rFonts w:hint="eastAsia" w:ascii="仿宋_GB2312" w:eastAsia="仿宋_GB2312"/>
          <w:sz w:val="30"/>
          <w:szCs w:val="30"/>
          <w:highlight w:val="none"/>
          <w:lang w:eastAsia="zh-CN"/>
        </w:rPr>
        <w:t>根据经批准的土地补偿和拆迁方案，兑付征地和拆迁补偿费。</w:t>
      </w:r>
    </w:p>
    <w:p>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报批规费项目经费23</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899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217.03元，主要用于</w:t>
      </w:r>
      <w:r>
        <w:rPr>
          <w:rFonts w:hint="eastAsia" w:ascii="仿宋_GB2312" w:eastAsia="仿宋_GB2312"/>
          <w:sz w:val="30"/>
          <w:szCs w:val="30"/>
          <w:highlight w:val="none"/>
          <w:lang w:eastAsia="zh-CN"/>
        </w:rPr>
        <w:t>土地报批时缴纳的费用。</w:t>
      </w:r>
    </w:p>
    <w:p>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被征地农民社保项目经费1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213</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380</w:t>
      </w:r>
      <w:r>
        <w:rPr>
          <w:rFonts w:hint="eastAsia" w:ascii="仿宋_GB2312" w:eastAsia="仿宋_GB2312"/>
          <w:sz w:val="30"/>
          <w:szCs w:val="30"/>
          <w:highlight w:val="none"/>
          <w:lang w:val="en-US" w:eastAsia="zh-CN"/>
        </w:rPr>
        <w:t>.00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缴纳被征地农民社保。</w:t>
      </w:r>
    </w:p>
    <w:p>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土地储备管理项目经费1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095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637.41元，主要用于</w:t>
      </w:r>
      <w:r>
        <w:rPr>
          <w:rFonts w:hint="eastAsia" w:ascii="仿宋_GB2312" w:eastAsia="仿宋_GB2312"/>
          <w:sz w:val="30"/>
          <w:szCs w:val="30"/>
          <w:highlight w:val="none"/>
          <w:lang w:eastAsia="zh-CN"/>
        </w:rPr>
        <w:t>支付与征地和拆迁项目有关的管理费用。</w:t>
      </w:r>
    </w:p>
    <w:p>
      <w:pPr>
        <w:keepNext w:val="0"/>
        <w:keepLines w:val="0"/>
        <w:pageBreakBefore w:val="0"/>
        <w:widowControl/>
        <w:kinsoku/>
        <w:wordWrap w:val="0"/>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收购项目经费</w:t>
      </w:r>
      <w:r>
        <w:rPr>
          <w:rFonts w:hint="eastAsia" w:ascii="仿宋_GB2312" w:eastAsia="仿宋_GB2312"/>
          <w:sz w:val="30"/>
          <w:szCs w:val="30"/>
          <w:highlight w:val="none"/>
          <w:lang w:val="en-US" w:eastAsia="zh-CN"/>
        </w:rPr>
        <w:t>29,758,233.00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按照批准的收购方案支付收购土地费用。</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华宁县土地储备中心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年度一般公共预算财政拨款支出823,330.96</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eastAsia="仿宋_GB2312"/>
          <w:sz w:val="30"/>
          <w:szCs w:val="30"/>
          <w:highlight w:val="none"/>
        </w:rPr>
        <w:t>0.98</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eastAsia="仿宋_GB2312"/>
          <w:sz w:val="30"/>
          <w:szCs w:val="30"/>
          <w:highlight w:val="none"/>
          <w:lang w:val="en-US" w:eastAsia="zh-CN"/>
        </w:rPr>
        <w:t>减少144,663.75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下降14.94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eastAsia="仿宋_GB2312"/>
          <w:sz w:val="30"/>
          <w:szCs w:val="30"/>
          <w:highlight w:val="none"/>
          <w:lang w:val="en-US" w:eastAsia="zh-CN"/>
        </w:rPr>
        <w:t>82.36%。</w:t>
      </w:r>
      <w:r>
        <w:rPr>
          <w:rFonts w:hint="eastAsia" w:ascii="仿宋_GB2312" w:eastAsia="仿宋_GB2312"/>
          <w:sz w:val="30"/>
          <w:szCs w:val="30"/>
          <w:highlight w:val="none"/>
        </w:rPr>
        <w:t>主要</w:t>
      </w:r>
      <w:r>
        <w:rPr>
          <w:rFonts w:hint="eastAsia" w:ascii="仿宋_GB2312" w:hAnsi="宋体" w:eastAsia="仿宋_GB2312" w:cs="Arial"/>
          <w:kern w:val="0"/>
          <w:sz w:val="30"/>
          <w:szCs w:val="30"/>
          <w:highlight w:val="none"/>
        </w:rPr>
        <w:t>原因</w:t>
      </w:r>
      <w:r>
        <w:rPr>
          <w:rFonts w:hint="eastAsia" w:ascii="仿宋_GB2312" w:hAnsi="宋体" w:eastAsia="仿宋_GB2312" w:cs="Arial"/>
          <w:kern w:val="0"/>
          <w:sz w:val="30"/>
          <w:szCs w:val="30"/>
          <w:highlight w:val="none"/>
          <w:lang w:eastAsia="zh-CN"/>
        </w:rPr>
        <w:t>是</w:t>
      </w:r>
      <w:r>
        <w:rPr>
          <w:rFonts w:hint="eastAsia" w:ascii="仿宋_GB2312" w:hAnsi="宋体" w:eastAsia="仿宋_GB2312" w:cs="Arial"/>
          <w:kern w:val="0"/>
          <w:sz w:val="30"/>
          <w:szCs w:val="30"/>
          <w:highlight w:val="none"/>
          <w:lang w:val="en-US" w:eastAsia="zh-CN"/>
        </w:rPr>
        <w:t>2024年</w:t>
      </w:r>
      <w:r>
        <w:rPr>
          <w:rFonts w:hint="eastAsia" w:ascii="仿宋_GB2312" w:hAnsi="宋体" w:eastAsia="仿宋_GB2312" w:cs="Arial"/>
          <w:kern w:val="0"/>
          <w:sz w:val="30"/>
          <w:szCs w:val="30"/>
          <w:highlight w:val="none"/>
          <w:lang w:eastAsia="zh-CN"/>
        </w:rPr>
        <w:t>调出</w:t>
      </w:r>
      <w:r>
        <w:rPr>
          <w:rFonts w:hint="eastAsia" w:ascii="仿宋_GB2312" w:hAnsi="宋体" w:eastAsia="仿宋_GB2312" w:cs="Arial"/>
          <w:kern w:val="0"/>
          <w:sz w:val="30"/>
          <w:szCs w:val="30"/>
          <w:highlight w:val="none"/>
          <w:lang w:val="en-US" w:eastAsia="zh-CN"/>
        </w:rPr>
        <w:t>2人</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w:t>
      </w:r>
      <w:bookmarkStart w:id="1" w:name="_GoBack"/>
      <w:bookmarkEnd w:id="1"/>
      <w:r>
        <w:rPr>
          <w:rFonts w:hint="eastAsia" w:ascii="楷体" w:hAnsi="楷体" w:eastAsia="楷体"/>
          <w:sz w:val="30"/>
          <w:szCs w:val="30"/>
          <w:highlight w:val="none"/>
          <w:lang w:eastAsia="zh-CN"/>
        </w:rPr>
        <w:t>情况</w:t>
      </w:r>
      <w:r>
        <w:rPr>
          <w:rFonts w:hint="eastAsia" w:ascii="楷体" w:hAnsi="楷体" w:eastAsia="楷体"/>
          <w:sz w:val="30"/>
          <w:szCs w:val="30"/>
          <w:highlight w:val="none"/>
        </w:rPr>
        <w:tab/>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color w:val="auto"/>
          <w:sz w:val="30"/>
          <w:szCs w:val="30"/>
          <w:lang w:eastAsia="zh-CN"/>
        </w:rPr>
        <w:t>年初无此项预算</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lang w:eastAsia="zh-CN"/>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%，年初无此预算</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4.公共安全（类）支出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lang w:eastAsia="zh-CN"/>
        </w:rPr>
        <w:t>占一般公共预算财政拨款总支出的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5.教育支出（类）支出0.00元，占一般公共预算财政拨款总支出的0.00%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6.科学技术支出（类）支出0.00元，占一般公共预算财政拨款总支出的0.00%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7.文化旅游体育与传媒支出（类）支出0.00元，占一般公共预算财政拨款总支出的0.00%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8.社会保障和就业支出（类）支出</w:t>
      </w:r>
      <w:r>
        <w:rPr>
          <w:rFonts w:hint="eastAsia" w:ascii="仿宋_GB2312" w:hAnsi="宋体" w:eastAsia="仿宋_GB2312" w:cs="Arial"/>
          <w:kern w:val="0"/>
          <w:sz w:val="30"/>
          <w:szCs w:val="30"/>
          <w:highlight w:val="none"/>
          <w:lang w:val="en-US" w:eastAsia="zh-CN"/>
        </w:rPr>
        <w:t>81</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538.88</w:t>
      </w:r>
      <w:r>
        <w:rPr>
          <w:rFonts w:hint="eastAsia" w:ascii="仿宋_GB2312" w:hAnsi="宋体" w:eastAsia="仿宋_GB2312" w:cs="Arial"/>
          <w:kern w:val="0"/>
          <w:sz w:val="30"/>
          <w:szCs w:val="30"/>
          <w:highlight w:val="none"/>
        </w:rPr>
        <w:t>元，占一般公共预算财政拨款总支出的9.9</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%,主要用于机关事业单位基本养老保险缴费支出。</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9.卫生健康支出（类）支出7</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508</w:t>
      </w:r>
      <w:r>
        <w:rPr>
          <w:rFonts w:hint="eastAsia" w:ascii="仿宋_GB2312" w:hAnsi="宋体" w:eastAsia="仿宋_GB2312" w:cs="Arial"/>
          <w:kern w:val="0"/>
          <w:sz w:val="30"/>
          <w:szCs w:val="30"/>
          <w:highlight w:val="none"/>
        </w:rPr>
        <w:t>.2</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元,占一般公共预算财政拨款总支出的</w:t>
      </w:r>
      <w:r>
        <w:rPr>
          <w:rFonts w:hint="eastAsia" w:ascii="仿宋_GB2312" w:hAnsi="宋体" w:eastAsia="仿宋_GB2312" w:cs="Arial"/>
          <w:kern w:val="0"/>
          <w:sz w:val="30"/>
          <w:szCs w:val="30"/>
          <w:highlight w:val="none"/>
          <w:lang w:val="en-US" w:eastAsia="zh-CN"/>
        </w:rPr>
        <w:t>8.56</w:t>
      </w:r>
      <w:r>
        <w:rPr>
          <w:rFonts w:hint="eastAsia" w:ascii="仿宋_GB2312" w:hAnsi="宋体" w:eastAsia="仿宋_GB2312" w:cs="Arial"/>
          <w:kern w:val="0"/>
          <w:sz w:val="30"/>
          <w:szCs w:val="30"/>
          <w:highlight w:val="none"/>
        </w:rPr>
        <w:t>%,主要用于职工医疗保险支出，其中，事业单位医疗4</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527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06</w:t>
      </w:r>
      <w:r>
        <w:rPr>
          <w:rFonts w:hint="eastAsia" w:ascii="仿宋_GB2312" w:hAnsi="宋体" w:eastAsia="仿宋_GB2312" w:cs="Arial"/>
          <w:kern w:val="0"/>
          <w:sz w:val="30"/>
          <w:szCs w:val="30"/>
          <w:highlight w:val="none"/>
        </w:rPr>
        <w:t>元，公务员医疗补助2</w:t>
      </w:r>
      <w:r>
        <w:rPr>
          <w:rFonts w:hint="eastAsia" w:ascii="仿宋_GB2312" w:hAnsi="宋体" w:eastAsia="仿宋_GB2312" w:cs="Arial"/>
          <w:kern w:val="0"/>
          <w:sz w:val="30"/>
          <w:szCs w:val="30"/>
          <w:highlight w:val="none"/>
          <w:lang w:val="en-US" w:eastAsia="zh-CN"/>
        </w:rPr>
        <w:t>1</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512</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w:t>
      </w:r>
      <w:r>
        <w:rPr>
          <w:rFonts w:hint="eastAsia" w:ascii="仿宋_GB2312" w:hAnsi="宋体" w:eastAsia="仿宋_GB2312" w:cs="Arial"/>
          <w:kern w:val="0"/>
          <w:sz w:val="30"/>
          <w:szCs w:val="30"/>
          <w:highlight w:val="none"/>
        </w:rPr>
        <w:t>2元,其他行政事业单位医疗支出</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468</w:t>
      </w:r>
      <w:r>
        <w:rPr>
          <w:rFonts w:hint="eastAsia" w:ascii="仿宋_GB2312" w:hAnsi="宋体" w:eastAsia="仿宋_GB2312" w:cs="Arial"/>
          <w:kern w:val="0"/>
          <w:sz w:val="30"/>
          <w:szCs w:val="30"/>
          <w:highlight w:val="none"/>
        </w:rPr>
        <w:t>.66元。</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10.节能环保支出(类）支出0.00元，占一般公共预算财政拨款总支出的0.00%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11.城乡社区支出(类）支出0.00元，占一般公共预算财政拨款总支出的0.00%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12.农林水支出(类）支出0.00元，占一般公共预算财政拨款总支出的0.00%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13.交通运输支出(类）支出0.00元，占一般公共预算财政拨款总支出的0.00%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14.资源勘探工业信息等支出(类）支出0.00元，占一般公共预算财政拨款总支出的0.00%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15.商业服务业等支出(类）支出0.00元，占一般公共预算财政拨款总支出的0.00%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16.金融支出(类）支出0.00元，占一般公共预算财政拨款总支出的0.00%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17.援助其他地区支出(类）支出0.00元，占一般公共预算财政拨款总支出的0.00%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18.自然资源海洋气象等支出(类）支出</w:t>
      </w:r>
      <w:r>
        <w:rPr>
          <w:rFonts w:hint="eastAsia" w:ascii="仿宋_GB2312" w:hAnsi="宋体" w:eastAsia="仿宋_GB2312" w:cs="Arial"/>
          <w:kern w:val="0"/>
          <w:sz w:val="30"/>
          <w:szCs w:val="30"/>
          <w:highlight w:val="none"/>
          <w:lang w:val="en-US" w:eastAsia="zh-CN"/>
        </w:rPr>
        <w:t>606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006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84</w:t>
      </w:r>
      <w:r>
        <w:rPr>
          <w:rFonts w:hint="eastAsia" w:ascii="仿宋_GB2312" w:hAnsi="宋体" w:eastAsia="仿宋_GB2312" w:cs="Arial"/>
          <w:kern w:val="0"/>
          <w:sz w:val="30"/>
          <w:szCs w:val="30"/>
          <w:highlight w:val="none"/>
        </w:rPr>
        <w:t>元，占一般公共预算财政拨款总支出的7</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.6</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%，主要用于人员经费和单公用经费的支出。</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19.住房保障支出(类）支出</w:t>
      </w:r>
      <w:r>
        <w:rPr>
          <w:rFonts w:hint="eastAsia" w:ascii="仿宋_GB2312" w:hAnsi="宋体" w:eastAsia="仿宋_GB2312" w:cs="Arial"/>
          <w:kern w:val="0"/>
          <w:sz w:val="30"/>
          <w:szCs w:val="30"/>
          <w:highlight w:val="none"/>
          <w:lang w:val="en-US" w:eastAsia="zh-CN"/>
        </w:rPr>
        <w:t>65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277</w:t>
      </w:r>
      <w:r>
        <w:rPr>
          <w:rFonts w:hint="eastAsia" w:ascii="仿宋_GB2312" w:hAnsi="宋体" w:eastAsia="仿宋_GB2312" w:cs="Arial"/>
          <w:kern w:val="0"/>
          <w:sz w:val="30"/>
          <w:szCs w:val="30"/>
          <w:highlight w:val="none"/>
        </w:rPr>
        <w:t>.00元，占一般公共预算财政拨款总支出的7.</w:t>
      </w:r>
      <w:r>
        <w:rPr>
          <w:rFonts w:hint="eastAsia" w:ascii="仿宋_GB2312" w:hAnsi="宋体" w:eastAsia="仿宋_GB2312" w:cs="Arial"/>
          <w:kern w:val="0"/>
          <w:sz w:val="30"/>
          <w:szCs w:val="30"/>
          <w:highlight w:val="none"/>
          <w:lang w:val="en-US" w:eastAsia="zh-CN"/>
        </w:rPr>
        <w:t>93</w:t>
      </w:r>
      <w:r>
        <w:rPr>
          <w:rFonts w:hint="eastAsia" w:ascii="仿宋_GB2312" w:hAnsi="宋体" w:eastAsia="仿宋_GB2312" w:cs="Arial"/>
          <w:kern w:val="0"/>
          <w:sz w:val="30"/>
          <w:szCs w:val="30"/>
          <w:highlight w:val="none"/>
        </w:rPr>
        <w:t>%。主要用于缴纳职工住房公积金补助支出。</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20.粮油物资储备支出(类）支出0.00元，占一般公共预算财政拨款总支出的0.00%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21.国有资本经营预算支出(类）支出0.00元，占一般公共预算财政拨款总支出的0.00%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22.灾害防治及应急管理支出(类）支出0.00元，占一般公共预算财政拨款总支出的0.00%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23.其他支出(类）支出0.00元，占一般公共预算财政拨款总支出的0.00%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24.债务还本支出(类）支出0.00元，占一般公共预算财政拨款总支出的0.00%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25.债务付息支出(类）支出0.00元，占一般公共预算财政拨款总支出的0.00%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26.抗疫特别国债安排的支出(类）支出0.00元，占一般公共预算财政拨款总支出的0.00%</w:t>
      </w:r>
      <w:r>
        <w:rPr>
          <w:rFonts w:hint="eastAsia" w:ascii="仿宋_GB2312" w:eastAsia="仿宋_GB2312"/>
          <w:sz w:val="30"/>
          <w:szCs w:val="30"/>
          <w:highlight w:val="none"/>
          <w:lang w:eastAsia="zh-CN"/>
        </w:rPr>
        <w:t>，年初无此预算</w:t>
      </w:r>
      <w:r>
        <w:rPr>
          <w:rFonts w:hint="eastAsia" w:ascii="仿宋_GB2312" w:hAnsi="宋体" w:eastAsia="仿宋_GB2312" w:cs="Arial"/>
          <w:kern w:val="0"/>
          <w:sz w:val="30"/>
          <w:szCs w:val="30"/>
          <w:highlight w:val="none"/>
        </w:rPr>
        <w:t>。</w:t>
      </w:r>
    </w:p>
    <w:p>
      <w:pPr>
        <w:keepNext w:val="0"/>
        <w:keepLines w:val="0"/>
        <w:pageBreakBefore w:val="0"/>
        <w:widowControl/>
        <w:numPr>
          <w:ilvl w:val="0"/>
          <w:numId w:val="1"/>
        </w:numPr>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（一）一般公共预算财政拨款“三公”经费支出决算总体情况</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color w:val="auto"/>
          <w:sz w:val="30"/>
          <w:szCs w:val="30"/>
          <w:lang w:eastAsia="zh-CN"/>
        </w:rPr>
      </w:pPr>
      <w:r>
        <w:rPr>
          <w:rFonts w:hint="eastAsia" w:ascii="仿宋_GB2312" w:hAnsi="宋体" w:eastAsia="仿宋_GB2312" w:cs="Arial"/>
          <w:kern w:val="0"/>
          <w:sz w:val="30"/>
          <w:szCs w:val="30"/>
          <w:highlight w:val="none"/>
          <w:lang w:val="en-US" w:eastAsia="zh-CN"/>
        </w:rPr>
        <w:t>2024</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减少435.00元，下降100.00%</w:t>
      </w:r>
      <w:r>
        <w:rPr>
          <w:rFonts w:hint="eastAsia" w:ascii="仿宋_GB2312" w:eastAsia="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color w:val="FF0000"/>
          <w:sz w:val="30"/>
          <w:szCs w:val="30"/>
          <w:lang w:eastAsia="zh-CN"/>
        </w:rPr>
      </w:pP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，年初无此预算</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，年初无此预算</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，年初无此预算</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rPr>
        <w:t>因公出国（境）费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sz w:val="30"/>
          <w:szCs w:val="30"/>
          <w:highlight w:val="none"/>
        </w:rPr>
        <w:t>公务用车购置费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hAnsi="宋体" w:eastAsia="仿宋_GB2312" w:cs="Arial"/>
          <w:kern w:val="0"/>
          <w:sz w:val="30"/>
          <w:szCs w:val="30"/>
          <w:highlight w:val="none"/>
          <w:lang w:eastAsia="zh-CN"/>
        </w:rPr>
        <w:t>支出决算较上年增加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rPr>
        <w:t>公务接待费</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减少435.00元，下降100.00%</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w:t>
      </w:r>
      <w:r>
        <w:rPr>
          <w:rFonts w:hint="eastAsia" w:ascii="仿宋_GB2312" w:hAnsi="宋体" w:eastAsia="仿宋_GB2312" w:cs="Arial"/>
          <w:kern w:val="0"/>
          <w:sz w:val="30"/>
          <w:szCs w:val="30"/>
          <w:highlight w:val="none"/>
          <w:lang w:val="en-US" w:eastAsia="zh-CN"/>
        </w:rPr>
        <w:t>减少435.00元，下降100.00%；</w:t>
      </w:r>
      <w:r>
        <w:rPr>
          <w:rFonts w:hint="eastAsia" w:ascii="仿宋_GB2312" w:hAnsi="宋体" w:eastAsia="仿宋_GB2312" w:cs="Arial"/>
          <w:kern w:val="0"/>
          <w:sz w:val="30"/>
          <w:szCs w:val="30"/>
          <w:highlight w:val="none"/>
          <w:lang w:eastAsia="zh-CN"/>
        </w:rPr>
        <w:t>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元，较上年增加</w:t>
      </w:r>
      <w:r>
        <w:rPr>
          <w:rFonts w:hint="eastAsia" w:ascii="仿宋_GB2312" w:hAnsi="宋体" w:eastAsia="仿宋_GB2312" w:cs="Arial"/>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hAnsi="宋体" w:eastAsia="仿宋_GB2312" w:cs="Arial"/>
          <w:kern w:val="0"/>
          <w:sz w:val="30"/>
          <w:szCs w:val="30"/>
          <w:highlight w:val="none"/>
          <w:lang w:eastAsia="zh-CN"/>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lang w:eastAsia="zh-CN"/>
        </w:rPr>
        <w:t>支出决算较上年</w:t>
      </w:r>
      <w:r>
        <w:rPr>
          <w:rFonts w:hint="eastAsia" w:ascii="仿宋_GB2312" w:hAnsi="宋体" w:eastAsia="仿宋_GB2312" w:cs="Arial"/>
          <w:kern w:val="0"/>
          <w:sz w:val="30"/>
          <w:szCs w:val="30"/>
          <w:highlight w:val="none"/>
          <w:lang w:val="en-US" w:eastAsia="zh-CN"/>
        </w:rPr>
        <w:t>减少435.00元，下降100.00%</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hAnsi="宋体" w:eastAsia="仿宋_GB2312" w:cs="Arial"/>
          <w:kern w:val="0"/>
          <w:sz w:val="30"/>
          <w:szCs w:val="30"/>
          <w:highlight w:val="none"/>
          <w:lang w:val="en-US" w:eastAsia="zh-CN"/>
        </w:rPr>
        <w:t>3,200.00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年度一般公共预算财政拨款“三公”经费支出决算数小于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预算数的主要原因</w:t>
      </w:r>
      <w:r>
        <w:rPr>
          <w:rFonts w:hint="eastAsia" w:ascii="仿宋_GB2312" w:eastAsia="仿宋_GB2312"/>
          <w:sz w:val="30"/>
          <w:szCs w:val="30"/>
          <w:highlight w:val="none"/>
          <w:lang w:eastAsia="zh-CN"/>
        </w:rPr>
        <w:t>是</w:t>
      </w:r>
      <w:r>
        <w:rPr>
          <w:rFonts w:hint="eastAsia" w:ascii="仿宋_GB2312" w:eastAsia="仿宋_GB2312"/>
          <w:color w:val="auto"/>
          <w:sz w:val="30"/>
          <w:szCs w:val="30"/>
          <w:highlight w:val="none"/>
          <w:lang w:val="en-US" w:eastAsia="zh-CN"/>
        </w:rPr>
        <w:t>2024年无“三公”经费支出，无公务接待支出</w:t>
      </w:r>
      <w:r>
        <w:rPr>
          <w:rFonts w:hint="eastAsia" w:ascii="仿宋_GB2312" w:eastAsia="仿宋_GB2312"/>
          <w:sz w:val="30"/>
          <w:szCs w:val="30"/>
          <w:highlight w:val="none"/>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color w:val="auto"/>
          <w:sz w:val="30"/>
          <w:szCs w:val="30"/>
          <w:highlight w:val="none"/>
        </w:rPr>
        <w:t>一般公共预算财政拨款“三公”经费支出</w:t>
      </w:r>
      <w:r>
        <w:rPr>
          <w:rFonts w:hint="eastAsia" w:ascii="仿宋_GB2312" w:eastAsia="仿宋_GB2312"/>
          <w:color w:val="auto"/>
          <w:sz w:val="30"/>
          <w:szCs w:val="30"/>
          <w:highlight w:val="none"/>
          <w:lang w:eastAsia="zh-CN"/>
        </w:rPr>
        <w:t>中：</w:t>
      </w:r>
      <w:r>
        <w:rPr>
          <w:rFonts w:hint="eastAsia" w:ascii="仿宋_GB2312" w:eastAsia="仿宋_GB2312"/>
          <w:color w:val="auto"/>
          <w:sz w:val="30"/>
          <w:szCs w:val="30"/>
          <w:highlight w:val="none"/>
        </w:rPr>
        <w:t>因公出国（境）费支出决算减少</w:t>
      </w:r>
      <w:r>
        <w:rPr>
          <w:rFonts w:hint="eastAsia" w:ascii="仿宋_GB2312" w:hAnsi="宋体" w:eastAsia="仿宋_GB2312" w:cs="Arial"/>
          <w:color w:val="auto"/>
          <w:kern w:val="0"/>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eastAsia="仿宋_GB2312"/>
          <w:color w:val="auto"/>
          <w:sz w:val="30"/>
          <w:szCs w:val="30"/>
          <w:highlight w:val="none"/>
        </w:rPr>
        <w:t>；公务用车购置费支出决算增加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eastAsia="仿宋_GB2312"/>
          <w:color w:val="auto"/>
          <w:sz w:val="30"/>
          <w:szCs w:val="30"/>
          <w:highlight w:val="none"/>
        </w:rPr>
        <w:t>；公务用车</w:t>
      </w:r>
      <w:r>
        <w:rPr>
          <w:rFonts w:hint="eastAsia" w:ascii="仿宋_GB2312" w:eastAsia="仿宋_GB2312"/>
          <w:color w:val="auto"/>
          <w:sz w:val="30"/>
          <w:szCs w:val="30"/>
          <w:highlight w:val="none"/>
          <w:lang w:eastAsia="zh-CN"/>
        </w:rPr>
        <w:t>运行维护费</w:t>
      </w:r>
      <w:r>
        <w:rPr>
          <w:rFonts w:hint="eastAsia" w:ascii="仿宋_GB2312" w:eastAsia="仿宋_GB2312"/>
          <w:color w:val="auto"/>
          <w:sz w:val="30"/>
          <w:szCs w:val="30"/>
          <w:highlight w:val="none"/>
        </w:rPr>
        <w:t>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上年无此项支出</w:t>
      </w:r>
      <w:r>
        <w:rPr>
          <w:rFonts w:hint="eastAsia" w:ascii="仿宋_GB2312" w:eastAsia="仿宋_GB2312"/>
          <w:color w:val="auto"/>
          <w:sz w:val="30"/>
          <w:szCs w:val="30"/>
          <w:highlight w:val="none"/>
        </w:rPr>
        <w:t>；公务接待费支出决算减少</w:t>
      </w:r>
      <w:r>
        <w:rPr>
          <w:rFonts w:hint="eastAsia" w:ascii="仿宋_GB2312" w:eastAsia="仿宋_GB2312"/>
          <w:color w:val="auto"/>
          <w:sz w:val="30"/>
          <w:szCs w:val="30"/>
          <w:highlight w:val="none"/>
          <w:lang w:val="en-US" w:eastAsia="zh-CN"/>
        </w:rPr>
        <w:t>435.00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，下降</w:t>
      </w:r>
      <w:r>
        <w:rPr>
          <w:rFonts w:hint="eastAsia" w:ascii="仿宋_GB2312" w:eastAsia="仿宋_GB2312"/>
          <w:color w:val="auto"/>
          <w:sz w:val="30"/>
          <w:szCs w:val="30"/>
          <w:highlight w:val="none"/>
          <w:lang w:val="en-US" w:eastAsia="zh-CN"/>
        </w:rPr>
        <w:t>100.00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w:t>
      </w:r>
      <w:r>
        <w:rPr>
          <w:rFonts w:hint="eastAsia" w:ascii="仿宋_GB2312" w:hAnsi="宋体" w:eastAsia="仿宋_GB2312" w:cs="Arial"/>
          <w:color w:val="auto"/>
          <w:kern w:val="0"/>
          <w:sz w:val="30"/>
          <w:szCs w:val="30"/>
          <w:highlight w:val="none"/>
          <w:lang w:eastAsia="zh-CN"/>
        </w:rPr>
        <w:t>具体是国内接待费支出决算</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元（其中：外事接待费支出决算</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元），较上年</w:t>
      </w:r>
      <w:r>
        <w:rPr>
          <w:rFonts w:hint="eastAsia" w:ascii="仿宋_GB2312" w:hAnsi="宋体" w:eastAsia="仿宋_GB2312" w:cs="Arial"/>
          <w:color w:val="auto"/>
          <w:kern w:val="0"/>
          <w:sz w:val="30"/>
          <w:szCs w:val="30"/>
          <w:highlight w:val="none"/>
          <w:lang w:val="en-US" w:eastAsia="zh-CN"/>
        </w:rPr>
        <w:t>减少435.00元，下降100.00%</w:t>
      </w:r>
      <w:r>
        <w:rPr>
          <w:rFonts w:hint="eastAsia" w:ascii="仿宋_GB2312" w:eastAsia="仿宋_GB2312"/>
          <w:color w:val="auto"/>
          <w:sz w:val="30"/>
          <w:szCs w:val="30"/>
          <w:lang w:eastAsia="zh-CN"/>
        </w:rPr>
        <w:t>；</w:t>
      </w:r>
      <w:r>
        <w:rPr>
          <w:rFonts w:hint="eastAsia" w:ascii="仿宋_GB2312" w:hAnsi="宋体" w:eastAsia="仿宋_GB2312" w:cs="Arial"/>
          <w:color w:val="auto"/>
          <w:kern w:val="0"/>
          <w:sz w:val="30"/>
          <w:szCs w:val="30"/>
          <w:highlight w:val="none"/>
          <w:lang w:eastAsia="zh-CN"/>
        </w:rPr>
        <w:t>国（境）外接待费支出决算</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元，较上年增加</w:t>
      </w:r>
      <w:r>
        <w:rPr>
          <w:rFonts w:hint="eastAsia" w:ascii="仿宋_GB2312" w:hAnsi="宋体" w:eastAsia="仿宋_GB2312" w:cs="Arial"/>
          <w:color w:val="auto"/>
          <w:kern w:val="0"/>
          <w:sz w:val="30"/>
          <w:szCs w:val="30"/>
          <w:highlight w:val="none"/>
          <w:lang w:val="en-US" w:eastAsia="zh-CN"/>
        </w:rPr>
        <w:t>,0.00元，</w:t>
      </w:r>
      <w:r>
        <w:rPr>
          <w:rFonts w:hint="eastAsia" w:ascii="仿宋_GB2312" w:eastAsia="仿宋_GB2312"/>
          <w:color w:val="auto"/>
          <w:sz w:val="30"/>
          <w:szCs w:val="30"/>
          <w:lang w:eastAsia="zh-CN"/>
        </w:rPr>
        <w:t>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年度一般公共预算财政拨款“三公”经费支出决算减少的主要原因</w:t>
      </w:r>
      <w:r>
        <w:rPr>
          <w:rFonts w:hint="eastAsia" w:ascii="仿宋_GB2312" w:eastAsia="仿宋_GB2312"/>
          <w:color w:val="auto"/>
          <w:sz w:val="30"/>
          <w:szCs w:val="30"/>
          <w:highlight w:val="none"/>
          <w:lang w:eastAsia="zh-CN"/>
        </w:rPr>
        <w:t>是</w:t>
      </w:r>
      <w:r>
        <w:rPr>
          <w:rFonts w:hint="eastAsia" w:ascii="仿宋_GB2312" w:eastAsia="仿宋_GB2312"/>
          <w:color w:val="auto"/>
          <w:sz w:val="30"/>
          <w:szCs w:val="30"/>
          <w:highlight w:val="none"/>
          <w:lang w:val="en-US" w:eastAsia="zh-CN"/>
        </w:rPr>
        <w:t>2024年无“三公”经费支出，无公务接待支出</w:t>
      </w:r>
      <w:r>
        <w:rPr>
          <w:rFonts w:hint="eastAsia" w:ascii="仿宋_GB2312" w:eastAsia="仿宋_GB2312"/>
          <w:color w:val="auto"/>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rPr>
        <w:t>一般公共预算财政拨款“三公”经费支出</w:t>
      </w:r>
      <w:r>
        <w:rPr>
          <w:rFonts w:hint="eastAsia" w:ascii="仿宋_GB2312" w:eastAsia="仿宋_GB2312"/>
          <w:sz w:val="30"/>
          <w:szCs w:val="30"/>
          <w:highlight w:val="none"/>
          <w:lang w:eastAsia="zh-CN"/>
        </w:rPr>
        <w:t>实物量的</w:t>
      </w:r>
      <w:r>
        <w:rPr>
          <w:rFonts w:hint="eastAsia" w:ascii="仿宋_GB2312" w:eastAsia="仿宋_GB2312"/>
          <w:sz w:val="30"/>
          <w:szCs w:val="30"/>
          <w:highlight w:val="none"/>
        </w:rPr>
        <w:t>具体情况</w:t>
      </w:r>
      <w:r>
        <w:rPr>
          <w:rFonts w:hint="eastAsia" w:ascii="仿宋_GB2312" w:eastAsia="仿宋_GB2312"/>
          <w:sz w:val="30"/>
          <w:szCs w:val="30"/>
          <w:highlight w:val="none"/>
          <w:lang w:eastAsia="zh-CN"/>
        </w:rPr>
        <w:t>：</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b w:val="0"/>
          <w:bCs/>
          <w:sz w:val="30"/>
          <w:szCs w:val="30"/>
          <w:highlight w:val="none"/>
        </w:rPr>
      </w:pPr>
      <w:r>
        <w:rPr>
          <w:rFonts w:hint="eastAsia" w:ascii="仿宋_GB2312" w:eastAsia="仿宋_GB2312"/>
          <w:b w:val="0"/>
          <w:bCs/>
          <w:sz w:val="30"/>
          <w:szCs w:val="30"/>
          <w:highlight w:val="none"/>
        </w:rPr>
        <w:t>1.安排因公出国（境）团组</w:t>
      </w:r>
      <w:r>
        <w:rPr>
          <w:rFonts w:hint="eastAsia" w:ascii="仿宋_GB2312" w:eastAsia="仿宋_GB2312"/>
          <w:b w:val="0"/>
          <w:bCs/>
          <w:sz w:val="30"/>
          <w:szCs w:val="30"/>
          <w:highlight w:val="none"/>
          <w:lang w:val="en-US" w:eastAsia="zh-CN"/>
        </w:rPr>
        <w:t>0.00</w:t>
      </w:r>
      <w:r>
        <w:rPr>
          <w:rFonts w:hint="eastAsia" w:ascii="仿宋_GB2312" w:eastAsia="仿宋_GB2312"/>
          <w:b w:val="0"/>
          <w:bCs/>
          <w:sz w:val="30"/>
          <w:szCs w:val="30"/>
          <w:highlight w:val="none"/>
        </w:rPr>
        <w:t>个，累计</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人次。</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b w:val="0"/>
          <w:bCs/>
          <w:sz w:val="30"/>
          <w:szCs w:val="30"/>
          <w:highlight w:val="none"/>
        </w:rPr>
      </w:pPr>
      <w:r>
        <w:rPr>
          <w:rFonts w:hint="eastAsia" w:ascii="仿宋_GB2312" w:eastAsia="仿宋_GB2312"/>
          <w:b w:val="0"/>
          <w:bCs/>
          <w:sz w:val="30"/>
          <w:szCs w:val="30"/>
          <w:highlight w:val="none"/>
        </w:rPr>
        <w:t>2.购置车辆</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辆。开支一般公共预算财政拨款的公务用车保有量为</w:t>
      </w:r>
      <w:r>
        <w:rPr>
          <w:rFonts w:hint="eastAsia" w:ascii="仿宋_GB2312" w:eastAsia="仿宋_GB2312"/>
          <w:b w:val="0"/>
          <w:bCs/>
          <w:sz w:val="30"/>
          <w:szCs w:val="30"/>
          <w:highlight w:val="none"/>
          <w:lang w:val="en-US" w:eastAsia="zh-CN"/>
        </w:rPr>
        <w:t>0</w:t>
      </w:r>
      <w:r>
        <w:rPr>
          <w:rFonts w:hint="eastAsia" w:ascii="仿宋_GB2312" w:eastAsia="仿宋_GB2312"/>
          <w:b w:val="0"/>
          <w:bCs/>
          <w:sz w:val="30"/>
          <w:szCs w:val="30"/>
          <w:highlight w:val="none"/>
        </w:rPr>
        <w:t>辆。</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rPr>
      </w:pPr>
      <w:r>
        <w:rPr>
          <w:rFonts w:hint="eastAsia" w:ascii="仿宋_GB2312" w:eastAsia="仿宋_GB2312"/>
          <w:b w:val="0"/>
          <w:bCs/>
          <w:sz w:val="30"/>
          <w:szCs w:val="30"/>
          <w:highlight w:val="none"/>
        </w:rPr>
        <w:t>3.安排</w:t>
      </w:r>
      <w:r>
        <w:rPr>
          <w:rFonts w:hint="eastAsia" w:ascii="仿宋_GB2312" w:eastAsia="仿宋_GB2312"/>
          <w:sz w:val="30"/>
          <w:szCs w:val="30"/>
          <w:highlight w:val="none"/>
        </w:rPr>
        <w:t>国内公务接待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批次（其中：外事接待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人（其中：外事接待人次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人）。安排国（境）外公务接待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w:t>
      </w:r>
    </w:p>
    <w:p>
      <w:pPr>
        <w:keepNext w:val="0"/>
        <w:keepLines w:val="0"/>
        <w:pageBreakBefore w:val="0"/>
        <w:widowControl/>
        <w:kinsoku/>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right="0" w:rightChars="0" w:firstLine="600" w:firstLineChars="200"/>
        <w:jc w:val="both"/>
        <w:textAlignment w:val="auto"/>
        <w:outlineLvl w:val="9"/>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华宁县土地储备中心</w:t>
      </w:r>
      <w:r>
        <w:rPr>
          <w:rFonts w:hint="eastAsia" w:ascii="仿宋_GB2312" w:hAnsi="黑体" w:eastAsia="仿宋_GB2312" w:cs="方正小标宋简体"/>
          <w:sz w:val="30"/>
          <w:szCs w:val="30"/>
          <w:highlight w:val="none"/>
          <w:lang w:val="en-US" w:eastAsia="zh-CN"/>
        </w:rPr>
        <w:t>2024</w:t>
      </w:r>
      <w:r>
        <w:rPr>
          <w:rFonts w:hint="eastAsia" w:ascii="仿宋_GB2312" w:hAnsi="黑体" w:eastAsia="仿宋_GB2312" w:cs="方正小标宋简体"/>
          <w:sz w:val="30"/>
          <w:szCs w:val="30"/>
          <w:highlight w:val="none"/>
        </w:rPr>
        <w:t>年机关运行经费支出</w:t>
      </w:r>
      <w:r>
        <w:rPr>
          <w:rFonts w:hint="eastAsia" w:ascii="仿宋_GB2312" w:hAnsi="黑体" w:eastAsia="仿宋_GB2312" w:cs="方正小标宋简体"/>
          <w:sz w:val="30"/>
          <w:szCs w:val="30"/>
          <w:highlight w:val="none"/>
          <w:lang w:val="en-US" w:eastAsia="zh-CN"/>
        </w:rPr>
        <w:t>0.00</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，主要原因是我单位无机关运行经费。</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截至2024年末，华宁县土地储备中心资产总额</w:t>
      </w:r>
      <w:r>
        <w:rPr>
          <w:rFonts w:hint="eastAsia" w:ascii="仿宋_GB2312" w:hAnsi="仿宋_GB2312" w:eastAsia="仿宋_GB2312" w:cs="仿宋_GB2312"/>
          <w:sz w:val="30"/>
          <w:szCs w:val="30"/>
          <w:highlight w:val="none"/>
          <w:lang w:val="en-US" w:eastAsia="zh-CN"/>
        </w:rPr>
        <w:t>57,685.40</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2.58</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3,783.00</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53,899.82</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30,866.32</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，其中固定资产增加</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项，账面原值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仿宋_GB2312" w:eastAsia="仿宋_GB2312" w:cs="仿宋_GB2312"/>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2024年度，单位政府采购支出总额0.00元，其中：政府采购货物支出0.00元；政府采购工程支出0.00元；政府采购服务支出0.00元。授予中小企业合同金额0.00元，其中：授予小微企业合同金额0.00元。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jc w:val="both"/>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rPr>
        <w:t>本单位无其他重要事项。</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outlineLvl w:val="9"/>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pStyle w:val="2"/>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eastAsia"/>
          <w:sz w:val="30"/>
          <w:szCs w:val="30"/>
          <w:lang w:eastAsia="zh-CN"/>
        </w:rPr>
      </w:pPr>
      <w:r>
        <w:rPr>
          <w:rFonts w:ascii="Arial" w:hAnsi="Arial" w:eastAsia="宋体" w:cs="Arial"/>
          <w:b/>
          <w:i w:val="0"/>
          <w:caps w:val="0"/>
          <w:color w:val="000000"/>
          <w:spacing w:val="0"/>
          <w:sz w:val="30"/>
          <w:szCs w:val="30"/>
        </w:rPr>
        <w:t>监督索引号53042400632400201111</w:t>
      </w:r>
    </w:p>
    <w:p>
      <w:pPr>
        <w:rPr>
          <w:highlight w:val="none"/>
        </w:rPr>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ew Century Schoolbook">
    <w:altName w:val="Segoe Print"/>
    <w:panose1 w:val="02040603050505020303"/>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modern"/>
    <w:pitch w:val="default"/>
    <w:sig w:usb0="800002BF" w:usb1="38CF7CFA" w:usb2="00000016" w:usb3="00000000" w:csb0="00040001" w:csb1="00000000"/>
  </w:font>
  <w:font w:name="方正黑体">
    <w:altName w:val="宋体"/>
    <w:panose1 w:val="00000000000000000000"/>
    <w:charset w:val="86"/>
    <w:family w:val="roman"/>
    <w:pitch w:val="default"/>
    <w:sig w:usb0="00000000" w:usb1="00000000" w:usb2="00000010" w:usb3="00000000" w:csb0="00040000" w:csb1="00000000"/>
  </w:font>
  <w:font w:name="方正仿宋_GB2312">
    <w:altName w:val="宋体"/>
    <w:panose1 w:val="00000000000000000000"/>
    <w:charset w:val="86"/>
    <w:family w:val="roma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B56EEB"/>
    <w:rsid w:val="03CA58FE"/>
    <w:rsid w:val="041A7827"/>
    <w:rsid w:val="04BC11CE"/>
    <w:rsid w:val="04C10576"/>
    <w:rsid w:val="05174717"/>
    <w:rsid w:val="055A7F52"/>
    <w:rsid w:val="0574646B"/>
    <w:rsid w:val="058F13D8"/>
    <w:rsid w:val="059C5753"/>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182CB4"/>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11077"/>
    <w:rsid w:val="10F92FC2"/>
    <w:rsid w:val="10FE2243"/>
    <w:rsid w:val="11A074A9"/>
    <w:rsid w:val="11B85B08"/>
    <w:rsid w:val="12192820"/>
    <w:rsid w:val="12B37192"/>
    <w:rsid w:val="12CA3600"/>
    <w:rsid w:val="13174A9C"/>
    <w:rsid w:val="133D1BD6"/>
    <w:rsid w:val="141806CE"/>
    <w:rsid w:val="14AE268B"/>
    <w:rsid w:val="14E6571C"/>
    <w:rsid w:val="15081CAF"/>
    <w:rsid w:val="154214E8"/>
    <w:rsid w:val="15CE63BE"/>
    <w:rsid w:val="15E37E25"/>
    <w:rsid w:val="16007566"/>
    <w:rsid w:val="16020FCA"/>
    <w:rsid w:val="1658184C"/>
    <w:rsid w:val="16662B77"/>
    <w:rsid w:val="167105AF"/>
    <w:rsid w:val="167A2AAD"/>
    <w:rsid w:val="16875E24"/>
    <w:rsid w:val="16C05779"/>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DBB4FE5"/>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A0303"/>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8E5E3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A3772"/>
    <w:rsid w:val="29AF2EC1"/>
    <w:rsid w:val="29F379FC"/>
    <w:rsid w:val="2A1B2E51"/>
    <w:rsid w:val="2A4250E7"/>
    <w:rsid w:val="2A470D3B"/>
    <w:rsid w:val="2A63427A"/>
    <w:rsid w:val="2A9A2652"/>
    <w:rsid w:val="2ADD0968"/>
    <w:rsid w:val="2B1B7108"/>
    <w:rsid w:val="2B87285B"/>
    <w:rsid w:val="2BA25686"/>
    <w:rsid w:val="2BBB79B6"/>
    <w:rsid w:val="2BD173A2"/>
    <w:rsid w:val="2BF01A7D"/>
    <w:rsid w:val="2C136C30"/>
    <w:rsid w:val="2C39073D"/>
    <w:rsid w:val="2C49057B"/>
    <w:rsid w:val="2C6D413B"/>
    <w:rsid w:val="2C8B49F0"/>
    <w:rsid w:val="2CA07FE0"/>
    <w:rsid w:val="2CA36BEC"/>
    <w:rsid w:val="2CF73501"/>
    <w:rsid w:val="2CFA1B54"/>
    <w:rsid w:val="2D0D3A84"/>
    <w:rsid w:val="2D6A0CD0"/>
    <w:rsid w:val="2D6E47ED"/>
    <w:rsid w:val="2DB839F8"/>
    <w:rsid w:val="2DB93F6F"/>
    <w:rsid w:val="2DBC2EE6"/>
    <w:rsid w:val="2E001FA1"/>
    <w:rsid w:val="2E19735E"/>
    <w:rsid w:val="2E311C70"/>
    <w:rsid w:val="2EC200F1"/>
    <w:rsid w:val="2EEC20C5"/>
    <w:rsid w:val="2F070B32"/>
    <w:rsid w:val="2F5319D5"/>
    <w:rsid w:val="2FB8485E"/>
    <w:rsid w:val="30006F3F"/>
    <w:rsid w:val="30170C37"/>
    <w:rsid w:val="307E00A8"/>
    <w:rsid w:val="30987FD3"/>
    <w:rsid w:val="309D69CA"/>
    <w:rsid w:val="30B90B35"/>
    <w:rsid w:val="30F10F6B"/>
    <w:rsid w:val="31290D56"/>
    <w:rsid w:val="31A07D10"/>
    <w:rsid w:val="31EB49D7"/>
    <w:rsid w:val="32353CF2"/>
    <w:rsid w:val="32367BE1"/>
    <w:rsid w:val="329747D7"/>
    <w:rsid w:val="32A34D83"/>
    <w:rsid w:val="339B40BE"/>
    <w:rsid w:val="33EF767C"/>
    <w:rsid w:val="34031CD9"/>
    <w:rsid w:val="34164660"/>
    <w:rsid w:val="343279BB"/>
    <w:rsid w:val="3484654D"/>
    <w:rsid w:val="34ED2FD4"/>
    <w:rsid w:val="35193A9B"/>
    <w:rsid w:val="359B67E6"/>
    <w:rsid w:val="35E72C38"/>
    <w:rsid w:val="360B4DA5"/>
    <w:rsid w:val="364F30EB"/>
    <w:rsid w:val="369F7346"/>
    <w:rsid w:val="36A645FC"/>
    <w:rsid w:val="36DE447A"/>
    <w:rsid w:val="36F315F4"/>
    <w:rsid w:val="37282ED2"/>
    <w:rsid w:val="37C03350"/>
    <w:rsid w:val="38892B9F"/>
    <w:rsid w:val="388C1B47"/>
    <w:rsid w:val="38D163E1"/>
    <w:rsid w:val="38DE5FCC"/>
    <w:rsid w:val="39431FB5"/>
    <w:rsid w:val="3946671C"/>
    <w:rsid w:val="394E1A4D"/>
    <w:rsid w:val="395D7B12"/>
    <w:rsid w:val="398B6BF8"/>
    <w:rsid w:val="39D407FB"/>
    <w:rsid w:val="39E061C4"/>
    <w:rsid w:val="3AC20DED"/>
    <w:rsid w:val="3AF04F3A"/>
    <w:rsid w:val="3AF962CD"/>
    <w:rsid w:val="3AFA7487"/>
    <w:rsid w:val="3B072224"/>
    <w:rsid w:val="3B337151"/>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BC401A"/>
    <w:rsid w:val="44E53468"/>
    <w:rsid w:val="44E91DF6"/>
    <w:rsid w:val="45203683"/>
    <w:rsid w:val="453244B9"/>
    <w:rsid w:val="45A4152D"/>
    <w:rsid w:val="45A867F1"/>
    <w:rsid w:val="45ED4C8D"/>
    <w:rsid w:val="466729D6"/>
    <w:rsid w:val="46AB4081"/>
    <w:rsid w:val="47D42FF0"/>
    <w:rsid w:val="48E1676A"/>
    <w:rsid w:val="48E40429"/>
    <w:rsid w:val="49181F09"/>
    <w:rsid w:val="49247934"/>
    <w:rsid w:val="49723E09"/>
    <w:rsid w:val="49B2744B"/>
    <w:rsid w:val="49C155BF"/>
    <w:rsid w:val="4A320CD3"/>
    <w:rsid w:val="4A81167B"/>
    <w:rsid w:val="4AAC7FF4"/>
    <w:rsid w:val="4ACC74A7"/>
    <w:rsid w:val="4B3C05BE"/>
    <w:rsid w:val="4BA86912"/>
    <w:rsid w:val="4BEA0B1C"/>
    <w:rsid w:val="4C2F3911"/>
    <w:rsid w:val="4C9A6C67"/>
    <w:rsid w:val="4CB51270"/>
    <w:rsid w:val="4CC672B1"/>
    <w:rsid w:val="4D3B1B78"/>
    <w:rsid w:val="4DE00542"/>
    <w:rsid w:val="4E176A51"/>
    <w:rsid w:val="4E321376"/>
    <w:rsid w:val="4E776A0A"/>
    <w:rsid w:val="4EAA7777"/>
    <w:rsid w:val="4EBD7EDB"/>
    <w:rsid w:val="4ECC0D58"/>
    <w:rsid w:val="4EF76621"/>
    <w:rsid w:val="4F17581D"/>
    <w:rsid w:val="4FE20970"/>
    <w:rsid w:val="50066E8B"/>
    <w:rsid w:val="50086EC4"/>
    <w:rsid w:val="504A4293"/>
    <w:rsid w:val="504E556A"/>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6B25DCE"/>
    <w:rsid w:val="573B7525"/>
    <w:rsid w:val="57AB0622"/>
    <w:rsid w:val="57AC44CE"/>
    <w:rsid w:val="57BC6DB9"/>
    <w:rsid w:val="586645BB"/>
    <w:rsid w:val="588751F0"/>
    <w:rsid w:val="58C26587"/>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A058C2"/>
    <w:rsid w:val="5DC9252F"/>
    <w:rsid w:val="5DE073F8"/>
    <w:rsid w:val="5E102C77"/>
    <w:rsid w:val="5E181AE8"/>
    <w:rsid w:val="5E200FB4"/>
    <w:rsid w:val="5E286A5D"/>
    <w:rsid w:val="5E715CB3"/>
    <w:rsid w:val="5E7721E8"/>
    <w:rsid w:val="5EF12FAA"/>
    <w:rsid w:val="5F400E00"/>
    <w:rsid w:val="5F585DDC"/>
    <w:rsid w:val="5FCD49D0"/>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1955B0"/>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496FA3"/>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418FD"/>
    <w:rsid w:val="6AFC751A"/>
    <w:rsid w:val="6B0C3CD1"/>
    <w:rsid w:val="6B1462EA"/>
    <w:rsid w:val="6B1D2257"/>
    <w:rsid w:val="6B9F6057"/>
    <w:rsid w:val="6BAF510F"/>
    <w:rsid w:val="6BCF7B52"/>
    <w:rsid w:val="6BED4E02"/>
    <w:rsid w:val="6BFA28A1"/>
    <w:rsid w:val="6C0758A4"/>
    <w:rsid w:val="6C5226D2"/>
    <w:rsid w:val="6C6D5B44"/>
    <w:rsid w:val="6C746E90"/>
    <w:rsid w:val="6C9F5465"/>
    <w:rsid w:val="6CA506FA"/>
    <w:rsid w:val="6D126704"/>
    <w:rsid w:val="6D6D49D5"/>
    <w:rsid w:val="6E2A40BA"/>
    <w:rsid w:val="6E4A4603"/>
    <w:rsid w:val="6E78248F"/>
    <w:rsid w:val="6E9470E2"/>
    <w:rsid w:val="6EB646C6"/>
    <w:rsid w:val="6ED1053F"/>
    <w:rsid w:val="6EFF5E89"/>
    <w:rsid w:val="6F2830B0"/>
    <w:rsid w:val="6F330BF1"/>
    <w:rsid w:val="6F44559A"/>
    <w:rsid w:val="6F507BFB"/>
    <w:rsid w:val="6F614322"/>
    <w:rsid w:val="6FA21EBF"/>
    <w:rsid w:val="6FE770FD"/>
    <w:rsid w:val="700B5D12"/>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227E9C"/>
    <w:rsid w:val="7590055C"/>
    <w:rsid w:val="75E675A1"/>
    <w:rsid w:val="76DA4A35"/>
    <w:rsid w:val="775942E7"/>
    <w:rsid w:val="77786669"/>
    <w:rsid w:val="77D77E74"/>
    <w:rsid w:val="780E06BE"/>
    <w:rsid w:val="782A5A14"/>
    <w:rsid w:val="78423926"/>
    <w:rsid w:val="787F460C"/>
    <w:rsid w:val="78A87973"/>
    <w:rsid w:val="78E43650"/>
    <w:rsid w:val="78F1359A"/>
    <w:rsid w:val="790C6195"/>
    <w:rsid w:val="79197BA3"/>
    <w:rsid w:val="79486D64"/>
    <w:rsid w:val="796C2A54"/>
    <w:rsid w:val="79F94C6D"/>
    <w:rsid w:val="79FD4EE1"/>
    <w:rsid w:val="7A1E467C"/>
    <w:rsid w:val="7A840A52"/>
    <w:rsid w:val="7A8D4744"/>
    <w:rsid w:val="7A8D5499"/>
    <w:rsid w:val="7AA028C5"/>
    <w:rsid w:val="7AAB625A"/>
    <w:rsid w:val="7AD95CEC"/>
    <w:rsid w:val="7B2E702B"/>
    <w:rsid w:val="7B482360"/>
    <w:rsid w:val="7B886F65"/>
    <w:rsid w:val="7B991389"/>
    <w:rsid w:val="7CA01B71"/>
    <w:rsid w:val="7CF52723"/>
    <w:rsid w:val="7CF93F8F"/>
    <w:rsid w:val="7CFE370D"/>
    <w:rsid w:val="7D3455C0"/>
    <w:rsid w:val="7D5216BB"/>
    <w:rsid w:val="7D8C266C"/>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Administrator</cp:lastModifiedBy>
  <cp:lastPrinted>2024-07-30T06:24:00Z</cp:lastPrinted>
  <dcterms:modified xsi:type="dcterms:W3CDTF">2025-09-12T01:21:17Z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