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监督索引号53042400531600101000</w:t>
      </w:r>
    </w:p>
    <w:p>
      <w:pPr>
        <w:jc w:val="center"/>
        <w:outlineLvl w:val="0"/>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lang w:val="zh-CN"/>
        </w:rPr>
        <w:t>华宁县退休人员管理服务中心</w:t>
      </w:r>
      <w:r>
        <w:rPr>
          <w:rFonts w:hint="default" w:ascii="Times New Roman" w:hAnsi="Times New Roman" w:eastAsia="方正小标宋简体" w:cs="Times New Roman"/>
          <w:sz w:val="36"/>
          <w:szCs w:val="36"/>
          <w:highlight w:val="none"/>
          <w:lang w:val="en-US" w:eastAsia="zh-CN"/>
        </w:rPr>
        <w:t>2024</w:t>
      </w:r>
      <w:r>
        <w:rPr>
          <w:rFonts w:hint="default" w:ascii="Times New Roman" w:hAnsi="Times New Roman" w:eastAsia="方正小标宋简体" w:cs="Times New Roman"/>
          <w:sz w:val="36"/>
          <w:szCs w:val="36"/>
          <w:highlight w:val="none"/>
        </w:rPr>
        <w:t>年度部门决算</w:t>
      </w:r>
    </w:p>
    <w:p>
      <w:pPr>
        <w:jc w:val="center"/>
        <w:rPr>
          <w:rFonts w:hint="default" w:ascii="Times New Roman" w:hAnsi="Times New Roman" w:eastAsia="方正小标宋简体" w:cs="Times New Roman"/>
          <w:sz w:val="36"/>
          <w:szCs w:val="36"/>
          <w:highlight w:val="none"/>
        </w:rPr>
      </w:pPr>
    </w:p>
    <w:p>
      <w:pPr>
        <w:jc w:val="center"/>
        <w:outlineLvl w:val="0"/>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pPr>
        <w:jc w:val="left"/>
        <w:rPr>
          <w:rFonts w:hint="default" w:ascii="Times New Roman" w:hAnsi="Times New Roman" w:eastAsia="黑体" w:cs="Times New Roman"/>
          <w:sz w:val="30"/>
          <w:szCs w:val="30"/>
          <w:highlight w:val="none"/>
        </w:rPr>
      </w:pP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单位</w:t>
      </w:r>
      <w:r>
        <w:rPr>
          <w:rFonts w:hint="default" w:ascii="Times New Roman" w:hAnsi="Times New Roman" w:eastAsia="黑体" w:cs="Times New Roman"/>
          <w:sz w:val="30"/>
          <w:szCs w:val="30"/>
          <w:highlight w:val="none"/>
        </w:rPr>
        <w:t>概况</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一、主要职</w:t>
      </w:r>
      <w:r>
        <w:rPr>
          <w:rFonts w:hint="default" w:ascii="Times New Roman" w:hAnsi="Times New Roman" w:eastAsia="楷体" w:cs="Times New Roman"/>
          <w:sz w:val="30"/>
          <w:szCs w:val="30"/>
          <w:highlight w:val="none"/>
          <w:lang w:eastAsia="zh-CN"/>
        </w:rPr>
        <w:t>责</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二、</w:t>
      </w:r>
      <w:r>
        <w:rPr>
          <w:rFonts w:hint="default" w:ascii="Times New Roman" w:hAnsi="Times New Roman" w:eastAsia="楷体" w:cs="Times New Roman"/>
          <w:sz w:val="30"/>
          <w:szCs w:val="30"/>
          <w:highlight w:val="none"/>
          <w:lang w:eastAsia="zh-CN"/>
        </w:rPr>
        <w:t>基本情况</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三、重点工作概述</w:t>
      </w: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pPr>
        <w:widowControl/>
        <w:snapToGrid w:val="0"/>
        <w:spacing w:before="100" w:after="100" w:line="360" w:lineRule="auto"/>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单位绩效自评情况</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单位</w:t>
      </w:r>
      <w:r>
        <w:rPr>
          <w:rFonts w:hint="default" w:ascii="Times New Roman" w:hAnsi="Times New Roman" w:eastAsia="黑体" w:cs="Times New Roman"/>
          <w:sz w:val="32"/>
          <w:szCs w:val="32"/>
          <w:highlight w:val="none"/>
        </w:rPr>
        <w:t>概况</w:t>
      </w:r>
    </w:p>
    <w:p>
      <w:p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rPr>
        <w:t>一、主要</w:t>
      </w:r>
      <w:r>
        <w:rPr>
          <w:rFonts w:hint="default" w:ascii="Times New Roman" w:hAnsi="Times New Roman" w:eastAsia="黑体" w:cs="Times New Roman"/>
          <w:sz w:val="30"/>
          <w:szCs w:val="30"/>
          <w:highlight w:val="none"/>
          <w:lang w:eastAsia="zh-CN"/>
        </w:rPr>
        <w:t>职责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一是负责起草并组织实施全县退休人员（老干部局管理部分除外）的社会化管理服务办法；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二是经办机构县本级改制企业退休人员的具体管理事物，办理退休人员的档案管理、社会保障事物、组织政治和政策学习、维护退休人员的权益，接转管理服务对象的关系等工作；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三是对退休人员进行登记、对其生存状况进行跟踪管理；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四是对孤寡、特困户、重病、高领老人走访慰问和帮扶；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五是开展退休人员文化娱乐活动；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bCs/>
          <w:szCs w:val="30"/>
          <w:highlight w:val="none"/>
          <w:lang w:eastAsia="zh-CN"/>
        </w:rPr>
      </w:pPr>
      <w:r>
        <w:rPr>
          <w:rFonts w:hint="default" w:ascii="Times New Roman" w:hAnsi="Times New Roman" w:eastAsia="仿宋_GB2312" w:cs="Times New Roman"/>
          <w:sz w:val="30"/>
          <w:szCs w:val="30"/>
          <w:highlight w:val="none"/>
          <w:lang w:val="en-US" w:eastAsia="zh-CN"/>
        </w:rPr>
        <w:t>六是组织退休人员开展思想教育活动，提高退休人员的思想觉悟，鼓励和支持退休人员参与社会公益活动。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二、基本情况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（一）机构设置情况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我单位共设置3个内设机构，包括：办公室、综合管理股、财务股。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我单位为基层预算单位，无下属单位。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决算单位构成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我单位作为华宁县人力资源和社会保障局的二级预算单位纳入2024年度部门决算编报范围。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 xml:space="preserve">（三）单位人员和车辆的编制及实有情况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我单位2024年末编制内实有人员4人。包括财政拨款开支经费的：公务员0人，参照公务员法管理人员0人，事业管理人员和专业技术人员4人，机关和事业工人0人；经费自理人员0人。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我单位2024年末其他人员0人。包括财政拨款开支经费的人员0人；经费自理人员0人。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年末尚未移交养老保险基金发放养老金的离退休人员共计0人（离休0人，退休0人）。年末由养老保险基金发放养老金的离退休人员3人（离休0人，退休3人）。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车辆编制</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en-US" w:eastAsia="zh-CN"/>
        </w:rPr>
        <w:t>辆，在编实有车辆</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en-US" w:eastAsia="zh-CN"/>
        </w:rPr>
        <w:t>辆，超编</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en-US" w:eastAsia="zh-CN"/>
        </w:rPr>
        <w:t>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是强化管理，圆满完成工作目标。我县退休人员社会化管理服务工作，坚持“退休一人接管一人”的原则,完善接管流程，对退休人员登记编组管理，积极协调配合相关部门，扎实工作，圆满完成工作任务。强化社会化管理服务体系建设，夯实社会化管理服务基础。建立健全了退休人员管理服务制度，努力实现“管理服务规范化，活动形式多样化，内容开展全面化”的退休人员管理模式。</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 xml:space="preserve">二是加强自管组队伍建设，严执财务制度，努力提升社会化管理服务水平。切实加强队伍建设，建全配齐49个自管组组长，切实加强全面管理退休人员，中心全体工作人员的群众观点、宗旨意识和服务意识进一步增强，坚决杜绝“门难进、脸难看、话难听、事难办”的现象，日常管理服务工作能做到想退休人员之所想，急退休人员之所急，努力为管理服务对象排忧解难，提供优质便捷服务；严格执行财务管理制度。退管中心认真贯彻执行“三重一大”议事规则，落实领导责任制，各项开支都能按照先审核，后审批的管理程序，统筹计划安排，加强退休人员社会化管理专项资金的管理和使用，做到专款专用。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val="en-US" w:eastAsia="zh-CN"/>
        </w:rPr>
        <w:t>三是广泛开展文体公益活动，让老同志共享经济社会文明成果。为全面加强退休人员管理，进一步提高退休人员对党的</w:t>
      </w:r>
      <w:r>
        <w:rPr>
          <w:rFonts w:hint="eastAsia" w:eastAsia="仿宋_GB2312" w:cs="Times New Roman"/>
          <w:sz w:val="30"/>
          <w:szCs w:val="30"/>
          <w:highlight w:val="none"/>
          <w:lang w:val="en-US" w:eastAsia="zh-CN"/>
        </w:rPr>
        <w:t>二十</w:t>
      </w:r>
      <w:r>
        <w:rPr>
          <w:rFonts w:hint="default" w:ascii="Times New Roman" w:hAnsi="Times New Roman" w:eastAsia="仿宋_GB2312" w:cs="Times New Roman"/>
          <w:sz w:val="30"/>
          <w:szCs w:val="30"/>
          <w:highlight w:val="none"/>
          <w:lang w:val="en-US" w:eastAsia="zh-CN"/>
        </w:rPr>
        <w:t>大精神内涵的理解，在退休人员中宣传学习好党的</w:t>
      </w:r>
      <w:r>
        <w:rPr>
          <w:rFonts w:hint="eastAsia" w:eastAsia="仿宋_GB2312" w:cs="Times New Roman"/>
          <w:sz w:val="30"/>
          <w:szCs w:val="30"/>
          <w:highlight w:val="none"/>
          <w:lang w:val="en-US" w:eastAsia="zh-CN"/>
        </w:rPr>
        <w:t>二十</w:t>
      </w:r>
      <w:r>
        <w:rPr>
          <w:rFonts w:hint="default" w:ascii="Times New Roman" w:hAnsi="Times New Roman" w:eastAsia="仿宋_GB2312" w:cs="Times New Roman"/>
          <w:sz w:val="30"/>
          <w:szCs w:val="30"/>
          <w:highlight w:val="none"/>
          <w:lang w:val="en-US" w:eastAsia="zh-CN"/>
        </w:rPr>
        <w:t>大和</w:t>
      </w:r>
      <w:r>
        <w:rPr>
          <w:rFonts w:hint="eastAsia" w:eastAsia="仿宋_GB2312" w:cs="Times New Roman"/>
          <w:sz w:val="30"/>
          <w:szCs w:val="30"/>
          <w:highlight w:val="none"/>
          <w:lang w:val="en-US" w:eastAsia="zh-CN"/>
        </w:rPr>
        <w:t>二十</w:t>
      </w:r>
      <w:r>
        <w:rPr>
          <w:rFonts w:hint="default" w:ascii="Times New Roman" w:hAnsi="Times New Roman" w:eastAsia="仿宋_GB2312" w:cs="Times New Roman"/>
          <w:sz w:val="30"/>
          <w:szCs w:val="30"/>
          <w:highlight w:val="none"/>
          <w:lang w:val="en-US" w:eastAsia="zh-CN"/>
        </w:rPr>
        <w:t>届</w:t>
      </w:r>
      <w:r>
        <w:rPr>
          <w:rFonts w:hint="eastAsia" w:eastAsia="仿宋_GB2312" w:cs="Times New Roman"/>
          <w:sz w:val="30"/>
          <w:szCs w:val="30"/>
          <w:highlight w:val="none"/>
          <w:lang w:val="en-US" w:eastAsia="zh-CN"/>
        </w:rPr>
        <w:t>三</w:t>
      </w:r>
      <w:bookmarkStart w:id="0" w:name="_GoBack"/>
      <w:bookmarkEnd w:id="0"/>
      <w:r>
        <w:rPr>
          <w:rFonts w:hint="default" w:ascii="Times New Roman" w:hAnsi="Times New Roman" w:eastAsia="仿宋_GB2312" w:cs="Times New Roman"/>
          <w:sz w:val="30"/>
          <w:szCs w:val="30"/>
          <w:highlight w:val="none"/>
          <w:lang w:val="en-US" w:eastAsia="zh-CN"/>
        </w:rPr>
        <w:t>中全会精神及爱国卫生“七个专项行动”工作安排，发动退休人员积极参与到爱国卫生活动中，为华宁的爱卫活动作贡献。</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pPr>
        <w:spacing w:line="600" w:lineRule="exact"/>
        <w:ind w:firstLine="600" w:firstLineChars="200"/>
        <w:jc w:val="center"/>
        <w:outlineLvl w:val="1"/>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（详见附件）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本部门202</w:t>
      </w:r>
      <w:r>
        <w:rPr>
          <w:rFonts w:hint="eastAsia"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val="en-US" w:eastAsia="zh-CN"/>
        </w:rPr>
        <w:t>年无一般公共预算财政拨款项目支出</w:t>
      </w:r>
      <w:r>
        <w:rPr>
          <w:rFonts w:hint="eastAsia" w:ascii="Times New Roman" w:hAnsi="Times New Roman" w:eastAsia="仿宋_GB2312" w:cs="Times New Roman"/>
          <w:sz w:val="30"/>
          <w:szCs w:val="30"/>
          <w:highlight w:val="none"/>
          <w:lang w:val="en-US" w:eastAsia="zh-CN"/>
        </w:rPr>
        <w:t>与</w:t>
      </w:r>
      <w:r>
        <w:rPr>
          <w:rFonts w:hint="default" w:ascii="Times New Roman" w:hAnsi="Times New Roman" w:eastAsia="仿宋_GB2312" w:cs="Times New Roman"/>
          <w:sz w:val="30"/>
          <w:szCs w:val="30"/>
          <w:highlight w:val="none"/>
          <w:lang w:val="en-US" w:eastAsia="zh-CN"/>
        </w:rPr>
        <w:t>政府性基金预算财政拨款收入、</w:t>
      </w:r>
      <w:r>
        <w:rPr>
          <w:rFonts w:hint="eastAsia" w:ascii="Times New Roman" w:hAnsi="Times New Roman" w:eastAsia="仿宋_GB2312" w:cs="Times New Roman"/>
          <w:sz w:val="30"/>
          <w:szCs w:val="30"/>
          <w:highlight w:val="none"/>
          <w:lang w:val="en-US" w:eastAsia="zh-CN"/>
        </w:rPr>
        <w:t>无</w:t>
      </w:r>
      <w:r>
        <w:rPr>
          <w:rFonts w:hint="default" w:ascii="Times New Roman" w:hAnsi="Times New Roman" w:eastAsia="仿宋_GB2312" w:cs="Times New Roman"/>
          <w:sz w:val="30"/>
          <w:szCs w:val="30"/>
          <w:highlight w:val="none"/>
          <w:lang w:val="en-US" w:eastAsia="zh-CN"/>
        </w:rPr>
        <w:t>国有资本经营预算财政拨款收入</w:t>
      </w:r>
      <w:r>
        <w:rPr>
          <w:rFonts w:hint="eastAsia" w:ascii="Times New Roman" w:hAnsi="Times New Roman" w:eastAsia="仿宋_GB2312" w:cs="Times New Roman"/>
          <w:sz w:val="30"/>
          <w:szCs w:val="30"/>
          <w:highlight w:val="none"/>
          <w:lang w:val="en-US" w:eastAsia="zh-CN"/>
        </w:rPr>
        <w:t>与</w:t>
      </w:r>
      <w:r>
        <w:rPr>
          <w:rFonts w:hint="default" w:ascii="Times New Roman" w:hAnsi="Times New Roman" w:eastAsia="仿宋_GB2312" w:cs="Times New Roman"/>
          <w:sz w:val="30"/>
          <w:szCs w:val="30"/>
          <w:highlight w:val="none"/>
          <w:lang w:val="en-US" w:eastAsia="zh-CN"/>
        </w:rPr>
        <w:t>部门整体支出绩效自评情况、</w:t>
      </w:r>
      <w:r>
        <w:rPr>
          <w:rFonts w:hint="eastAsia" w:ascii="Times New Roman" w:hAnsi="Times New Roman" w:eastAsia="仿宋_GB2312" w:cs="Times New Roman"/>
          <w:sz w:val="30"/>
          <w:szCs w:val="30"/>
          <w:highlight w:val="none"/>
          <w:lang w:val="en-US" w:eastAsia="zh-CN"/>
        </w:rPr>
        <w:t>无</w:t>
      </w:r>
      <w:r>
        <w:rPr>
          <w:rFonts w:hint="default" w:ascii="Times New Roman" w:hAnsi="Times New Roman" w:eastAsia="仿宋_GB2312" w:cs="Times New Roman"/>
          <w:sz w:val="30"/>
          <w:szCs w:val="30"/>
          <w:highlight w:val="none"/>
          <w:lang w:val="en-US" w:eastAsia="zh-CN"/>
        </w:rPr>
        <w:t>部门整体支出绩效自评表</w:t>
      </w:r>
      <w:r>
        <w:rPr>
          <w:rFonts w:hint="eastAsia" w:ascii="Times New Roman" w:hAnsi="Times New Roman" w:eastAsia="仿宋_GB2312" w:cs="Times New Roman"/>
          <w:sz w:val="30"/>
          <w:szCs w:val="30"/>
          <w:highlight w:val="none"/>
          <w:lang w:val="en-US" w:eastAsia="zh-CN"/>
        </w:rPr>
        <w:t>与</w:t>
      </w:r>
      <w:r>
        <w:rPr>
          <w:rFonts w:hint="default" w:ascii="Times New Roman" w:hAnsi="Times New Roman" w:eastAsia="仿宋_GB2312" w:cs="Times New Roman"/>
          <w:sz w:val="30"/>
          <w:szCs w:val="30"/>
          <w:highlight w:val="none"/>
          <w:lang w:val="en-US" w:eastAsia="zh-CN"/>
        </w:rPr>
        <w:t>项目支出绩效自评表，附表</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GK07 一般公共预算财政拨款项目支出决算表</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GK08 政府性基金预算财政拨款收入支出决算表</w:t>
      </w:r>
      <w:r>
        <w:rPr>
          <w:rFonts w:hint="eastAsia" w:ascii="Times New Roman" w:hAnsi="Times New Roman" w:eastAsia="仿宋_GB2312" w:cs="Times New Roman"/>
          <w:sz w:val="30"/>
          <w:szCs w:val="30"/>
          <w:highlight w:val="none"/>
          <w:lang w:val="en-US" w:eastAsia="zh-CN"/>
        </w:rPr>
        <w:t>”与附表“GK09 国有资本经营预算财政拨款收入支出决算表”</w:t>
      </w:r>
      <w:r>
        <w:rPr>
          <w:rFonts w:hint="default" w:ascii="Times New Roman" w:hAnsi="Times New Roman" w:eastAsia="仿宋_GB2312" w:cs="Times New Roman"/>
          <w:sz w:val="30"/>
          <w:szCs w:val="30"/>
          <w:highlight w:val="none"/>
          <w:lang w:val="en-US" w:eastAsia="zh-CN"/>
        </w:rPr>
        <w:t>与附表</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GK13 部门整体支出绩效自评情况</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与附表</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GK14 部门整体支出绩效自评表</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与附表</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GK15 项目支出绩效自评表</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为空表。</w:t>
      </w:r>
    </w:p>
    <w:p>
      <w:pPr>
        <w:jc w:val="center"/>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一、收入决算情况说明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zh-CN" w:eastAsia="zh-CN"/>
        </w:rPr>
        <w:t>华宁县退休人员管理服务中心</w:t>
      </w:r>
      <w:r>
        <w:rPr>
          <w:rFonts w:hint="default" w:ascii="Times New Roman" w:hAnsi="Times New Roman" w:eastAsia="仿宋_GB2312" w:cs="Times New Roman"/>
          <w:sz w:val="30"/>
          <w:szCs w:val="30"/>
          <w:highlight w:val="none"/>
          <w:lang w:val="en-US" w:eastAsia="zh-CN"/>
        </w:rPr>
        <w:t>2024年度收入合计</w:t>
      </w:r>
      <w:r>
        <w:rPr>
          <w:rFonts w:hint="default" w:ascii="Times New Roman" w:hAnsi="Times New Roman" w:eastAsia="仿宋_GB2312" w:cs="Times New Roman"/>
          <w:sz w:val="30"/>
          <w:szCs w:val="30"/>
          <w:highlight w:val="none"/>
          <w:lang w:val="zh-CN" w:eastAsia="zh-CN"/>
        </w:rPr>
        <w:t>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625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474.65</w:t>
      </w:r>
      <w:r>
        <w:rPr>
          <w:rFonts w:hint="default" w:ascii="Times New Roman" w:hAnsi="Times New Roman" w:eastAsia="仿宋_GB2312" w:cs="Times New Roman"/>
          <w:sz w:val="30"/>
          <w:szCs w:val="30"/>
          <w:highlight w:val="none"/>
          <w:lang w:val="en-US" w:eastAsia="zh-CN"/>
        </w:rPr>
        <w:t>元。其中：财政拨款收入</w:t>
      </w:r>
      <w:r>
        <w:rPr>
          <w:rFonts w:hint="default" w:ascii="Times New Roman" w:hAnsi="Times New Roman" w:eastAsia="仿宋_GB2312" w:cs="Times New Roman"/>
          <w:sz w:val="30"/>
          <w:szCs w:val="30"/>
          <w:highlight w:val="none"/>
          <w:lang w:val="zh-CN" w:eastAsia="zh-CN"/>
        </w:rPr>
        <w:t>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483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674.65</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94.60</w:t>
      </w:r>
      <w:r>
        <w:rPr>
          <w:rFonts w:hint="default" w:ascii="Times New Roman" w:hAnsi="Times New Roman" w:eastAsia="仿宋_GB2312" w:cs="Times New Roman"/>
          <w:sz w:val="30"/>
          <w:szCs w:val="30"/>
          <w:highlight w:val="none"/>
          <w:lang w:val="en-US" w:eastAsia="zh-CN"/>
        </w:rPr>
        <w:t>%；上级补助收入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%；事业收入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元（含教育收费</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%；经营收入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%；附属单位上缴收入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%；其他收入</w:t>
      </w:r>
      <w:r>
        <w:rPr>
          <w:rFonts w:hint="default" w:ascii="Times New Roman" w:hAnsi="Times New Roman" w:eastAsia="仿宋_GB2312" w:cs="Times New Roman"/>
          <w:sz w:val="30"/>
          <w:szCs w:val="30"/>
          <w:highlight w:val="none"/>
          <w:lang w:val="zh-CN" w:eastAsia="zh-CN"/>
        </w:rPr>
        <w:t>141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800.00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5.40</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与上年相比，收入合计增加666</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699.56元，增长34.04%。其中：财政拨款收入增加641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959.56元，增长34.86%；上级补助收入增加0.00元，增长0.00%；事业收入</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sz w:val="30"/>
          <w:szCs w:val="30"/>
          <w:highlight w:val="none"/>
          <w:lang w:val="zh-CN" w:eastAsia="zh-CN"/>
        </w:rPr>
        <w:t>117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060.00元，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sz w:val="30"/>
          <w:szCs w:val="30"/>
          <w:highlight w:val="none"/>
          <w:lang w:val="zh-CN" w:eastAsia="zh-CN"/>
        </w:rPr>
        <w:t>100.00%；经营收入增加0.00元，增长0.00%；附属单位上缴收入增加0.00元，增长0.00%；其他收入增加141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800.00元，增长0.00%。主要原因是2023年因财政资金困难支出少，经沟通协调对接在2024年支出，导致</w:t>
      </w:r>
      <w:r>
        <w:rPr>
          <w:rFonts w:hint="eastAsia" w:ascii="Times New Roman" w:hAnsi="Times New Roman" w:eastAsia="仿宋_GB2312" w:cs="Times New Roman"/>
          <w:sz w:val="30"/>
          <w:szCs w:val="30"/>
          <w:highlight w:val="none"/>
          <w:lang w:val="zh-CN" w:eastAsia="zh-CN"/>
        </w:rPr>
        <w:t>收入较上年增长。</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二、支出决算情况说明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华宁县退休人员管理服务中心</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lang w:val="zh-CN" w:eastAsia="zh-CN"/>
        </w:rPr>
        <w:t>年度支出合计2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557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028.70元。其中：基本支出2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483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674.65元，占总支出的97.13％；项目支出73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354.05元，占总支出的2.87％；上缴上级支出0.00元，占总支出的0.00％；经营支出0.00元，占总支出的0.00％；对附属单位补助支出0.00元，占总支出的0.00％。</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与上年相比，支出合计增加626</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003.60元，增长32.42%。其中：基本支出增加641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959.56元，增长34.86%；项目支出</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sz w:val="30"/>
          <w:szCs w:val="30"/>
          <w:highlight w:val="none"/>
          <w:lang w:val="zh-CN" w:eastAsia="zh-CN"/>
        </w:rPr>
        <w:t>15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955.96元，</w:t>
      </w:r>
      <w:r>
        <w:rPr>
          <w:rFonts w:hint="default" w:ascii="Times New Roman" w:hAnsi="Times New Roman" w:eastAsia="仿宋_GB2312" w:cs="Times New Roman"/>
          <w:sz w:val="30"/>
          <w:szCs w:val="30"/>
          <w:highlight w:val="none"/>
          <w:lang w:val="en-US" w:eastAsia="zh-CN"/>
        </w:rPr>
        <w:t>下降</w:t>
      </w:r>
      <w:r>
        <w:rPr>
          <w:rFonts w:hint="default" w:ascii="Times New Roman" w:hAnsi="Times New Roman" w:eastAsia="仿宋_GB2312" w:cs="Times New Roman"/>
          <w:sz w:val="30"/>
          <w:szCs w:val="30"/>
          <w:highlight w:val="none"/>
          <w:lang w:val="zh-CN" w:eastAsia="zh-CN"/>
        </w:rPr>
        <w:t>17.87%；上缴上级支出增加0.00元，增长0.00%；经营支出增加0.00元，增长0.00%；对附属单位补助支出增加0.00元，增长0.00%。主要原因是2024年退休人员活动减少</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导致活动费支出减少，故项目支出比上年下降。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（一）基本支出情况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lang w:val="zh-CN" w:eastAsia="zh-CN"/>
        </w:rPr>
        <w:t>年度用于保障华宁县退休人员管理服务中心机构正常运转的日常支出2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483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674.65元。其中：基本工资、津贴补贴等人员经费支出657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236.65元，占基本支出的26.46％；办公费、印刷费、水电费、办公设备购置等公用经费1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826</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438.00元，占基本支出的73.54％。</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（二）项目支出情况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2024年度用于保障</w:t>
      </w:r>
      <w:r>
        <w:rPr>
          <w:rFonts w:hint="default" w:ascii="Times New Roman" w:hAnsi="Times New Roman" w:eastAsia="仿宋_GB2312" w:cs="Times New Roman"/>
          <w:sz w:val="30"/>
          <w:szCs w:val="30"/>
          <w:highlight w:val="none"/>
          <w:lang w:val="zh-CN" w:eastAsia="zh-CN"/>
        </w:rPr>
        <w:t>华宁县退休人员管理服务中心</w:t>
      </w:r>
      <w:r>
        <w:rPr>
          <w:rFonts w:hint="default" w:ascii="Times New Roman" w:hAnsi="Times New Roman" w:eastAsia="仿宋_GB2312" w:cs="Times New Roman"/>
          <w:sz w:val="30"/>
          <w:szCs w:val="30"/>
          <w:highlight w:val="none"/>
          <w:lang w:val="en-US" w:eastAsia="zh-CN"/>
        </w:rPr>
        <w:t>为完成特定的行政工作任务或事业发展目标，用于专项业务工作的经费支出</w:t>
      </w:r>
      <w:r>
        <w:rPr>
          <w:rFonts w:hint="default" w:ascii="Times New Roman" w:hAnsi="Times New Roman" w:eastAsia="仿宋_GB2312" w:cs="Times New Roman"/>
          <w:sz w:val="30"/>
          <w:szCs w:val="30"/>
          <w:highlight w:val="none"/>
          <w:lang w:val="zh-CN" w:eastAsia="zh-CN"/>
        </w:rPr>
        <w:t>73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354.05</w:t>
      </w:r>
      <w:r>
        <w:rPr>
          <w:rFonts w:hint="default" w:ascii="Times New Roman" w:hAnsi="Times New Roman" w:eastAsia="仿宋_GB2312" w:cs="Times New Roman"/>
          <w:sz w:val="30"/>
          <w:szCs w:val="30"/>
          <w:highlight w:val="none"/>
          <w:lang w:val="en-US" w:eastAsia="zh-CN"/>
        </w:rPr>
        <w:t>元。其中：基本建设类项目支出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退休人员活动</w:t>
      </w:r>
      <w:r>
        <w:rPr>
          <w:rFonts w:hint="default" w:ascii="Times New Roman" w:hAnsi="Times New Roman" w:eastAsia="仿宋_GB2312" w:cs="Times New Roman"/>
          <w:sz w:val="30"/>
          <w:szCs w:val="30"/>
          <w:highlight w:val="none"/>
          <w:lang w:val="en-US" w:eastAsia="zh-CN"/>
        </w:rPr>
        <w:t>项目经费</w:t>
      </w:r>
      <w:r>
        <w:rPr>
          <w:rFonts w:hint="eastAsia" w:ascii="Times New Roman" w:hAnsi="Times New Roman" w:eastAsia="仿宋_GB2312" w:cs="Times New Roman"/>
          <w:sz w:val="30"/>
          <w:szCs w:val="30"/>
          <w:highlight w:val="none"/>
          <w:lang w:val="en-US" w:eastAsia="zh-CN"/>
        </w:rPr>
        <w:t>73</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354.05</w:t>
      </w:r>
      <w:r>
        <w:rPr>
          <w:rFonts w:hint="default" w:ascii="Times New Roman" w:hAnsi="Times New Roman" w:eastAsia="仿宋_GB2312" w:cs="Times New Roman"/>
          <w:sz w:val="30"/>
          <w:szCs w:val="30"/>
          <w:highlight w:val="none"/>
          <w:lang w:val="en-US" w:eastAsia="zh-CN"/>
        </w:rPr>
        <w:t>元，主要用于</w:t>
      </w:r>
      <w:r>
        <w:rPr>
          <w:rFonts w:hint="eastAsia" w:ascii="Times New Roman" w:hAnsi="Times New Roman" w:eastAsia="仿宋_GB2312" w:cs="Times New Roman"/>
          <w:sz w:val="30"/>
          <w:szCs w:val="30"/>
          <w:highlight w:val="none"/>
          <w:lang w:val="en-US" w:eastAsia="zh-CN"/>
        </w:rPr>
        <w:t>支付企业退休人员的日常退休活动费用。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zh-CN" w:eastAsia="zh-CN"/>
        </w:rPr>
        <w:t>华宁县退休人员管理服务中心</w:t>
      </w:r>
      <w:r>
        <w:rPr>
          <w:rFonts w:hint="default" w:ascii="Times New Roman" w:hAnsi="Times New Roman" w:eastAsia="仿宋_GB2312" w:cs="Times New Roman"/>
          <w:sz w:val="30"/>
          <w:szCs w:val="30"/>
          <w:highlight w:val="none"/>
          <w:lang w:val="en-US" w:eastAsia="zh-CN"/>
        </w:rPr>
        <w:t>2024年度一般公共预算财政拨款支出</w:t>
      </w:r>
      <w:r>
        <w:rPr>
          <w:rFonts w:hint="default" w:ascii="Times New Roman" w:hAnsi="Times New Roman" w:eastAsia="仿宋_GB2312" w:cs="Times New Roman"/>
          <w:sz w:val="30"/>
          <w:szCs w:val="30"/>
          <w:highlight w:val="none"/>
          <w:lang w:val="zh-CN" w:eastAsia="zh-CN"/>
        </w:rPr>
        <w:t>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483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674.65</w:t>
      </w:r>
      <w:r>
        <w:rPr>
          <w:rFonts w:hint="default" w:ascii="Times New Roman" w:hAnsi="Times New Roman" w:eastAsia="仿宋_GB2312" w:cs="Times New Roman"/>
          <w:sz w:val="30"/>
          <w:szCs w:val="30"/>
          <w:highlight w:val="none"/>
          <w:lang w:val="en-US" w:eastAsia="zh-CN"/>
        </w:rPr>
        <w:t>元</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占本年支出合计的</w:t>
      </w:r>
      <w:r>
        <w:rPr>
          <w:rFonts w:hint="default" w:ascii="Times New Roman" w:hAnsi="Times New Roman" w:eastAsia="仿宋_GB2312" w:cs="Times New Roman"/>
          <w:sz w:val="30"/>
          <w:szCs w:val="30"/>
          <w:highlight w:val="none"/>
          <w:lang w:val="zh-CN" w:eastAsia="zh-CN"/>
        </w:rPr>
        <w:t>97.13</w:t>
      </w:r>
      <w:r>
        <w:rPr>
          <w:rFonts w:hint="default" w:ascii="Times New Roman" w:hAnsi="Times New Roman" w:eastAsia="仿宋_GB2312" w:cs="Times New Roman"/>
          <w:sz w:val="30"/>
          <w:szCs w:val="30"/>
          <w:highlight w:val="none"/>
          <w:lang w:val="en-US" w:eastAsia="zh-CN"/>
        </w:rPr>
        <w:t>%。与上年相比增加</w:t>
      </w:r>
      <w:r>
        <w:rPr>
          <w:rFonts w:hint="default" w:ascii="Times New Roman" w:hAnsi="Times New Roman" w:eastAsia="仿宋_GB2312" w:cs="Times New Roman"/>
          <w:sz w:val="30"/>
          <w:szCs w:val="30"/>
          <w:highlight w:val="none"/>
          <w:lang w:val="zh-CN" w:eastAsia="zh-CN"/>
        </w:rPr>
        <w:t>641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959.56</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34.86</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完成年初预算的</w:t>
      </w:r>
      <w:r>
        <w:rPr>
          <w:rFonts w:hint="default" w:ascii="Times New Roman" w:hAnsi="Times New Roman" w:eastAsia="仿宋_GB2312" w:cs="Times New Roman"/>
          <w:sz w:val="30"/>
          <w:szCs w:val="30"/>
          <w:highlight w:val="none"/>
          <w:lang w:val="zh-CN" w:eastAsia="zh-CN"/>
        </w:rPr>
        <w:t>61.84</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val="en-US" w:eastAsia="zh-CN"/>
        </w:rPr>
        <w:t>（二）一般公共预算财政拨款支出决算分功能分类科目情况</w:t>
      </w:r>
      <w:r>
        <w:rPr>
          <w:rFonts w:hint="default" w:ascii="Times New Roman" w:hAnsi="Times New Roman" w:eastAsia="楷体" w:cs="Times New Roman"/>
          <w:sz w:val="30"/>
          <w:szCs w:val="30"/>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1.一般公共服务（类）支出0.00元，占一般公共预算财政拨款总支出的0.00%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2.外交（类）支出0.00元，占一般公共预算财政拨款总支出的0.00%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3.国防（类）支出0.00元，占一般公共预算财政拨款总支出的0.00%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4.公共安全（类）支出0.00元，占一般公共预算财政拨款总支出的0.00%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5.教育（类）支出0.00元，占一般公共预算财政拨款总支出的0.00%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6.科学技术（类）支出0.00元，占一般公共预算财政拨款总支出的0.00%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7.文化旅游体育与传媒（类）支出0.00元，占一般公共预算财政拨款总支出的0.00%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8.社会保障和就业（类）支出2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382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778.41元，占一般公共预算财政拨款总支出的95.94%</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完成年初预算的61.50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。主要用于</w:t>
      </w:r>
      <w:r>
        <w:rPr>
          <w:rFonts w:hint="default" w:ascii="Times New Roman" w:hAnsi="Times New Roman" w:eastAsia="仿宋_GB2312" w:cs="Times New Roman"/>
          <w:sz w:val="30"/>
          <w:szCs w:val="30"/>
          <w:highlight w:val="none"/>
          <w:lang w:val="en-US" w:eastAsia="zh-CN"/>
        </w:rPr>
        <w:t>发放在职人员工资及津补贴、支出日常公用经费、退休人员补贴发放、缴纳在职人员失业、工伤、生育保险、保障华宁县退休人员活动费、节日慰问、住院生病看望等费用</w:t>
      </w:r>
      <w:r>
        <w:rPr>
          <w:rFonts w:hint="default" w:ascii="Times New Roman" w:hAnsi="Times New Roman" w:eastAsia="仿宋_GB2312" w:cs="Times New Roman"/>
          <w:sz w:val="30"/>
          <w:szCs w:val="30"/>
          <w:highlight w:val="none"/>
          <w:lang w:val="zh-CN" w:eastAsia="zh-CN"/>
        </w:rPr>
        <w:t>；造成预决算差异的主要原因是</w:t>
      </w:r>
      <w:r>
        <w:rPr>
          <w:rFonts w:hint="eastAsia" w:ascii="Times New Roman" w:hAnsi="Times New Roman" w:eastAsia="仿宋_GB2312" w:cs="Times New Roman"/>
          <w:sz w:val="30"/>
          <w:szCs w:val="30"/>
          <w:highlight w:val="none"/>
          <w:lang w:val="zh-CN" w:eastAsia="zh-CN"/>
        </w:rPr>
        <w:t>资金困难，未能按时足额保障</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9.卫生健康（类）支出</w:t>
      </w:r>
      <w:r>
        <w:rPr>
          <w:rFonts w:hint="default" w:ascii="Times New Roman" w:hAnsi="Times New Roman" w:eastAsia="仿宋_GB2312" w:cs="Times New Roman"/>
          <w:sz w:val="30"/>
          <w:szCs w:val="30"/>
          <w:highlight w:val="none"/>
          <w:lang w:val="zh-CN" w:eastAsia="zh-CN"/>
        </w:rPr>
        <w:t>55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693.24元，占一般公共预算财政拨款总支出的2.24%</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完成年初预算的81.47</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。主要用于</w:t>
      </w:r>
      <w:r>
        <w:rPr>
          <w:rFonts w:hint="default" w:ascii="Times New Roman" w:hAnsi="Times New Roman" w:eastAsia="仿宋_GB2312" w:cs="Times New Roman"/>
          <w:sz w:val="30"/>
          <w:szCs w:val="30"/>
          <w:highlight w:val="none"/>
          <w:lang w:val="en-US" w:eastAsia="zh-CN"/>
        </w:rPr>
        <w:t>缴纳在职人员行政单位医疗、公务员医疗补助</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造成预决算差异的主要原因是</w:t>
      </w:r>
      <w:r>
        <w:rPr>
          <w:rFonts w:hint="eastAsia" w:ascii="Times New Roman" w:hAnsi="Times New Roman" w:eastAsia="仿宋_GB2312" w:cs="Times New Roman"/>
          <w:sz w:val="30"/>
          <w:szCs w:val="30"/>
          <w:highlight w:val="none"/>
          <w:lang w:val="en-US" w:eastAsia="zh-CN"/>
        </w:rPr>
        <w:t>预算执行中进行基数调整</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10.节能环保（类）支出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11.城乡社区（类）支出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12.农林水（类）支出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13.交通运输（类）支出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14.资源勘探工业信息等（类）支出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15.商业服务业等（类）支出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16.金融（类）支出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17.援助其他地区（类）支出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18.自然资源海洋气象等（类）支出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19.住房保障（类）支出</w:t>
      </w:r>
      <w:r>
        <w:rPr>
          <w:rFonts w:hint="default" w:ascii="Times New Roman" w:hAnsi="Times New Roman" w:eastAsia="仿宋_GB2312" w:cs="Times New Roman"/>
          <w:sz w:val="30"/>
          <w:szCs w:val="30"/>
          <w:highlight w:val="none"/>
          <w:lang w:val="zh-CN" w:eastAsia="zh-CN"/>
        </w:rPr>
        <w:t>45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203.00元，占一般公共预算财政拨款总支出的1.82%</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完成年初预算的61.58</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造成预决算差异的主要原因是</w:t>
      </w:r>
      <w:r>
        <w:rPr>
          <w:rFonts w:hint="eastAsia" w:ascii="Times New Roman" w:hAnsi="Times New Roman" w:eastAsia="仿宋_GB2312" w:cs="Times New Roman"/>
          <w:sz w:val="30"/>
          <w:szCs w:val="30"/>
          <w:highlight w:val="none"/>
          <w:lang w:val="zh-CN" w:eastAsia="zh-CN"/>
        </w:rPr>
        <w:t>财政资金困难，未按月及时拨付单位部分住房公积金</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20.粮油物资储备（类）支出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21.国有资本经营预算（类）支出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22.灾害防治及应急管理（类）支出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23.其他（类）支出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24.债务还本（类）支出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25.债务付息（类）支出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26.抗疫特别国债安排（类）支出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rPr>
      </w:pPr>
      <w:r>
        <w:rPr>
          <w:rFonts w:hint="eastAsia" w:ascii="Times New Roman" w:hAnsi="Times New Roman" w:eastAsia="黑体" w:cs="Times New Roman"/>
          <w:sz w:val="30"/>
          <w:szCs w:val="30"/>
          <w:highlight w:val="none"/>
          <w:lang w:eastAsia="zh-CN"/>
        </w:rPr>
        <w:t>四、</w:t>
      </w:r>
      <w:r>
        <w:rPr>
          <w:rFonts w:hint="default" w:ascii="Times New Roman" w:hAnsi="Times New Roman" w:eastAsia="黑体" w:cs="Times New Roman"/>
          <w:sz w:val="30"/>
          <w:szCs w:val="30"/>
          <w:highlight w:val="none"/>
        </w:rPr>
        <w:t>财政拨款“三公”经费支出决算情况说明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lang w:val="zh-CN" w:eastAsia="zh-CN"/>
        </w:rPr>
        <w:t>年度财政拨款“三公”经费支出决算中，财政拨款“三公”经费支出年初预算为</w:t>
      </w:r>
      <w:r>
        <w:rPr>
          <w:rFonts w:hint="default" w:ascii="Times New Roman" w:hAnsi="Times New Roman" w:eastAsia="仿宋_GB2312" w:cs="Times New Roman"/>
          <w:sz w:val="30"/>
          <w:szCs w:val="30"/>
          <w:highlight w:val="none"/>
          <w:lang w:val="en-US" w:eastAsia="zh-CN"/>
        </w:rPr>
        <w:t>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000.00</w:t>
      </w:r>
      <w:r>
        <w:rPr>
          <w:rFonts w:hint="default" w:ascii="Times New Roman" w:hAnsi="Times New Roman" w:eastAsia="仿宋_GB2312" w:cs="Times New Roman"/>
          <w:sz w:val="30"/>
          <w:szCs w:val="30"/>
          <w:highlight w:val="none"/>
          <w:lang w:val="zh-CN" w:eastAsia="zh-CN"/>
        </w:rPr>
        <w:t>元，决算为0.00元；支出决算较上年增加0.00</w:t>
      </w:r>
      <w:r>
        <w:rPr>
          <w:rFonts w:hint="default" w:ascii="Times New Roman" w:hAnsi="Times New Roman" w:eastAsia="仿宋_GB2312" w:cs="Times New Roman"/>
          <w:sz w:val="30"/>
          <w:szCs w:val="30"/>
          <w:highlight w:val="none"/>
          <w:lang w:val="en-US" w:eastAsia="zh-CN"/>
        </w:rPr>
        <w:t>元，</w:t>
      </w:r>
      <w:r>
        <w:rPr>
          <w:rFonts w:hint="default" w:ascii="Times New Roman" w:hAnsi="Times New Roman" w:eastAsia="仿宋_GB2312" w:cs="Times New Roman"/>
          <w:sz w:val="30"/>
          <w:szCs w:val="30"/>
          <w:highlight w:val="none"/>
          <w:lang w:val="zh-CN" w:eastAsia="zh-CN"/>
        </w:rPr>
        <w:t>上年无此项支出。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因公出国（境）费支出年初预算为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元，占财政拨款“三公”经费总支出决算的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%；公务用车购置费支出年初预算为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元，占财政拨款“三公”经费总支出决算的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%；公务用车运行维护费支出年初预算为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元，占财政拨款“三公”经费总支出决算的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%；公务接待费支出年初预算为</w:t>
      </w:r>
      <w:r>
        <w:rPr>
          <w:rFonts w:hint="default" w:ascii="Times New Roman" w:hAnsi="Times New Roman" w:eastAsia="仿宋_GB2312" w:cs="Times New Roman"/>
          <w:sz w:val="30"/>
          <w:szCs w:val="30"/>
          <w:highlight w:val="none"/>
          <w:lang w:val="zh-CN" w:eastAsia="zh-CN"/>
        </w:rPr>
        <w:t>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000.00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元，占财政拨款“三公”经费总支出决算的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%，完成年初预算的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因公出国（境）费支出决算较上年增加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元，上年无此项支出；公务用车购置费支出决算较上年增加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元，上年无此项支出；公务用车运行维护费支出决算较上年增加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元，上年无此项支出；公务接待费支出决算较上年增加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上年无此项支出；具体是国内接待费支出决算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元（其中：外事接待费支出决算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元，上年无此项支出；国（境）外接待费支出决算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上年无此项支出。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（二）一般公共预算财政拨款“三公”经费支出决算情况说明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val="en-US" w:eastAsia="zh-CN"/>
        </w:rPr>
        <w:t>2024年度一般公共预算财政拨款“三公”经费支出年初预算为</w:t>
      </w:r>
      <w:r>
        <w:rPr>
          <w:rFonts w:hint="default" w:ascii="Times New Roman" w:hAnsi="Times New Roman" w:eastAsia="仿宋_GB2312" w:cs="Times New Roman"/>
          <w:sz w:val="30"/>
          <w:szCs w:val="30"/>
          <w:highlight w:val="none"/>
          <w:lang w:val="zh-CN" w:eastAsia="zh-CN"/>
        </w:rPr>
        <w:t>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000.00</w:t>
      </w:r>
      <w:r>
        <w:rPr>
          <w:rFonts w:hint="default" w:ascii="Times New Roman" w:hAnsi="Times New Roman" w:eastAsia="仿宋_GB2312" w:cs="Times New Roman"/>
          <w:sz w:val="30"/>
          <w:szCs w:val="30"/>
          <w:highlight w:val="none"/>
          <w:lang w:val="en-US" w:eastAsia="zh-CN"/>
        </w:rPr>
        <w:t>元，支出决算为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元，完成年初预算的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%，支出决算较上年增加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w:t>
      </w:r>
      <w:r>
        <w:rPr>
          <w:rFonts w:hint="default" w:ascii="Times New Roman" w:hAnsi="Times New Roman" w:eastAsia="仿宋_GB2312" w:cs="Times New Roman"/>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一般公共预算财政拨款“三公”经费支出中：因公出国（境）费支出年初预算为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元；公务用车购置费支出年初预算为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元；公务用车运行维护费支出年初预算为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元；公务接待费支出年初预算为</w:t>
      </w:r>
      <w:r>
        <w:rPr>
          <w:rFonts w:hint="default" w:ascii="Times New Roman" w:hAnsi="Times New Roman" w:eastAsia="仿宋_GB2312" w:cs="Times New Roman"/>
          <w:sz w:val="30"/>
          <w:szCs w:val="30"/>
          <w:highlight w:val="none"/>
          <w:lang w:val="zh-CN" w:eastAsia="zh-CN"/>
        </w:rPr>
        <w:t>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000.00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元，完成年初预算的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%。2024年度一般公共预算财政拨款“三公”经费支出决算数小于年初预算数的主要原因是</w:t>
      </w:r>
      <w:r>
        <w:rPr>
          <w:rFonts w:hint="eastAsia" w:ascii="Times New Roman" w:hAnsi="Times New Roman" w:eastAsia="仿宋_GB2312" w:cs="Times New Roman"/>
          <w:sz w:val="30"/>
          <w:szCs w:val="30"/>
          <w:highlight w:val="none"/>
          <w:lang w:val="en-US" w:eastAsia="zh-CN"/>
        </w:rPr>
        <w:t>因资金困难，2024年</w:t>
      </w:r>
      <w:r>
        <w:rPr>
          <w:rFonts w:hint="default" w:ascii="Times New Roman" w:hAnsi="Times New Roman" w:eastAsia="仿宋_GB2312" w:cs="Times New Roman"/>
          <w:sz w:val="30"/>
          <w:szCs w:val="30"/>
          <w:highlight w:val="none"/>
          <w:lang w:val="en-US" w:eastAsia="zh-CN"/>
        </w:rPr>
        <w:t>“三公”经费支出</w:t>
      </w:r>
      <w:r>
        <w:rPr>
          <w:rFonts w:hint="eastAsia" w:ascii="Times New Roman" w:hAnsi="Times New Roman" w:eastAsia="仿宋_GB2312" w:cs="Times New Roman"/>
          <w:sz w:val="30"/>
          <w:szCs w:val="30"/>
          <w:highlight w:val="none"/>
          <w:lang w:val="en-US" w:eastAsia="zh-CN"/>
        </w:rPr>
        <w:t>少</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一般公共预算财政拨款“三公”经费支出中：因公出国（境）费支出决算增加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元，上年无此项支出；公务用车购置费支出决算增加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元，上年无此项支出；公务用车运行维护费支出决算增加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元，上年无此项支出；公务接待费支出决算增加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元，上年无此项支出，具体是国内接待费支出决算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元（其中：外事接待费支出决算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元），上年无此项支出；国（境）外接待费支出决算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上年无此项支出。2024年度一般公共预算财政拨款“三公”经费支出决算减少的主要原因是</w:t>
      </w:r>
      <w:r>
        <w:rPr>
          <w:rFonts w:hint="eastAsia" w:ascii="Times New Roman" w:hAnsi="Times New Roman" w:eastAsia="仿宋_GB2312" w:cs="Times New Roman"/>
          <w:sz w:val="30"/>
          <w:szCs w:val="30"/>
          <w:highlight w:val="none"/>
          <w:lang w:val="en-US" w:eastAsia="zh-CN"/>
        </w:rPr>
        <w:t>因资金困难，2024年</w:t>
      </w:r>
      <w:r>
        <w:rPr>
          <w:rFonts w:hint="default" w:ascii="Times New Roman" w:hAnsi="Times New Roman" w:eastAsia="仿宋_GB2312" w:cs="Times New Roman"/>
          <w:sz w:val="30"/>
          <w:szCs w:val="30"/>
          <w:highlight w:val="none"/>
          <w:lang w:val="en-US" w:eastAsia="zh-CN"/>
        </w:rPr>
        <w:t>“三公”经费支出</w:t>
      </w:r>
      <w:r>
        <w:rPr>
          <w:rFonts w:hint="eastAsia" w:ascii="Times New Roman" w:hAnsi="Times New Roman" w:eastAsia="仿宋_GB2312" w:cs="Times New Roman"/>
          <w:sz w:val="30"/>
          <w:szCs w:val="30"/>
          <w:highlight w:val="none"/>
          <w:lang w:val="en-US" w:eastAsia="zh-CN"/>
        </w:rPr>
        <w:t>少</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1.安排因公出国（境）团组</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个，累计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人次。</w:t>
      </w:r>
      <w:r>
        <w:rPr>
          <w:rFonts w:hint="eastAsia" w:ascii="Times New Roman" w:hAnsi="Times New Roman" w:eastAsia="仿宋_GB2312" w:cs="Times New Roman"/>
          <w:sz w:val="30"/>
          <w:szCs w:val="30"/>
          <w:highlight w:val="none"/>
          <w:lang w:val="en-US" w:eastAsia="zh-CN"/>
        </w:rPr>
        <w:t>华宁县退休人员管理服务中心无此项支出</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2.购置车辆</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辆。</w:t>
      </w:r>
      <w:r>
        <w:rPr>
          <w:rFonts w:hint="eastAsia" w:ascii="Times New Roman" w:hAnsi="Times New Roman" w:eastAsia="仿宋_GB2312" w:cs="Times New Roman"/>
          <w:sz w:val="30"/>
          <w:szCs w:val="30"/>
          <w:highlight w:val="none"/>
          <w:lang w:val="en-US" w:eastAsia="zh-CN"/>
        </w:rPr>
        <w:t>华宁县退休人员管理服务中心无此项支出</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3.安排国内公务接待</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批次（其中：外事接待</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批次），接待人次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人（其中：外事接待人次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人）。安排国（境）外公务接待</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批次，接待人次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w:t>
      </w:r>
      <w:r>
        <w:rPr>
          <w:rFonts w:hint="eastAsia" w:ascii="Times New Roman" w:hAnsi="Times New Roman" w:eastAsia="仿宋_GB2312" w:cs="Times New Roman"/>
          <w:sz w:val="30"/>
          <w:szCs w:val="30"/>
          <w:highlight w:val="none"/>
          <w:lang w:val="en-US" w:eastAsia="zh-CN"/>
        </w:rPr>
        <w:t>华宁县退休人员管理服务中心无此项支出</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（三）需要说明的事项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val="en-US" w:eastAsia="zh-CN"/>
        </w:rPr>
        <w:t>不存在需要说明的事项。</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一、机关运行经费支出情况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zh-CN" w:eastAsia="zh-CN"/>
        </w:rPr>
        <w:t>华宁县退休人员管理服务中心</w:t>
      </w:r>
      <w:r>
        <w:rPr>
          <w:rFonts w:hint="default" w:ascii="Times New Roman" w:hAnsi="Times New Roman" w:eastAsia="仿宋_GB2312" w:cs="Times New Roman"/>
          <w:sz w:val="30"/>
          <w:szCs w:val="30"/>
          <w:highlight w:val="none"/>
          <w:lang w:val="en-US" w:eastAsia="zh-CN"/>
        </w:rPr>
        <w:t>2024年机关运行经费支出0.00元，比上年增加0.00元，增长</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主要原因是</w:t>
      </w:r>
      <w:r>
        <w:rPr>
          <w:rFonts w:hint="default" w:ascii="Times New Roman" w:hAnsi="Times New Roman" w:eastAsia="仿宋_GB2312" w:cs="Times New Roman"/>
          <w:sz w:val="30"/>
          <w:szCs w:val="30"/>
          <w:highlight w:val="none"/>
          <w:lang w:val="zh-CN" w:eastAsia="zh-CN"/>
        </w:rPr>
        <w:t>华宁县退休人员管理服务中心</w:t>
      </w:r>
      <w:r>
        <w:rPr>
          <w:rFonts w:hint="eastAsia" w:ascii="Times New Roman" w:hAnsi="Times New Roman" w:eastAsia="仿宋_GB2312" w:cs="Times New Roman"/>
          <w:sz w:val="30"/>
          <w:szCs w:val="30"/>
          <w:highlight w:val="none"/>
          <w:lang w:val="en-US" w:eastAsia="zh-CN"/>
        </w:rPr>
        <w:t>2024年</w:t>
      </w:r>
      <w:r>
        <w:rPr>
          <w:rFonts w:hint="default" w:ascii="Times New Roman" w:hAnsi="Times New Roman" w:eastAsia="仿宋_GB2312" w:cs="Times New Roman"/>
          <w:sz w:val="30"/>
          <w:szCs w:val="30"/>
          <w:highlight w:val="none"/>
          <w:lang w:val="zh-CN" w:eastAsia="zh-CN"/>
        </w:rPr>
        <w:t>无</w:t>
      </w:r>
      <w:r>
        <w:rPr>
          <w:rFonts w:hint="eastAsia" w:ascii="Times New Roman" w:hAnsi="Times New Roman" w:eastAsia="仿宋_GB2312" w:cs="Times New Roman"/>
          <w:sz w:val="30"/>
          <w:szCs w:val="30"/>
          <w:highlight w:val="none"/>
          <w:lang w:val="en-US" w:eastAsia="zh-CN"/>
        </w:rPr>
        <w:t>机关运行经费</w:t>
      </w:r>
      <w:r>
        <w:rPr>
          <w:rFonts w:hint="default" w:ascii="Times New Roman" w:hAnsi="Times New Roman" w:eastAsia="仿宋_GB2312" w:cs="Times New Roman"/>
          <w:sz w:val="30"/>
          <w:szCs w:val="30"/>
          <w:highlight w:val="none"/>
          <w:lang w:val="zh-CN" w:eastAsia="zh-CN"/>
        </w:rPr>
        <w:t>支出</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二、国有资产占用情况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截至2024年末，华宁县退休人员管理服务中心资产总额</w:t>
      </w:r>
      <w:r>
        <w:rPr>
          <w:rFonts w:hint="eastAsia" w:ascii="Times New Roman" w:hAnsi="Times New Roman" w:eastAsia="仿宋_GB2312" w:cs="Times New Roman"/>
          <w:sz w:val="30"/>
          <w:szCs w:val="30"/>
          <w:highlight w:val="none"/>
          <w:lang w:val="en-US" w:eastAsia="zh-CN"/>
        </w:rPr>
        <w:t>199</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546.84</w:t>
      </w:r>
      <w:r>
        <w:rPr>
          <w:rFonts w:hint="default" w:ascii="Times New Roman" w:hAnsi="Times New Roman" w:eastAsia="仿宋_GB2312" w:cs="Times New Roman"/>
          <w:sz w:val="30"/>
          <w:szCs w:val="30"/>
          <w:highlight w:val="none"/>
          <w:lang w:val="zh-CN" w:eastAsia="zh-CN"/>
        </w:rPr>
        <w:t>元，其中，流动资产</w:t>
      </w:r>
      <w:r>
        <w:rPr>
          <w:rFonts w:hint="eastAsia" w:ascii="Times New Roman" w:hAnsi="Times New Roman" w:eastAsia="仿宋_GB2312" w:cs="Times New Roman"/>
          <w:sz w:val="30"/>
          <w:szCs w:val="30"/>
          <w:highlight w:val="none"/>
          <w:lang w:val="en-US" w:eastAsia="zh-CN"/>
        </w:rPr>
        <w:t>165</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050.44</w:t>
      </w:r>
      <w:r>
        <w:rPr>
          <w:rFonts w:hint="default" w:ascii="Times New Roman" w:hAnsi="Times New Roman" w:eastAsia="仿宋_GB2312" w:cs="Times New Roman"/>
          <w:sz w:val="30"/>
          <w:szCs w:val="30"/>
          <w:highlight w:val="none"/>
          <w:lang w:val="zh-CN" w:eastAsia="zh-CN"/>
        </w:rPr>
        <w:t>元，固定资产</w:t>
      </w:r>
      <w:r>
        <w:rPr>
          <w:rFonts w:hint="eastAsia" w:ascii="Times New Roman" w:hAnsi="Times New Roman" w:eastAsia="仿宋_GB2312" w:cs="Times New Roman"/>
          <w:sz w:val="30"/>
          <w:szCs w:val="30"/>
          <w:highlight w:val="none"/>
          <w:lang w:val="en-US" w:eastAsia="zh-CN"/>
        </w:rPr>
        <w:t>34</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496.40</w:t>
      </w:r>
      <w:r>
        <w:rPr>
          <w:rFonts w:hint="default" w:ascii="Times New Roman" w:hAnsi="Times New Roman" w:eastAsia="仿宋_GB2312" w:cs="Times New Roman"/>
          <w:sz w:val="30"/>
          <w:szCs w:val="30"/>
          <w:highlight w:val="none"/>
          <w:lang w:val="zh-CN" w:eastAsia="zh-CN"/>
        </w:rPr>
        <w:t>元（净值），对外投资及有价证券</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元，在建工程</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元，无形资产</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元（净值），其他资产</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元（净值）（具体内容详见附表）。与上年相比，本年资产总额增加</w:t>
      </w:r>
      <w:r>
        <w:rPr>
          <w:rFonts w:hint="eastAsia" w:ascii="Times New Roman" w:hAnsi="Times New Roman" w:eastAsia="仿宋_GB2312" w:cs="Times New Roman"/>
          <w:sz w:val="30"/>
          <w:szCs w:val="30"/>
          <w:highlight w:val="none"/>
          <w:lang w:val="en-US" w:eastAsia="zh-CN"/>
        </w:rPr>
        <w:t>32</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791.51</w:t>
      </w:r>
      <w:r>
        <w:rPr>
          <w:rFonts w:hint="default" w:ascii="Times New Roman" w:hAnsi="Times New Roman" w:eastAsia="仿宋_GB2312" w:cs="Times New Roman"/>
          <w:sz w:val="30"/>
          <w:szCs w:val="30"/>
          <w:highlight w:val="none"/>
          <w:lang w:val="zh-CN" w:eastAsia="zh-CN"/>
        </w:rPr>
        <w:t>元，其中固定资产</w:t>
      </w:r>
      <w:r>
        <w:rPr>
          <w:rFonts w:hint="eastAsia" w:ascii="Times New Roman" w:hAnsi="Times New Roman" w:eastAsia="仿宋_GB2312" w:cs="Times New Roman"/>
          <w:sz w:val="30"/>
          <w:szCs w:val="30"/>
          <w:highlight w:val="none"/>
          <w:lang w:val="zh-CN" w:eastAsia="zh-CN"/>
        </w:rPr>
        <w:t>减少</w:t>
      </w:r>
      <w:r>
        <w:rPr>
          <w:rFonts w:hint="eastAsia" w:ascii="Times New Roman" w:hAnsi="Times New Roman" w:eastAsia="仿宋_GB2312" w:cs="Times New Roman"/>
          <w:sz w:val="30"/>
          <w:szCs w:val="30"/>
          <w:highlight w:val="none"/>
          <w:lang w:val="en-US" w:eastAsia="zh-CN"/>
        </w:rPr>
        <w:t>4</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578.24</w:t>
      </w:r>
      <w:r>
        <w:rPr>
          <w:rFonts w:hint="default" w:ascii="Times New Roman" w:hAnsi="Times New Roman" w:eastAsia="仿宋_GB2312" w:cs="Times New Roman"/>
          <w:sz w:val="30"/>
          <w:szCs w:val="30"/>
          <w:highlight w:val="none"/>
          <w:lang w:val="zh-CN" w:eastAsia="zh-CN"/>
        </w:rPr>
        <w:t>元。处置房屋建筑物</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平方米，账面原值</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元；处置车辆</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zh-CN" w:eastAsia="zh-CN"/>
        </w:rPr>
        <w:t>辆，账面原值</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元；报废报损资产</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zh-CN" w:eastAsia="zh-CN"/>
        </w:rPr>
        <w:t>项，账面原值</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元，实现资产处置收入</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元；出租房屋</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平方米，账面原值</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元，实现资产使用收入</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（国有资产占有使用情况表详见附表）</w:t>
      </w:r>
    </w:p>
    <w:tbl>
      <w:tblPr>
        <w:tblStyle w:val="5"/>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widowControl/>
              <w:jc w:val="left"/>
              <w:rPr>
                <w:rFonts w:hint="default" w:ascii="Times New Roman" w:hAnsi="Times New Roman" w:eastAsia="Times New Roman" w:cs="Times New Roman"/>
                <w:kern w:val="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三、政府采购支出情况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2024年度，单位政府采购支出总额</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元，其中：政府采购货物支出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元；政府采购工程支出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元；政府采购服务支出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元。授予中小企业合同金额</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元，其中：授予小微企业合同金额</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四、单位绩效自评情况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单位绩效自评情况详见附表。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本单位无其他重要事项情况说明。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部门决算：</w:t>
      </w:r>
      <w:r>
        <w:rPr>
          <w:rFonts w:hint="eastAsia" w:ascii="Times New Roman" w:hAnsi="Times New Roman" w:eastAsia="仿宋_GB2312" w:cs="Times New Roman"/>
          <w:sz w:val="30"/>
          <w:szCs w:val="30"/>
          <w:highlight w:val="none"/>
          <w:lang w:val="en-US" w:eastAsia="zh-CN"/>
        </w:rPr>
        <w:t>是指</w:t>
      </w:r>
      <w:r>
        <w:rPr>
          <w:rFonts w:hint="default" w:ascii="Times New Roman" w:hAnsi="Times New Roman" w:eastAsia="仿宋_GB2312" w:cs="Times New Roman"/>
          <w:sz w:val="30"/>
          <w:szCs w:val="30"/>
          <w:highlight w:val="none"/>
          <w:lang w:val="en-US" w:eastAsia="zh-CN"/>
        </w:rPr>
        <w:t>各部门依据国家有关法律法规规定及其履行职能情况编制，反映部门和单位所有预算收支和结余执行结果及绩效等情况的综合性年度报告，是改进部门预算执行以及编制后续年度部门预算的参考和依据。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监督索引号53042400531600101111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3YTI1MjMyYzU3MjUzNDllMDg2ODkzYjMzODVmZjYifQ=="/>
  </w:docVars>
  <w:rsids>
    <w:rsidRoot w:val="00000000"/>
    <w:rsid w:val="02DB4857"/>
    <w:rsid w:val="07103010"/>
    <w:rsid w:val="15233C15"/>
    <w:rsid w:val="16D451C7"/>
    <w:rsid w:val="1B4522A9"/>
    <w:rsid w:val="1C032DB0"/>
    <w:rsid w:val="20716D65"/>
    <w:rsid w:val="261C6242"/>
    <w:rsid w:val="2B4104F9"/>
    <w:rsid w:val="2CF75313"/>
    <w:rsid w:val="2D6055AE"/>
    <w:rsid w:val="2E144813"/>
    <w:rsid w:val="2F9E6EAD"/>
    <w:rsid w:val="2FD8585E"/>
    <w:rsid w:val="310B6887"/>
    <w:rsid w:val="37124BF8"/>
    <w:rsid w:val="41B16375"/>
    <w:rsid w:val="42F00D2B"/>
    <w:rsid w:val="45B750ED"/>
    <w:rsid w:val="4F6C798B"/>
    <w:rsid w:val="52CD24EF"/>
    <w:rsid w:val="53807A9C"/>
    <w:rsid w:val="550A7A2A"/>
    <w:rsid w:val="5A1E47AC"/>
    <w:rsid w:val="5A20384C"/>
    <w:rsid w:val="5E053D08"/>
    <w:rsid w:val="5FDB09F9"/>
    <w:rsid w:val="62FF095A"/>
    <w:rsid w:val="64DD4813"/>
    <w:rsid w:val="6949691B"/>
    <w:rsid w:val="6D6830E8"/>
    <w:rsid w:val="6E6E2980"/>
    <w:rsid w:val="709F1517"/>
    <w:rsid w:val="745D771F"/>
    <w:rsid w:val="781A0911"/>
    <w:rsid w:val="79C91002"/>
    <w:rsid w:val="7B915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paragraph" w:customStyle="1" w:styleId="9">
    <w:name w:val="正文-公1"/>
    <w:basedOn w:val="10"/>
    <w:next w:val="1"/>
    <w:qFormat/>
    <w:uiPriority w:val="0"/>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0f62f-46cd-4dd2-8f20-cbde8c7417a2}">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15</Pages>
  <Words>6258</Words>
  <Characters>7283</Characters>
  <Lines>0</Lines>
  <Paragraphs>0</Paragraphs>
  <TotalTime>235</TotalTime>
  <ScaleCrop>false</ScaleCrop>
  <LinksUpToDate>false</LinksUpToDate>
  <CharactersWithSpaces>7312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范一菡</cp:lastModifiedBy>
  <cp:lastPrinted>2024-07-30T06:24:00Z</cp:lastPrinted>
  <dcterms:modified xsi:type="dcterms:W3CDTF">2025-09-12T03:19:55Z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C5EB82299DD4438599D44304DE58A3CB_12</vt:lpwstr>
  </property>
  <property fmtid="{D5CDD505-2E9C-101B-9397-08002B2CF9AE}" pid="3" name="KSOProductBuildVer">
    <vt:lpwstr>2052-12.1.0.15336</vt:lpwstr>
  </property>
</Properties>
</file>