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211D">
      <w:pPr>
        <w:keepNext w:val="0"/>
        <w:keepLines w:val="0"/>
        <w:pageBreakBefore w:val="0"/>
        <w:kinsoku/>
        <w:wordWrap/>
        <w:overflowPunct/>
        <w:topLinePunct w:val="0"/>
        <w:autoSpaceDE/>
        <w:autoSpaceDN/>
        <w:bidi w:val="0"/>
        <w:adjustRightInd/>
        <w:spacing w:line="590" w:lineRule="exact"/>
        <w:textAlignment w:val="auto"/>
        <w:rPr>
          <w:rFonts w:hint="default" w:ascii="Times New Roman" w:hAnsi="Times New Roman" w:eastAsia="方正黑体_GBK" w:cs="Times New Roman"/>
          <w:b w:val="0"/>
          <w:bCs/>
          <w:sz w:val="36"/>
        </w:rPr>
      </w:pPr>
      <w:r>
        <w:rPr>
          <w:rFonts w:hint="default" w:ascii="Times New Roman" w:hAnsi="Times New Roman" w:eastAsia="方正黑体_GBK" w:cs="Times New Roman"/>
          <w:b w:val="0"/>
          <w:bCs/>
          <w:sz w:val="36"/>
        </w:rPr>
        <w:t>监督索引号53042400347700101000</w:t>
      </w:r>
    </w:p>
    <w:p w14:paraId="7584F72D">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简体" w:cs="Times New Roman"/>
          <w:color w:val="000000" w:themeColor="text1"/>
          <w:sz w:val="36"/>
          <w:lang w:val="zh-CN"/>
          <w14:textFill>
            <w14:solidFill>
              <w14:schemeClr w14:val="tx1"/>
            </w14:solidFill>
          </w14:textFill>
        </w:rPr>
      </w:pPr>
    </w:p>
    <w:p w14:paraId="2B4C8793">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zh-CN"/>
          <w14:textFill>
            <w14:solidFill>
              <w14:schemeClr w14:val="tx1"/>
            </w14:solidFill>
          </w14:textFill>
        </w:rPr>
        <w:t>华宁县科技创新与成果转化中心</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2024</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年度</w:t>
      </w:r>
    </w:p>
    <w:p w14:paraId="4525F209">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部门决算</w:t>
      </w:r>
    </w:p>
    <w:p w14:paraId="647C2D26">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p>
    <w:p w14:paraId="49BC6AFA">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color w:val="000000" w:themeColor="text1"/>
          <w:sz w:val="36"/>
          <w:szCs w:val="36"/>
          <w:highlight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lang w:eastAsia="zh-CN"/>
          <w14:textFill>
            <w14:solidFill>
              <w14:schemeClr w14:val="tx1"/>
            </w14:solidFill>
          </w14:textFill>
        </w:rPr>
        <w:t>目录</w:t>
      </w:r>
    </w:p>
    <w:p w14:paraId="7ED45051">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color w:val="000000" w:themeColor="text1"/>
          <w:sz w:val="30"/>
          <w:szCs w:val="30"/>
          <w:highlight w:val="none"/>
          <w14:textFill>
            <w14:solidFill>
              <w14:schemeClr w14:val="tx1"/>
            </w14:solidFill>
          </w14:textFill>
        </w:rPr>
      </w:pPr>
    </w:p>
    <w:p w14:paraId="6F39CD2A">
      <w:pPr>
        <w:keepNext w:val="0"/>
        <w:keepLines w:val="0"/>
        <w:pageBreakBefore w:val="0"/>
        <w:kinsoku/>
        <w:wordWrap/>
        <w:overflowPunct/>
        <w:topLinePunct w:val="0"/>
        <w:autoSpaceDE/>
        <w:autoSpaceDN/>
        <w:bidi w:val="0"/>
        <w:adjustRightInd/>
        <w:spacing w:line="590" w:lineRule="exact"/>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xml:space="preserve">第一部分  </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单位</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概况</w:t>
      </w:r>
    </w:p>
    <w:p w14:paraId="6C9FAC51">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一、主要职</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责</w:t>
      </w:r>
    </w:p>
    <w:p w14:paraId="3480B83A">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基本情况</w:t>
      </w:r>
    </w:p>
    <w:p w14:paraId="0BF48E5A">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三、重点工作概述</w:t>
      </w:r>
    </w:p>
    <w:p w14:paraId="6A1A07E8">
      <w:pPr>
        <w:keepNext w:val="0"/>
        <w:keepLines w:val="0"/>
        <w:pageBreakBefore w:val="0"/>
        <w:kinsoku/>
        <w:wordWrap/>
        <w:overflowPunct/>
        <w:topLinePunct w:val="0"/>
        <w:autoSpaceDE/>
        <w:autoSpaceDN/>
        <w:bidi w:val="0"/>
        <w:adjustRightInd/>
        <w:spacing w:line="590" w:lineRule="exact"/>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xml:space="preserve">第二部分  </w:t>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2024</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年度部门决算表</w:t>
      </w:r>
    </w:p>
    <w:p w14:paraId="518CE084">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一、收入支出决算表</w:t>
      </w:r>
    </w:p>
    <w:p w14:paraId="6B2EB5A2">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二、收入决算表</w:t>
      </w:r>
    </w:p>
    <w:p w14:paraId="56255A6C">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三、支出决算表</w:t>
      </w:r>
    </w:p>
    <w:p w14:paraId="119643C8">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四、财政拨款收入支出决算表</w:t>
      </w:r>
    </w:p>
    <w:p w14:paraId="03A95101">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五、一般公共预算财政拨款收入支出决算表</w:t>
      </w:r>
    </w:p>
    <w:p w14:paraId="63B51040">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六、一般公共预算财政拨款基本支出决算表</w:t>
      </w:r>
    </w:p>
    <w:p w14:paraId="5C889EB0">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七、</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一般公共预算财政拨款项目支出决算表</w:t>
      </w:r>
    </w:p>
    <w:p w14:paraId="6980CE0B">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八</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、政府性基金预算财政拨款收入支出决算表</w:t>
      </w:r>
    </w:p>
    <w:p w14:paraId="2ADFC468">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九、国有资本经营预算财政拨款收入支出决算表</w:t>
      </w:r>
    </w:p>
    <w:p w14:paraId="2E71FD38">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十</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财政拨款</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“三公”经费、行政参公单位机关运行经费情况表</w:t>
      </w:r>
    </w:p>
    <w:p w14:paraId="24D4953B">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十一、一般公共预算财政拨款“三公”经费情况表</w:t>
      </w:r>
    </w:p>
    <w:p w14:paraId="4DEFED6C">
      <w:pPr>
        <w:keepNext w:val="0"/>
        <w:keepLines w:val="0"/>
        <w:pageBreakBefore w:val="0"/>
        <w:kinsoku/>
        <w:wordWrap/>
        <w:overflowPunct/>
        <w:topLinePunct w:val="0"/>
        <w:autoSpaceDE/>
        <w:autoSpaceDN/>
        <w:bidi w:val="0"/>
        <w:adjustRightInd/>
        <w:spacing w:line="590" w:lineRule="exact"/>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第三部</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分</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2024</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年度部门决算情况说明</w:t>
      </w:r>
    </w:p>
    <w:p w14:paraId="673E71C1">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一、收入决算情况说明</w:t>
      </w:r>
    </w:p>
    <w:p w14:paraId="571D2ACB">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二、支出决算情况说明</w:t>
      </w:r>
    </w:p>
    <w:p w14:paraId="2178C57F">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三、一般公共预算财政拨款支出决算情况说明</w:t>
      </w:r>
    </w:p>
    <w:p w14:paraId="42E88D01">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四、财政拨款“三公”经费支出决算情况说明</w:t>
      </w:r>
    </w:p>
    <w:p w14:paraId="4770C44A">
      <w:pPr>
        <w:keepNext w:val="0"/>
        <w:keepLines w:val="0"/>
        <w:pageBreakBefore w:val="0"/>
        <w:kinsoku/>
        <w:wordWrap/>
        <w:overflowPunct/>
        <w:topLinePunct w:val="0"/>
        <w:autoSpaceDE/>
        <w:autoSpaceDN/>
        <w:bidi w:val="0"/>
        <w:adjustRightInd/>
        <w:spacing w:line="590" w:lineRule="exact"/>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第四部分</w:t>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其他重要事项及相关口径情况说明</w:t>
      </w:r>
    </w:p>
    <w:p w14:paraId="5204F826">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机关运行经费支出情况</w:t>
      </w:r>
    </w:p>
    <w:p w14:paraId="5481922B">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国有资产占用情况</w:t>
      </w:r>
    </w:p>
    <w:p w14:paraId="603A1CBA">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政府采购支出情况</w:t>
      </w:r>
    </w:p>
    <w:p w14:paraId="75F41C44">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四、</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部门绩效自评情况</w:t>
      </w:r>
    </w:p>
    <w:p w14:paraId="2AC72569">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五、</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其他重要事项情况说明</w:t>
      </w:r>
    </w:p>
    <w:p w14:paraId="2B32B38D">
      <w:pPr>
        <w:keepNext w:val="0"/>
        <w:keepLines w:val="0"/>
        <w:pageBreakBefore w:val="0"/>
        <w:kinsoku/>
        <w:wordWrap/>
        <w:overflowPunct/>
        <w:topLinePunct w:val="0"/>
        <w:autoSpaceDE/>
        <w:autoSpaceDN/>
        <w:bidi w:val="0"/>
        <w:adjustRightInd/>
        <w:spacing w:line="590" w:lineRule="exact"/>
        <w:jc w:val="left"/>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六、相关口径说明</w:t>
      </w:r>
    </w:p>
    <w:p w14:paraId="03A0385D">
      <w:pPr>
        <w:keepNext w:val="0"/>
        <w:keepLines w:val="0"/>
        <w:pageBreakBefore w:val="0"/>
        <w:kinsoku/>
        <w:wordWrap/>
        <w:overflowPunct/>
        <w:topLinePunct w:val="0"/>
        <w:autoSpaceDE/>
        <w:autoSpaceDN/>
        <w:bidi w:val="0"/>
        <w:adjustRightInd/>
        <w:spacing w:line="590" w:lineRule="exact"/>
        <w:jc w:val="left"/>
        <w:textAlignment w:val="auto"/>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第五部分  名词解释</w:t>
      </w:r>
    </w:p>
    <w:p w14:paraId="0B99237E">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0B48F472">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7957AFAB">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3DBA857A">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4FACCD4F">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2CA921AA">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2F6F59CD">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0FF4BFB9">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color w:val="000000" w:themeColor="text1"/>
          <w:sz w:val="32"/>
          <w:szCs w:val="32"/>
          <w:highlight w:val="none"/>
          <w14:textFill>
            <w14:solidFill>
              <w14:schemeClr w14:val="tx1"/>
            </w14:solidFill>
          </w14:textFill>
        </w:rPr>
      </w:pPr>
    </w:p>
    <w:p w14:paraId="5212904C">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xml:space="preserve">第一部分  </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单位</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概况</w:t>
      </w:r>
    </w:p>
    <w:p w14:paraId="645599C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一、主要</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职责</w:t>
      </w:r>
    </w:p>
    <w:p w14:paraId="6CD642F3">
      <w:pPr>
        <w:keepNext w:val="0"/>
        <w:keepLines w:val="0"/>
        <w:pageBreakBefore w:val="0"/>
        <w:kinsoku/>
        <w:wordWrap/>
        <w:overflowPunct/>
        <w:topLinePunct w:val="0"/>
        <w:autoSpaceDE/>
        <w:autoSpaceDN/>
        <w:bidi w:val="0"/>
        <w:adjustRightInd/>
        <w:spacing w:line="590" w:lineRule="exact"/>
        <w:ind w:firstLine="600"/>
        <w:jc w:val="left"/>
        <w:textAlignment w:val="auto"/>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t>（一）主要职能</w:t>
      </w:r>
    </w:p>
    <w:p w14:paraId="4BAAA948">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1.贯彻落实科技成果转移转化法规，以及有关的规划、计划和行动。</w:t>
      </w:r>
    </w:p>
    <w:p w14:paraId="4204F29D">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2.是开展县域经济社会发展关键共性技术的需求分析研究。</w:t>
      </w:r>
    </w:p>
    <w:p w14:paraId="14F8FE3B">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3.是承担县域成果转移转化公共服务平台搭建、运营，为转移转化提供孵化、培育等公共服务。</w:t>
      </w:r>
    </w:p>
    <w:p w14:paraId="314F7B2C">
      <w:pPr>
        <w:keepNext w:val="0"/>
        <w:keepLines w:val="0"/>
        <w:pageBreakBefore w:val="0"/>
        <w:kinsoku/>
        <w:wordWrap/>
        <w:overflowPunct/>
        <w:topLinePunct w:val="0"/>
        <w:autoSpaceDE/>
        <w:autoSpaceDN/>
        <w:bidi w:val="0"/>
        <w:adjustRightInd/>
        <w:spacing w:line="590" w:lineRule="exact"/>
        <w:ind w:firstLine="6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4.是组织和承担成果示范、技术推广等科技项目；承担科技政策解读与宣传、培训，科学技术普及、科技特派员和科技辅导员等专项管理工作。</w:t>
      </w:r>
    </w:p>
    <w:p w14:paraId="30E489B4">
      <w:pPr>
        <w:keepNext w:val="0"/>
        <w:keepLines w:val="0"/>
        <w:pageBreakBefore w:val="0"/>
        <w:kinsoku/>
        <w:wordWrap/>
        <w:overflowPunct/>
        <w:topLinePunct w:val="0"/>
        <w:autoSpaceDE/>
        <w:autoSpaceDN/>
        <w:bidi w:val="0"/>
        <w:adjustRightInd/>
        <w:spacing w:line="590" w:lineRule="exact"/>
        <w:ind w:firstLine="6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5.是开展科技咨询、项目策划与组织服务。</w:t>
      </w:r>
    </w:p>
    <w:p w14:paraId="1541C9F9">
      <w:pPr>
        <w:keepNext w:val="0"/>
        <w:keepLines w:val="0"/>
        <w:pageBreakBefore w:val="0"/>
        <w:kinsoku/>
        <w:wordWrap/>
        <w:overflowPunct/>
        <w:topLinePunct w:val="0"/>
        <w:autoSpaceDE/>
        <w:autoSpaceDN/>
        <w:bidi w:val="0"/>
        <w:adjustRightInd/>
        <w:spacing w:line="590" w:lineRule="exact"/>
        <w:ind w:firstLine="600"/>
        <w:jc w:val="left"/>
        <w:textAlignment w:val="auto"/>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6.承办科技行政主管部门委托的其他工作事项。</w:t>
      </w:r>
    </w:p>
    <w:p w14:paraId="26317B3F">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二、</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单位</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基本情况</w:t>
      </w:r>
    </w:p>
    <w:p w14:paraId="018A3541">
      <w:pPr>
        <w:keepNext w:val="0"/>
        <w:keepLines w:val="0"/>
        <w:pageBreakBefore w:val="0"/>
        <w:kinsoku/>
        <w:wordWrap/>
        <w:overflowPunct/>
        <w:topLinePunct w:val="0"/>
        <w:autoSpaceDE/>
        <w:autoSpaceDN/>
        <w:bidi w:val="0"/>
        <w:adjustRightInd/>
        <w:spacing w:line="590" w:lineRule="exact"/>
        <w:ind w:firstLine="600"/>
        <w:jc w:val="left"/>
        <w:textAlignment w:val="auto"/>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t>（一）机构设置情况</w:t>
      </w:r>
    </w:p>
    <w:p w14:paraId="0FAD6E7C">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我单位共设置0个内设机构。</w:t>
      </w:r>
    </w:p>
    <w:p w14:paraId="14172464">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我单位为基层预算单位，无下属单位。</w:t>
      </w:r>
    </w:p>
    <w:p w14:paraId="460A7EA4">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t>二）决算单位构成</w:t>
      </w:r>
    </w:p>
    <w:p w14:paraId="7D8A4F1A">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我单位作为</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华宁县工业商贸和科技信息局</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的二级预算单位纳入2024年度部门决算编报范围。</w:t>
      </w:r>
    </w:p>
    <w:p w14:paraId="1D3265F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 w:hAnsi="楷体" w:eastAsia="楷体"/>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lang w:val="zh-CN" w:eastAsia="zh-CN"/>
          <w14:textFill>
            <w14:solidFill>
              <w14:schemeClr w14:val="tx1"/>
            </w14:solidFill>
          </w14:textFill>
        </w:rPr>
        <w:t>（三）单位人员和车辆的编制及实有情况</w:t>
      </w:r>
      <w:r>
        <w:rPr>
          <w:rFonts w:hint="eastAsia" w:ascii="楷体" w:hAnsi="楷体" w:eastAsia="楷体"/>
          <w:color w:val="000000" w:themeColor="text1"/>
          <w:sz w:val="30"/>
          <w:szCs w:val="30"/>
          <w:highlight w:val="none"/>
          <w14:textFill>
            <w14:solidFill>
              <w14:schemeClr w14:val="tx1"/>
            </w14:solidFill>
          </w14:textFill>
        </w:rPr>
        <w:t xml:space="preserve"> </w:t>
      </w:r>
    </w:p>
    <w:p w14:paraId="5A45A6B3">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我单位2024年末编制内实有人员5人。包括财政拨款开支经费的：公务员0人，参照公务员法管理人员0人，事业管理人员和专业技术人员5人，机关和事业工人0人；经费自理人员0人。</w:t>
      </w:r>
    </w:p>
    <w:p w14:paraId="49629E8B">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我单位2024年末其他人员0人。包括财政拨款开支经费的人员0人；经费自理人员0人。</w:t>
      </w:r>
    </w:p>
    <w:p w14:paraId="490F98B5">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年末尚未移交养老保险基金发放养老金的离退休人员共计0人（离休0人，退休0人）。年末由养老保险基金发放养老金的离退休人员0人（离休0人，退休0人）。0</w:t>
      </w:r>
    </w:p>
    <w:p w14:paraId="3AE59591">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车辆编制0辆，在编实有车辆0辆，超编0辆。</w:t>
      </w:r>
    </w:p>
    <w:p w14:paraId="694112F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三、重点工作概述</w:t>
      </w:r>
    </w:p>
    <w:p w14:paraId="2BF6EA2B">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zh-CN"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引导企业在省级科技重大专项和重点研发计划、省级以上科学技术奖励、高新技术企业培育库、众创空间、星创天地、市级重点实验室、工程技术研究中心和产业技术创新战略联盟、R&amp;D经费投入强度方面争取奖励措施，全面激发全社会创新活力。一是建立了科技项目需求库，推动企业与省高校院所开展多层次全方位的产学研合作，推动创新链与产业链双向互动。二是积极开展厅市会商项目和省级重点项目申报，推动新经济的发展。三是建立顺畅有效的科技成果转移转化机制，推进大众创业、万众创新，培育发展新动力，形成发展新优势，提升科技创新能力，着力挖掘和培育了一批科技成果在华宁县转移转化。</w:t>
      </w:r>
    </w:p>
    <w:p w14:paraId="4E1E9C2A">
      <w:pPr>
        <w:keepNext w:val="0"/>
        <w:keepLines w:val="0"/>
        <w:pageBreakBefore w:val="0"/>
        <w:kinsoku/>
        <w:wordWrap/>
        <w:overflowPunct/>
        <w:topLinePunct w:val="0"/>
        <w:autoSpaceDE/>
        <w:autoSpaceDN/>
        <w:bidi w:val="0"/>
        <w:adjustRightInd/>
        <w:spacing w:line="590" w:lineRule="exact"/>
        <w:ind w:firstLine="600" w:firstLineChars="200"/>
        <w:jc w:val="left"/>
        <w:textAlignment w:val="auto"/>
        <w:rPr>
          <w:rFonts w:hint="eastAsia" w:ascii="仿宋_GB2312" w:hAnsi="宋体" w:eastAsia="仿宋_GB2312" w:cs="Arial"/>
          <w:color w:val="000000" w:themeColor="text1"/>
          <w:kern w:val="0"/>
          <w:sz w:val="30"/>
          <w:szCs w:val="30"/>
          <w:highlight w:val="none"/>
          <w14:textFill>
            <w14:solidFill>
              <w14:schemeClr w14:val="tx1"/>
            </w14:solidFill>
          </w14:textFill>
        </w:rPr>
      </w:pPr>
    </w:p>
    <w:p w14:paraId="075E8EB9">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xml:space="preserve">第二部分 </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2024</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年度部门决算表</w:t>
      </w:r>
    </w:p>
    <w:p w14:paraId="3A3BD8A0">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（详见附件）</w:t>
      </w:r>
    </w:p>
    <w:p w14:paraId="1BA35A6C">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年度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无</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政府性基金收入，也</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使用政府性基金安排的支出，故《政府性基金预算财政拨款收入支出决算表》为空表。</w:t>
      </w:r>
    </w:p>
    <w:p w14:paraId="4F6B26E5">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年度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无</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国有资本经营收入，也</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未</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使用国有资本经营安排的支出，故《国有资本经营预算财政拨款收入支出决算表》为空表。</w:t>
      </w:r>
    </w:p>
    <w:p w14:paraId="2E6F3581">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为华宁县工业商贸和科技信息局二级单位，故</w:t>
      </w:r>
      <w:r>
        <w:rPr>
          <w:rFonts w:hint="eastAsia" w:ascii="Times New Roman" w:hAnsi="Times New Roman" w:eastAsia="方正仿宋_GBK" w:cs="Times New Roman"/>
          <w:color w:val="000000" w:themeColor="text1"/>
          <w:kern w:val="0"/>
          <w:sz w:val="32"/>
          <w:szCs w:val="32"/>
          <w:lang w:val="zh-CN" w:eastAsia="zh-CN"/>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0"/>
          <w:sz w:val="32"/>
          <w:szCs w:val="32"/>
          <w:lang w:val="zh-CN" w:eastAsia="zh-CN"/>
          <w14:textFill>
            <w14:solidFill>
              <w14:schemeClr w14:val="tx1"/>
            </w14:solidFill>
          </w14:textFill>
        </w:rPr>
        <w:t>年度部门整体支出绩效自评情况》</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为空表。</w:t>
      </w:r>
    </w:p>
    <w:p w14:paraId="27C1B601">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为华宁县工业商贸和科技信息局二级单位，故</w:t>
      </w:r>
      <w:r>
        <w:rPr>
          <w:rFonts w:hint="eastAsia" w:ascii="Times New Roman" w:hAnsi="Times New Roman" w:eastAsia="方正仿宋_GBK" w:cs="Times New Roman"/>
          <w:color w:val="000000" w:themeColor="text1"/>
          <w:kern w:val="0"/>
          <w:sz w:val="32"/>
          <w:szCs w:val="32"/>
          <w:lang w:val="zh-CN" w:eastAsia="zh-CN"/>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0"/>
          <w:sz w:val="32"/>
          <w:szCs w:val="32"/>
          <w:lang w:val="zh-CN" w:eastAsia="zh-CN"/>
          <w14:textFill>
            <w14:solidFill>
              <w14:schemeClr w14:val="tx1"/>
            </w14:solidFill>
          </w14:textFill>
        </w:rPr>
        <w:t>年度部门整体支出绩效自评表》</w:t>
      </w:r>
      <w:r>
        <w:rPr>
          <w:rFonts w:hint="default" w:ascii="Times New Roman" w:hAnsi="Times New Roman" w:eastAsia="方正仿宋_GBK" w:cs="Times New Roman"/>
          <w:color w:val="000000" w:themeColor="text1"/>
          <w:kern w:val="0"/>
          <w:sz w:val="32"/>
          <w:szCs w:val="32"/>
          <w:lang w:val="zh-CN" w:eastAsia="zh-CN"/>
          <w14:textFill>
            <w14:solidFill>
              <w14:schemeClr w14:val="tx1"/>
            </w14:solidFill>
          </w14:textFill>
        </w:rPr>
        <w:t>为空表。</w:t>
      </w:r>
    </w:p>
    <w:p w14:paraId="6A3ECD38">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olor w:val="000000" w:themeColor="text1"/>
          <w:sz w:val="32"/>
          <w:szCs w:val="32"/>
          <w:highlight w:val="none"/>
          <w14:textFill>
            <w14:solidFill>
              <w14:schemeClr w14:val="tx1"/>
            </w14:solidFill>
          </w14:textFill>
        </w:rPr>
      </w:pPr>
    </w:p>
    <w:p w14:paraId="060DE1B9">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第三部</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分</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2024</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年度部门决算情况说明</w:t>
      </w:r>
    </w:p>
    <w:p w14:paraId="05985333">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一、收入决算情况说明</w:t>
      </w:r>
    </w:p>
    <w:p w14:paraId="0B31D089">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2024年度收入合计550799.31元。其中：财政拨款收入550799.31元，占总收入的100.00%；无上级补助收入，无事业收入，无经营收入，无附属单位上缴收入，无其他收入0.00元。</w:t>
      </w:r>
    </w:p>
    <w:p w14:paraId="2F3F8DE7">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与上年相比，收入合计增加130625.11元，增长31.09%。其中：财政拨款收入增加130625.11元，增长31.09%；主要原因是本单位2024年度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新</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调入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一名事业人员</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40CE97A7">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二、支出决算情况说明</w:t>
      </w:r>
    </w:p>
    <w:p w14:paraId="744D2CB3">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2024年度支出合计550799.31元。其中：基本支出550799.31元，占总支出的100.00％；无项目支出；无上缴上级支出，无经营支出，无对附属单位补助支出。</w:t>
      </w:r>
    </w:p>
    <w:p w14:paraId="21B99ED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与上年相比，支出合计增加130625.11元，增长31.09%。其中：基本支出增加130625.11元，增长31.09；无项目支出；无上缴上级支出，无经营支出，无对附属单位补助支出。主要原因是：2024年度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新</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调入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一名事业人员</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279EAAC7">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（一）基本支出情况</w:t>
      </w:r>
    </w:p>
    <w:p w14:paraId="4D463B6C">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2024年度用于保障</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机构正常运转的日常支出550799.31元。其中：基本工资、津贴补贴等人员经费支出548139.31元，占基本支出的99.52％；办公费、印刷费、水电费、办公设备购置等公用经费32000.00元，占基本支出的0.48％。</w:t>
      </w:r>
    </w:p>
    <w:p w14:paraId="39DE8DCF">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（二）项目支出情况</w:t>
      </w:r>
    </w:p>
    <w:p w14:paraId="1636F565">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2024年度用于保障</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本单位无项目支出。</w:t>
      </w:r>
    </w:p>
    <w:p w14:paraId="2B2F77AF">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三、一般公共预算财政拨款支出决算情况说明</w:t>
      </w:r>
    </w:p>
    <w:p w14:paraId="3A2AA6B8">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一）一般公共预算财政拨款支出决算总体情况</w:t>
      </w:r>
    </w:p>
    <w:p w14:paraId="2F7F109E">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2024年度一般公共预算财政拨款支出550799.31元,占本年支出合计的100.00%。与上年相比增加130625.11元，增长31.09%,完成年初预算的101.8%。主要原因是：2024年度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新</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调入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一名事业人员</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45C989CC">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楷体" w:hAnsi="楷体" w:eastAsia="楷体"/>
          <w:color w:val="000000" w:themeColor="text1"/>
          <w:sz w:val="30"/>
          <w:szCs w:val="30"/>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（二）一般公共预算财政拨款支出决算</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分功能分类科目情况</w:t>
      </w:r>
    </w:p>
    <w:p w14:paraId="01687056">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1.一般公共服务（类）支出427668.58元，占一般公共预算财政拨款总支出的77.65%,完成年初预算的108.42%；主要用于2010450事业运行427668.58元，造成预决算差异的主要原因是：2024年度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新</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调入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一名事业人员</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p>
    <w:p w14:paraId="3AD1544B">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2.社会保障和就业支出（类）支出55096.96元，占一般公共预算财政拨款总支出的10%,完成年初预算的105.01%。主要用于：2080505机关事业单位基本养老保险缴费支出；造成预决算差异的主要原因是：2024年度</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新</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调入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一名事业人员</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及调整养老保险基数。</w:t>
      </w:r>
    </w:p>
    <w:p w14:paraId="19CF6EEC">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3.卫生健康支出支出41354.77元，占一般公共预算财政拨款总支出的7.51%,完成年初预算的96.12%。主要用于：</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主要用于2101101行政单位医疗27073.54元，2101103公务员医疗补助12027.59元，2101199其他行政事业单位医疗支出32253.64元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，造成预决算差异的主要原因是：在职在编职工调整医疗保险，公务员补助等保险基数。</w:t>
      </w:r>
    </w:p>
    <w:p w14:paraId="3340A91D">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住房保障支出（类）支出26679元，占一般公共预算财政拨款总支出的</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48.42</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，完成年初预算的52.19%。</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。主要用于</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2210201住房公积金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258900</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造成预决算差异的主要原因是：在职在编职工调整住房公积金基数及新调入1人。</w:t>
      </w:r>
    </w:p>
    <w:p w14:paraId="77674792">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财政拨款“三公”经费支出决算情况说明</w:t>
      </w:r>
    </w:p>
    <w:p w14:paraId="6BA9C4FF">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（一）总体情况</w:t>
      </w:r>
    </w:p>
    <w:p w14:paraId="2305F1D6">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2024年度财政拨款“三公”经费支出决算中，财政拨款“三公”经费支出年初预算为3200.00元，决算为0.00.00元，完成年初预算的183.13%；支出决算较上年增加0.00元，增长0.00%。</w:t>
      </w:r>
    </w:p>
    <w:p w14:paraId="513E487A">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因公出国（境）费支出年初预算为0.00元，决算为0.00元，占财政拨款“三公”经费总支出决算的0.00%；公务用车购置费支出年初预算为0.00元，决算为0.00元，占财政拨款“三公”经费总支出决算的0.00%；公务用车运行维护费支出年初预算为0.00元，决算为0.00元，占财政拨款“三公”经费总支出决算的0.00%，；公务接待费支出年初预算为0.00元，决算为0.00元，占财政拨款“三公”经费总支出决算的0.00%。</w:t>
      </w:r>
    </w:p>
    <w:p w14:paraId="19C54684">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因公出国（境）费支出决算上年无此项支出；公务用车购置费支出上年无此项支出；公务用车运行维护费支出决算上年无此项支出；公务接待费支出决算较上年增加0.00元，上年无此项支出；具体是国内接待费支出决算0.00元（其中：外事接待费支出决算0.00元），上年无此项支出；国（境）外接待费支出决算0.00元，上年无此项支出。</w:t>
      </w:r>
    </w:p>
    <w:p w14:paraId="4294A7BC">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（二）一般公共预算财政拨款“三公”经费支出决算情况说明</w:t>
      </w:r>
    </w:p>
    <w:p w14:paraId="602928DD">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2024年度一般公共预算财政拨款“三公”经费支出年初预算为3200.00元，支出决算为0.00元，上年无此项支出。</w:t>
      </w:r>
    </w:p>
    <w:p w14:paraId="2F7E0BFA">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一般公共预算财政拨款“三公”经费支出中：因公出国（境）费支出年初预算为0.00元，决算为0.00元；公务用车购置费支出年初预算为0.00元，决算为0.00元；公务用车运行维护费支出年初预算为0.00元，决算为0.00元；公务接待费支出年初预算为0.00元，决算为0.00元。2024年度一般公共预算财政拨款“三公”经费支出决算数等于初预算数。</w:t>
      </w:r>
    </w:p>
    <w:p w14:paraId="78539DDD">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一般公共预算财政拨款“三公”经费支出中：因公出国（境）费支出决算增加0.00元，上年无此项支出；公务用车购置费支出决算增加0.00元，上年无此项支出；公务用车运行维护费支出决算增加0.00元，上年无此项支出；公务接待费支出决算增加0.00元，上年无此项支出，具体是国内接待费支出决算0.00元（其中：外事接待费支出决算0.00元），上年无此项支出；国（境）外接待费支出决算0.00元,上年无此项支出。2024年度一般公共预算财政拨款“三公”经费支出决算增加0.00元。</w:t>
      </w:r>
    </w:p>
    <w:p w14:paraId="17DE88E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一般公共预算财政拨款“三公”经费支出实物量的具体情况：</w:t>
      </w:r>
    </w:p>
    <w:p w14:paraId="13C25C85">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1.安排因公出国（境）团组0个，累计0人次。</w:t>
      </w:r>
    </w:p>
    <w:p w14:paraId="568C1CD3">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2.购置车辆0辆。</w:t>
      </w:r>
    </w:p>
    <w:p w14:paraId="53582EC2">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3.安排国内公务接待0批次（其中：外事接待0批次），接待人次0人（其中：外事接待人次0人）。安排国（境）外公务接待0批次，接待人次0人。</w:t>
      </w:r>
    </w:p>
    <w:p w14:paraId="3F9372F4">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三）需要说明的事项</w:t>
      </w:r>
    </w:p>
    <w:p w14:paraId="6507635B">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无。</w:t>
      </w:r>
    </w:p>
    <w:p w14:paraId="1DFC9C48">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黑体" w:hAnsi="黑体" w:eastAsia="黑体" w:cs="方正小标宋简体"/>
          <w:color w:val="000000" w:themeColor="text1"/>
          <w:sz w:val="32"/>
          <w:szCs w:val="32"/>
          <w:highlight w:val="none"/>
          <w14:textFill>
            <w14:solidFill>
              <w14:schemeClr w14:val="tx1"/>
            </w14:solidFill>
          </w14:textFill>
        </w:rPr>
      </w:pPr>
    </w:p>
    <w:p w14:paraId="2A1EBAE4">
      <w:pPr>
        <w:keepNext w:val="0"/>
        <w:keepLines w:val="0"/>
        <w:pageBreakBefore w:val="0"/>
        <w:widowControl/>
        <w:kinsoku/>
        <w:wordWrap/>
        <w:overflowPunct/>
        <w:topLinePunct w:val="0"/>
        <w:autoSpaceDE/>
        <w:autoSpaceDN/>
        <w:bidi w:val="0"/>
        <w:adjustRightInd/>
        <w:snapToGrid w:val="0"/>
        <w:spacing w:line="590" w:lineRule="exact"/>
        <w:jc w:val="center"/>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第四部分  其他重要事项及相关口径情况说明</w:t>
      </w:r>
    </w:p>
    <w:p w14:paraId="33B0E837">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一</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机关运行经费支出情况</w:t>
      </w:r>
    </w:p>
    <w:p w14:paraId="4C293426">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2024年机关运行经费支出2660.00元，上年无此项支出。单位机关运行经费主要用于：工会经费2660.00元。</w:t>
      </w:r>
    </w:p>
    <w:p w14:paraId="08916EE4">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国有资产占用情况</w:t>
      </w:r>
    </w:p>
    <w:p w14:paraId="3A956A0E">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截至2024年末，</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华宁县科技创新与成果转化中心</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资产总额7416.8元，其中，流动资产7416.8元，固定资产0元（净值），对外投资及有价证券0元，在建工程0元，无形资产0元（净值），其他资产0元（净值）（具体内容详见附表）。与上年相比，本年资产总额增加6386.3元，其中固定资产增加0.00元。处置房屋建筑物0平方米，账面原值0.00元；处置车辆0辆，账面原值0.00元；报废报损资产0项，账面原值0.00元，实现资产处置收入0.00元；出租房屋0平方米，账面原值0.00元，实现资产使用收入0.00元。</w:t>
      </w:r>
    </w:p>
    <w:p w14:paraId="08C0798C">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（国有资产占有使用情况表详见附表）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31B7A914">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39A6BAF7">
            <w:pPr>
              <w:keepNext w:val="0"/>
              <w:keepLines w:val="0"/>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578452B9">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5EFA3F28">
            <w:pPr>
              <w:keepNext w:val="0"/>
              <w:keepLines w:val="0"/>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360175D8">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1A5A0F8F">
            <w:pPr>
              <w:keepNext w:val="0"/>
              <w:keepLines w:val="0"/>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61C8E28C">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2C21A64A">
            <w:pPr>
              <w:keepNext w:val="0"/>
              <w:keepLines w:val="0"/>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07B01E22">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6356603F">
            <w:pPr>
              <w:keepNext w:val="0"/>
              <w:keepLines w:val="0"/>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728BF02E">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55A7C538">
            <w:pPr>
              <w:keepNext w:val="0"/>
              <w:keepLines w:val="0"/>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00E3E72C">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64243989">
            <w:pPr>
              <w:keepNext w:val="0"/>
              <w:keepLines w:val="0"/>
              <w:pageBreakBefore w:val="0"/>
              <w:widowControl/>
              <w:kinsoku/>
              <w:wordWrap/>
              <w:overflowPunct/>
              <w:topLinePunct w:val="0"/>
              <w:autoSpaceDE/>
              <w:autoSpaceDN/>
              <w:bidi w:val="0"/>
              <w:adjustRightInd/>
              <w:spacing w:line="590" w:lineRule="exact"/>
              <w:jc w:val="left"/>
              <w:textAlignment w:val="auto"/>
              <w:rPr>
                <w:rFonts w:ascii="宋体" w:hAnsi="宋体" w:cs="宋体"/>
                <w:color w:val="000000" w:themeColor="text1"/>
                <w:kern w:val="0"/>
                <w:sz w:val="17"/>
                <w:szCs w:val="17"/>
                <w:highlight w:val="none"/>
                <w14:textFill>
                  <w14:solidFill>
                    <w14:schemeClr w14:val="tx1"/>
                  </w14:solidFill>
                </w14:textFill>
              </w:rPr>
            </w:pPr>
          </w:p>
        </w:tc>
      </w:tr>
      <w:tr w14:paraId="30DC2A77">
        <w:tblPrEx>
          <w:tblCellMar>
            <w:top w:w="0" w:type="dxa"/>
            <w:left w:w="0" w:type="dxa"/>
            <w:bottom w:w="0" w:type="dxa"/>
            <w:right w:w="0" w:type="dxa"/>
          </w:tblCellMar>
        </w:tblPrEx>
        <w:trPr>
          <w:trHeight w:val="495" w:hRule="atLeast"/>
        </w:trPr>
        <w:tc>
          <w:tcPr>
            <w:tcW w:w="142" w:type="dxa"/>
            <w:noWrap w:val="0"/>
            <w:vAlign w:val="center"/>
          </w:tcPr>
          <w:p w14:paraId="2DD0021F">
            <w:pPr>
              <w:keepNext w:val="0"/>
              <w:keepLines w:val="0"/>
              <w:pageBreakBefore w:val="0"/>
              <w:widowControl/>
              <w:kinsoku/>
              <w:wordWrap/>
              <w:overflowPunct/>
              <w:topLinePunct w:val="0"/>
              <w:autoSpaceDE/>
              <w:autoSpaceDN/>
              <w:bidi w:val="0"/>
              <w:adjustRightInd/>
              <w:spacing w:line="590" w:lineRule="exact"/>
              <w:jc w:val="left"/>
              <w:textAlignment w:val="auto"/>
              <w:rPr>
                <w:rFonts w:ascii="Times New Roman" w:hAnsi="Times New Roman" w:eastAsia="Times New Roman"/>
                <w:color w:val="000000" w:themeColor="text1"/>
                <w:kern w:val="0"/>
                <w:sz w:val="20"/>
                <w:szCs w:val="20"/>
                <w:highlight w:val="none"/>
                <w14:textFill>
                  <w14:solidFill>
                    <w14:schemeClr w14:val="tx1"/>
                  </w14:solidFill>
                </w14:textFill>
              </w:rPr>
            </w:pPr>
          </w:p>
        </w:tc>
      </w:tr>
    </w:tbl>
    <w:p w14:paraId="4D734CD5">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三、政府采购支出情况</w:t>
      </w:r>
    </w:p>
    <w:p w14:paraId="5C028E75">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2024年度，单位政府采购支出总额0.00元，其中：政府采购货物支出0.00元；政府采购工程支出0.00元；政府采购服务支出0.00元。授予中小企业合同金额0.00元，其中：授予小微企业合同金额0.00元。</w:t>
      </w:r>
    </w:p>
    <w:p w14:paraId="5D494325">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四、单位绩效自评情况</w:t>
      </w:r>
    </w:p>
    <w:p w14:paraId="50F34F0D">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单位绩效自评情况详见附表。</w:t>
      </w:r>
    </w:p>
    <w:p w14:paraId="33C54C84">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五、其他重要事项情况说明</w:t>
      </w:r>
    </w:p>
    <w:p w14:paraId="025B5B8D">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无。</w:t>
      </w:r>
    </w:p>
    <w:p w14:paraId="25737174">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六、相关口径说明</w:t>
      </w:r>
    </w:p>
    <w:p w14:paraId="532A3BAA">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（一）基本支出中人员经费包括工资福利支出和对个人和家庭的补助，公用经费包括商品和服务支出、资本性支出等人员经费以外的支出。</w:t>
      </w:r>
    </w:p>
    <w:p w14:paraId="6848D6EA">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（二）机关运行经费指行政单位和参照公务员法管理的事业单位使用一般公共预算财政拨款安排的基本支出中的公用经费支出。</w:t>
      </w:r>
    </w:p>
    <w:p w14:paraId="20EC2A9B">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6375D03F">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4587A496">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s="方正小标宋简体"/>
          <w:color w:val="000000" w:themeColor="text1"/>
          <w:sz w:val="32"/>
          <w:szCs w:val="32"/>
          <w:highlight w:val="none"/>
          <w14:textFill>
            <w14:solidFill>
              <w14:schemeClr w14:val="tx1"/>
            </w14:solidFill>
          </w14:textFill>
        </w:rPr>
      </w:pPr>
    </w:p>
    <w:p w14:paraId="2E9C81A7">
      <w:pPr>
        <w:keepNext w:val="0"/>
        <w:keepLines w:val="0"/>
        <w:pageBreakBefore w:val="0"/>
        <w:widowControl/>
        <w:kinsoku/>
        <w:wordWrap/>
        <w:overflowPunct/>
        <w:topLinePunct w:val="0"/>
        <w:autoSpaceDE/>
        <w:autoSpaceDN/>
        <w:bidi w:val="0"/>
        <w:adjustRightInd/>
        <w:snapToGrid w:val="0"/>
        <w:spacing w:line="590" w:lineRule="exact"/>
        <w:jc w:val="center"/>
        <w:textAlignment w:val="auto"/>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第五部分  名词解释</w:t>
      </w:r>
    </w:p>
    <w:p w14:paraId="773AEFA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部门决算：各部门依据国家有关法律法规规定及其履行职能情况编制，反映部门和单位所有预算收支和结余执行结果及绩效等情况的综合性年度报告，是改进部门预算执行以及编制后续</w:t>
      </w:r>
      <w:bookmarkStart w:id="0" w:name="_GoBack"/>
      <w:bookmarkEnd w:id="0"/>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年度部门预算的参考和依据。</w:t>
      </w:r>
    </w:p>
    <w:p w14:paraId="034D1A49">
      <w:pPr>
        <w:keepNext w:val="0"/>
        <w:keepLines w:val="0"/>
        <w:pageBreakBefore w:val="0"/>
        <w:kinsoku/>
        <w:wordWrap/>
        <w:overflowPunct/>
        <w:topLinePunct w:val="0"/>
        <w:autoSpaceDE/>
        <w:autoSpaceDN/>
        <w:bidi w:val="0"/>
        <w:adjustRightInd/>
        <w:spacing w:line="590" w:lineRule="exact"/>
        <w:textAlignment w:val="auto"/>
      </w:pPr>
    </w:p>
    <w:p w14:paraId="532AA9AD">
      <w:pPr>
        <w:keepNext w:val="0"/>
        <w:keepLines w:val="0"/>
        <w:pageBreakBefore w:val="0"/>
        <w:kinsoku/>
        <w:wordWrap/>
        <w:overflowPunct/>
        <w:topLinePunct w:val="0"/>
        <w:autoSpaceDE/>
        <w:autoSpaceDN/>
        <w:bidi w:val="0"/>
        <w:adjustRightInd/>
        <w:spacing w:line="590" w:lineRule="exact"/>
        <w:textAlignment w:val="auto"/>
        <w:rPr>
          <w:rFonts w:hint="default" w:ascii="Times New Roman" w:hAnsi="Times New Roman" w:eastAsia="方正黑体_GBK" w:cs="Times New Roman"/>
          <w:b w:val="0"/>
          <w:bCs/>
          <w:sz w:val="36"/>
        </w:rPr>
      </w:pPr>
      <w:r>
        <w:rPr>
          <w:rFonts w:hint="eastAsia" w:ascii="方正黑体_GBK" w:hAnsi="方正黑体_GBK" w:eastAsia="方正黑体_GBK" w:cs="方正黑体_GBK"/>
          <w:b w:val="0"/>
          <w:bCs/>
          <w:sz w:val="36"/>
        </w:rPr>
        <w:t>监督索引号</w:t>
      </w:r>
      <w:r>
        <w:rPr>
          <w:rFonts w:hint="default" w:ascii="Times New Roman" w:hAnsi="Times New Roman" w:eastAsia="方正黑体_GBK" w:cs="Times New Roman"/>
          <w:b w:val="0"/>
          <w:bCs/>
          <w:sz w:val="36"/>
        </w:rPr>
        <w:t>53042400347700101111</w:t>
      </w:r>
    </w:p>
    <w:sectPr>
      <w:headerReference r:id="rId3" w:type="default"/>
      <w:footerReference r:id="rId4" w:type="default"/>
      <w:footerReference r:id="rId5" w:type="even"/>
      <w:pgSz w:w="11906" w:h="16838"/>
      <w:pgMar w:top="2041" w:right="1474" w:bottom="130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dobe Ming Std L">
    <w:panose1 w:val="02020300000000000000"/>
    <w:charset w:val="88"/>
    <w:family w:val="auto"/>
    <w:pitch w:val="default"/>
    <w:sig w:usb0="00000001" w:usb1="1A0F1900" w:usb2="00000016" w:usb3="00000000" w:csb0="00120005" w:csb1="00000000"/>
  </w:font>
  <w:font w:name="方正美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国标楷体-GB/T 2312">
    <w:panose1 w:val="020005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 w:name="国标仿宋">
    <w:panose1 w:val="02000500000000000000"/>
    <w:charset w:val="86"/>
    <w:family w:val="auto"/>
    <w:pitch w:val="default"/>
    <w:sig w:usb0="A00002BF" w:usb1="38C77CFA" w:usb2="00000016" w:usb3="00000000" w:csb0="00040000" w:csb1="00000000"/>
  </w:font>
  <w:font w:name="国标仿宋-GB/T 2312">
    <w:panose1 w:val="02000500000000000000"/>
    <w:charset w:val="86"/>
    <w:family w:val="auto"/>
    <w:pitch w:val="default"/>
    <w:sig w:usb0="800002AF" w:usb1="08476CF8" w:usb2="00000010" w:usb3="00000000" w:csb0="00040000" w:csb1="00000000"/>
  </w:font>
  <w:font w:name="华文彩云">
    <w:panose1 w:val="02010800040101010101"/>
    <w:charset w:val="86"/>
    <w:family w:val="auto"/>
    <w:pitch w:val="default"/>
    <w:sig w:usb0="00000001" w:usb1="080F0000" w:usb2="00000000" w:usb3="00000000" w:csb0="00040000" w:csb1="00000000"/>
  </w:font>
  <w:font w:name="Adobe Caslon Pro Bold">
    <w:panose1 w:val="0205070206050A020403"/>
    <w:charset w:val="00"/>
    <w:family w:val="auto"/>
    <w:pitch w:val="default"/>
    <w:sig w:usb0="00000007" w:usb1="00000001" w:usb2="00000000" w:usb3="00000000" w:csb0="20000093" w:csb1="00000000"/>
  </w:font>
  <w:font w:name="Adobe Garamond Pro Bold">
    <w:panose1 w:val="02020702060506020403"/>
    <w:charset w:val="00"/>
    <w:family w:val="auto"/>
    <w:pitch w:val="default"/>
    <w:sig w:usb0="00000007" w:usb1="00000001" w:usb2="00000000" w:usb3="00000000" w:csb0="20000093" w:csb1="00000000"/>
  </w:font>
  <w:font w:name="国标楷体">
    <w:panose1 w:val="020005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04b_21">
    <w:panose1 w:val="000004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魏碑_GBK">
    <w:panose1 w:val="02000000000000000000"/>
    <w:charset w:val="86"/>
    <w:family w:val="auto"/>
    <w:pitch w:val="default"/>
    <w:sig w:usb0="00000001" w:usb1="08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Adobe Naskh Medium">
    <w:panose1 w:val="01010101010101010101"/>
    <w:charset w:val="00"/>
    <w:family w:val="auto"/>
    <w:pitch w:val="default"/>
    <w:sig w:usb0="00002003" w:usb1="00000000" w:usb2="00000000" w:usb3="00000000" w:csb0="2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69C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68118C">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968118C">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C43E">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023D5D7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2C3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9C5753"/>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0D3A8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9B67E6"/>
    <w:rsid w:val="35E72C38"/>
    <w:rsid w:val="360B4DA5"/>
    <w:rsid w:val="364F30EB"/>
    <w:rsid w:val="369F7346"/>
    <w:rsid w:val="36A645FC"/>
    <w:rsid w:val="36DE447A"/>
    <w:rsid w:val="36F315F4"/>
    <w:rsid w:val="37282ED2"/>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BC401A"/>
    <w:rsid w:val="44E53468"/>
    <w:rsid w:val="44E91DF6"/>
    <w:rsid w:val="45203683"/>
    <w:rsid w:val="453244B9"/>
    <w:rsid w:val="45A4152D"/>
    <w:rsid w:val="45A867F1"/>
    <w:rsid w:val="45ED4C8D"/>
    <w:rsid w:val="466729D6"/>
    <w:rsid w:val="47D42FF0"/>
    <w:rsid w:val="48E1676A"/>
    <w:rsid w:val="48E40429"/>
    <w:rsid w:val="49181F09"/>
    <w:rsid w:val="49247934"/>
    <w:rsid w:val="49723E09"/>
    <w:rsid w:val="49B2744B"/>
    <w:rsid w:val="49C155BF"/>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3B7525"/>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A058C2"/>
    <w:rsid w:val="5DC9252F"/>
    <w:rsid w:val="5DE073F8"/>
    <w:rsid w:val="5E102C77"/>
    <w:rsid w:val="5E181AE8"/>
    <w:rsid w:val="5E200FB4"/>
    <w:rsid w:val="5E286A5D"/>
    <w:rsid w:val="5E715CB3"/>
    <w:rsid w:val="5E7721E8"/>
    <w:rsid w:val="5F400E00"/>
    <w:rsid w:val="5F585DDC"/>
    <w:rsid w:val="5FCD49D0"/>
    <w:rsid w:val="5FEE67D5"/>
    <w:rsid w:val="600606E1"/>
    <w:rsid w:val="60A25007"/>
    <w:rsid w:val="60C657AF"/>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1E467C"/>
    <w:rsid w:val="7A840A52"/>
    <w:rsid w:val="7A8D4744"/>
    <w:rsid w:val="7A8D5499"/>
    <w:rsid w:val="7AA028C5"/>
    <w:rsid w:val="7AD95CEC"/>
    <w:rsid w:val="7B482360"/>
    <w:rsid w:val="7B886F65"/>
    <w:rsid w:val="7B991389"/>
    <w:rsid w:val="7CA01B71"/>
    <w:rsid w:val="7CF52723"/>
    <w:rsid w:val="7CF93F8F"/>
    <w:rsid w:val="7CFE370D"/>
    <w:rsid w:val="7D3455C0"/>
    <w:rsid w:val="7D5216BB"/>
    <w:rsid w:val="7D8F340C"/>
    <w:rsid w:val="7DC123FB"/>
    <w:rsid w:val="7DCA4966"/>
    <w:rsid w:val="7DD6636F"/>
    <w:rsid w:val="7E21732F"/>
    <w:rsid w:val="7E2E406D"/>
    <w:rsid w:val="7E391E44"/>
    <w:rsid w:val="7E3A2E0D"/>
    <w:rsid w:val="7E637FA1"/>
    <w:rsid w:val="7E9D3A96"/>
    <w:rsid w:val="7E9F516C"/>
    <w:rsid w:val="7EBC5951"/>
    <w:rsid w:val="7EC85AD8"/>
    <w:rsid w:val="7EDE5857"/>
    <w:rsid w:val="7F2A6FBC"/>
    <w:rsid w:val="7F4E0757"/>
    <w:rsid w:val="7F6C1599"/>
    <w:rsid w:val="7F6E7B17"/>
    <w:rsid w:val="E35730C1"/>
    <w:rsid w:val="F76CDD08"/>
    <w:rsid w:val="FDDDB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cs="仿宋_GB2312"/>
      <w:kern w:val="0"/>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12</Pages>
  <Words>4631</Words>
  <Characters>5233</Characters>
  <Lines>0</Lines>
  <Paragraphs>0</Paragraphs>
  <TotalTime>14</TotalTime>
  <ScaleCrop>false</ScaleCrop>
  <LinksUpToDate>false</LinksUpToDate>
  <CharactersWithSpaces>5255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2024-06-03T09:34:00Z</dcterms:created>
  <dc:creator>李瑞婷(拟稿)</dc:creator>
  <cp:lastModifiedBy>柳思榕</cp:lastModifiedBy>
  <cp:lastPrinted>2024-07-30T14:24:00Z</cp:lastPrinted>
  <dcterms:modified xsi:type="dcterms:W3CDTF">2025-09-18T17:33:21Z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815C2AD6E7A1421398BEA11E540B7B57_12</vt:lpwstr>
  </property>
  <property fmtid="{D5CDD505-2E9C-101B-9397-08002B2CF9AE}" pid="3" name="KSOProductBuildVer">
    <vt:lpwstr>2052-12.8.2.1119</vt:lpwstr>
  </property>
  <property fmtid="{D5CDD505-2E9C-101B-9397-08002B2CF9AE}" pid="4" name="KSOTemplateDocerSaveRecord">
    <vt:lpwstr>eyJoZGlkIjoiNWMxZDkxZDU2ODFhMzVkN2ZjNzdhODFlOThkMTdmMDEiLCJ1c2VySWQiOiIxMTQ0NTA3MzQ5In0=</vt:lpwstr>
  </property>
</Properties>
</file>