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w w:val="90"/>
          <w:sz w:val="112"/>
          <w:szCs w:val="112"/>
        </w:rPr>
      </w:pPr>
      <w:r>
        <w:rPr>
          <w:rFonts w:hint="eastAsia" w:ascii="方正小标宋_GBK" w:hAnsi="方正小标宋_GBK" w:eastAsia="方正小标宋_GBK" w:cs="方正小标宋_GBK"/>
          <w:b/>
          <w:bCs/>
          <w:color w:val="FF0000"/>
          <w:spacing w:val="-14"/>
          <w:w w:val="90"/>
          <w:sz w:val="112"/>
          <w:szCs w:val="112"/>
          <w:lang w:val="en-US" w:eastAsia="zh-CN"/>
        </w:rPr>
        <w:t>华宁县</w:t>
      </w:r>
      <w:r>
        <w:rPr>
          <w:rFonts w:hint="eastAsia" w:ascii="方正小标宋_GBK" w:hAnsi="方正小标宋_GBK" w:eastAsia="方正小标宋_GBK" w:cs="方正小标宋_GBK"/>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华财农〔2024〕85号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r>
        <w:rPr>
          <w:rFonts w:hint="eastAsia"/>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b/>
          <w:color w:val="FF0000"/>
          <w:spacing w:val="-28"/>
          <w:w w:val="90"/>
          <w:sz w:val="32"/>
          <w:szCs w:val="32"/>
        </w:rPr>
        <w:tab/>
      </w:r>
      <w:r>
        <w:rPr>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2"/>
      <w:bookmarkStart w:id="1" w:name="OLE_LINK1"/>
      <w:bookmarkStart w:id="2" w:name="OLE_LINK6"/>
      <w:bookmarkStart w:id="3" w:name="OLE_LINK7"/>
      <w:bookmarkStart w:id="4" w:name="OLE_LINK4"/>
      <w:bookmarkStart w:id="5" w:name="OLE_LINK5"/>
    </w:p>
    <w:bookmarkEnd w:id="0"/>
    <w:bookmarkEnd w:id="1"/>
    <w:bookmarkEnd w:id="2"/>
    <w:bookmarkEnd w:id="3"/>
    <w:p>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年省级财政衔接推进乡村振兴补助资金</w:t>
      </w:r>
      <w:r>
        <w:rPr>
          <w:rFonts w:hint="eastAsia" w:ascii="方正小标宋_GBK" w:hAnsi="方正小标宋_GBK" w:eastAsia="方正小标宋_GBK" w:cs="方正小标宋_GBK"/>
          <w:sz w:val="44"/>
          <w:szCs w:val="44"/>
        </w:rPr>
        <w:t>的通知</w:t>
      </w:r>
      <w:bookmarkEnd w:id="4"/>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华宁县乡村振兴局、宁州街道办事处机关、盘溪镇政府、华溪镇人民政府、青龙镇政府：</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《玉溪市财政局关于下达202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年省级财政衔接推进乡村振兴补助资金的通知》（玉财农〔</w:t>
      </w:r>
      <w:r>
        <w:rPr>
          <w:rFonts w:hint="eastAsia" w:ascii="Times New Roman" w:hAnsi="Times New Roman" w:eastAsia="方正仿宋_GBK"/>
          <w:sz w:val="32"/>
          <w:szCs w:val="32"/>
          <w:lang w:val="en-US" w:eastAsia="zh-CN" w:bidi="ar"/>
        </w:rPr>
        <w:t>2024</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37号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 2024 年</w:t>
      </w:r>
      <w:r>
        <w:rPr>
          <w:rFonts w:hint="eastAsia" w:ascii="Times New Roman" w:hAnsi="Times New Roman" w:eastAsia="方正仿宋_GBK"/>
          <w:sz w:val="32"/>
          <w:szCs w:val="32"/>
          <w:lang w:eastAsia="zh-CN" w:bidi="ar"/>
        </w:rPr>
        <w:t>省级</w:t>
      </w:r>
      <w:r>
        <w:rPr>
          <w:rFonts w:hint="eastAsia" w:ascii="Times New Roman" w:hAnsi="Times New Roman" w:eastAsia="方正仿宋_GBK"/>
          <w:sz w:val="32"/>
          <w:szCs w:val="32"/>
          <w:lang w:bidi="ar"/>
        </w:rPr>
        <w:t>财政衔接推进乡村振兴补助资金项目分配及项目实施的批复</w:t>
      </w:r>
      <w:r>
        <w:rPr>
          <w:rFonts w:hint="eastAsia" w:ascii="Times New Roman" w:hAnsi="Times New Roman" w:eastAsia="方正仿宋_GBK"/>
          <w:sz w:val="32"/>
          <w:szCs w:val="32"/>
          <w:lang w:val="en-US" w:eastAsia="zh-CN" w:bidi="ar"/>
        </w:rPr>
        <w:t>》(华政复〔2024〕46号)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年省级</w:t>
      </w:r>
      <w:r>
        <w:rPr>
          <w:rFonts w:hint="eastAsia" w:ascii="Times New Roman" w:hAnsi="Times New Roman" w:eastAsia="方正仿宋_GBK"/>
          <w:sz w:val="32"/>
          <w:szCs w:val="32"/>
          <w:lang w:val="en-US" w:eastAsia="zh-CN" w:bidi="ar"/>
        </w:rPr>
        <w:t>财政衔接推进乡村振兴补助资金483</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pPr>
        <w:pStyle w:val="2"/>
        <w:numPr>
          <w:ilvl w:val="0"/>
          <w:numId w:val="1"/>
        </w:numPr>
        <w:ind w:firstLine="640"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切实管好用好衔接资金。认真贯彻落实党中央、国务院和省委、省政府关于巩固拓展脱贫攻坚成果同乡村振兴有效衔接的决策部署，严格按照《中央财政衔接推进乡村振兴补助资金管理办法》（财农〔2021〕19号）、《财政部 农业农村部 国家乡村振兴局 国家发展改革委 国家民委 国家林草局关于加强中央财政衔接推进乡村振兴补助资金使用管理的指导意见》（财农〔2022〕14号）和《云南省财政厅等6部门关于加强中央和省级财政衔接推进乡村振兴补助资金使用管理的实施意见》（云财规〔2022〕23号）等规定安排使用资金，督促指导各地加强资金项目管理，优先选择前期工作到位的项目，将资金尽快落到具体项目，加强项目实施的跟踪调度，加快资金支出。持续强化资金监管，切实管好用好资金，充分发挥资金使用效益。</w:t>
      </w:r>
    </w:p>
    <w:p>
      <w:pPr>
        <w:pStyle w:val="2"/>
        <w:numPr>
          <w:ilvl w:val="0"/>
          <w:numId w:val="0"/>
        </w:numPr>
        <w:ind w:firstLine="640"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二、突出衔接资金支持重点。贯彻落实党的二十大精神、中央和省委省政府关于更多依靠发展来巩固拓展脱贫攻坚成果的要求，督促相关部门加强项目谋划等前期工作，突出衔接资金支持重点，优先支持联农带农富农产业发展，2024年用于产业发展的中央衔接资金占比原则上不得低于下达你地区资金总规模的65%，且不得低于2023年的资金占比，进一步巩固拓展脱贫攻坚成果，增强脱贫地区和脱贫群众内生发展动力。</w:t>
      </w:r>
    </w:p>
    <w:p>
      <w:pPr>
        <w:pStyle w:val="2"/>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　　三、落实直达资金管理要求。此次下达的中央衔接资金列入直达资金管理，直达资金标识贯穿资金分配、拨付、使用等整个环节，财政部和省财政厅对直达资金实行动态监控。各级财政部门在向下级下达资金时，应单独下达预算指标文件，保持中央直达资金标识不变。同时，在指标管理系统中及时登录有关指标和直达资金标识，并导入直达资金监控系统，确保数据真实、账目清晰、流向明确。对于资金来源既包含中央直达资金又包含地方对应资金的项目，应在预算指标文件、指标管理系统中按资金明细来源分别列示和登录指标。</w:t>
      </w:r>
    </w:p>
    <w:p>
      <w:pPr>
        <w:pStyle w:val="2"/>
        <w:rPr>
          <w:rFonts w:hint="eastAsia"/>
          <w:lang w:eastAsia="zh-CN"/>
        </w:rPr>
      </w:pPr>
      <w:r>
        <w:rPr>
          <w:rFonts w:hint="eastAsia" w:ascii="Times New Roman" w:hAnsi="Times New Roman" w:eastAsia="方正仿宋_GBK"/>
          <w:sz w:val="32"/>
          <w:szCs w:val="32"/>
          <w:lang w:val="en-US" w:eastAsia="zh-CN" w:bidi="ar"/>
        </w:rPr>
        <w:t>　　　　　</w:t>
      </w: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1、2024年省级财政衔接推进乡村振兴补助资金预算表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eastAsia" w:ascii="方正仿宋_GBK" w:hAnsi="方正仿宋_GBK" w:eastAsia="方正仿宋_GBK" w:cs="方正仿宋_GBK"/>
          <w:b w:val="0"/>
          <w:bCs/>
          <w:sz w:val="32"/>
          <w:szCs w:val="32"/>
          <w:lang w:eastAsia="zh-CN" w:bidi="ar"/>
        </w:rPr>
      </w:pPr>
      <w:r>
        <w:rPr>
          <w:rFonts w:hint="eastAsia" w:ascii="Times New Roman" w:hAnsi="Times New Roman" w:eastAsia="方正仿宋_GBK"/>
          <w:sz w:val="32"/>
          <w:szCs w:val="32"/>
          <w:lang w:val="en-US" w:eastAsia="zh-CN" w:bidi="ar"/>
        </w:rPr>
        <w:t>2、</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财政衔接推进乡村振兴资金绩效目标申报表</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ascii="Times New Roman" w:hAnsi="Times New Roman" w:eastAsia="方正仿宋_GBK"/>
          <w:color w:val="FF0000"/>
          <w:sz w:val="32"/>
          <w:szCs w:val="32"/>
        </w:rPr>
      </w:pPr>
    </w:p>
    <w:p>
      <w:pPr>
        <w:pStyle w:val="2"/>
        <w:rPr>
          <w:rFonts w:ascii="Times New Roman" w:hAnsi="Times New Roman" w:eastAsia="方正仿宋_GBK"/>
          <w:color w:val="FF0000"/>
          <w:sz w:val="32"/>
          <w:szCs w:val="32"/>
        </w:rPr>
      </w:pPr>
      <w:r>
        <w:rPr>
          <w:sz w:val="32"/>
        </w:rPr>
        <w:pict>
          <v:shape id="_x0000_s1027" o:spid="_x0000_s1027" o:spt="201" alt="" type="#_x0000_t201" style="position:absolute;left:0pt;margin-left:270.75pt;margin-top:33.7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440" w:firstLineChars="17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r>
        <w:rPr>
          <w:rFonts w:ascii="Times New Roman" w:hAnsi="Times New Roman" w:eastAsia="方正仿宋_GBK"/>
          <w:sz w:val="32"/>
          <w:szCs w:val="32"/>
        </w:rPr>
        <w:t>日</w:t>
      </w: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2024年省级财政衔接推进乡村振兴补助资金预算</w:t>
      </w:r>
      <w:r>
        <w:rPr>
          <w:rFonts w:hint="eastAsia" w:ascii="方正小标宋_GBK" w:hAnsi="方正小标宋_GBK" w:eastAsia="方正小标宋_GBK" w:cs="方正小标宋_GBK"/>
          <w:sz w:val="40"/>
          <w:szCs w:val="40"/>
        </w:rPr>
        <w:t>表</w:t>
      </w:r>
    </w:p>
    <w:tbl>
      <w:tblPr>
        <w:tblStyle w:val="6"/>
        <w:tblpPr w:leftFromText="180" w:rightFromText="180" w:vertAnchor="text" w:horzAnchor="margin" w:tblpX="1"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356"/>
        <w:gridCol w:w="1869"/>
        <w:gridCol w:w="1635"/>
        <w:gridCol w:w="2190"/>
        <w:gridCol w:w="1770"/>
        <w:gridCol w:w="139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692"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35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63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19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77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39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844"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285001 华宁县乡村振兴局</w:t>
            </w:r>
          </w:p>
        </w:tc>
        <w:tc>
          <w:tcPr>
            <w:tcW w:w="1356"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2130599 其他巩固脱贫攻坚成果衔接乡村振兴支出</w:t>
            </w:r>
          </w:p>
        </w:tc>
        <w:tc>
          <w:tcPr>
            <w:tcW w:w="1869"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50201 办公经费</w:t>
            </w:r>
          </w:p>
        </w:tc>
        <w:tc>
          <w:tcPr>
            <w:tcW w:w="1635"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312民生类</w:t>
            </w:r>
          </w:p>
        </w:tc>
        <w:tc>
          <w:tcPr>
            <w:tcW w:w="2190"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rPr>
              <w:t>项目管理费</w:t>
            </w:r>
          </w:p>
        </w:tc>
        <w:tc>
          <w:tcPr>
            <w:tcW w:w="1770"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both"/>
              <w:rPr>
                <w:rFonts w:hint="eastAsia" w:ascii="方正仿宋_GBK" w:hAnsi="方正仿宋_GBK" w:eastAsia="方正仿宋_GBK" w:cs="方正仿宋_GBK"/>
                <w:color w:val="000000"/>
                <w:sz w:val="21"/>
                <w:szCs w:val="21"/>
              </w:rPr>
            </w:pPr>
            <w:r>
              <w:rPr>
                <w:rFonts w:hint="eastAsia"/>
                <w:lang w:val="en-US" w:eastAsia="zh-CN"/>
              </w:rPr>
              <w:t>144900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285001 华宁县乡村振兴局</w:t>
            </w:r>
          </w:p>
        </w:tc>
        <w:tc>
          <w:tcPr>
            <w:tcW w:w="1356" w:type="dxa"/>
            <w:vAlign w:val="center"/>
          </w:tcPr>
          <w:p>
            <w:pPr>
              <w:spacing w:line="300" w:lineRule="exact"/>
              <w:jc w:val="center"/>
            </w:pPr>
            <w:r>
              <w:rPr>
                <w:rFonts w:hint="eastAsia"/>
              </w:rPr>
              <w:t>2130507 贷款奖补和贴息</w:t>
            </w:r>
          </w:p>
        </w:tc>
        <w:tc>
          <w:tcPr>
            <w:tcW w:w="1869" w:type="dxa"/>
            <w:vAlign w:val="center"/>
          </w:tcPr>
          <w:p>
            <w:pPr>
              <w:spacing w:line="300" w:lineRule="exact"/>
              <w:jc w:val="center"/>
              <w:rPr>
                <w:rFonts w:hint="default" w:eastAsia="宋体"/>
                <w:lang w:val="en-US" w:eastAsia="zh-CN"/>
              </w:rPr>
            </w:pPr>
            <w:r>
              <w:rPr>
                <w:rFonts w:hint="eastAsia"/>
              </w:rPr>
              <w:t>5</w:t>
            </w:r>
            <w:r>
              <w:rPr>
                <w:rFonts w:hint="eastAsia"/>
                <w:lang w:val="en-US" w:eastAsia="zh-CN"/>
              </w:rPr>
              <w:t>0205委托业务费</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center"/>
            </w:pPr>
            <w:r>
              <w:rPr>
                <w:rFonts w:hint="eastAsia"/>
                <w:lang w:val="en-US" w:eastAsia="zh-CN"/>
              </w:rPr>
              <w:t>新开发农村公益性岗位项目（护路员）</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left"/>
            </w:pPr>
            <w:r>
              <w:rPr>
                <w:rFonts w:hint="eastAsia"/>
                <w:lang w:val="en-US" w:eastAsia="zh-CN"/>
              </w:rPr>
              <w:t>4800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285001 华宁县乡村振兴局</w:t>
            </w:r>
          </w:p>
        </w:tc>
        <w:tc>
          <w:tcPr>
            <w:tcW w:w="1356" w:type="dxa"/>
            <w:vAlign w:val="center"/>
          </w:tcPr>
          <w:p>
            <w:pPr>
              <w:spacing w:line="300" w:lineRule="exact"/>
              <w:jc w:val="center"/>
            </w:pPr>
            <w:r>
              <w:rPr>
                <w:rFonts w:hint="eastAsia"/>
              </w:rPr>
              <w:t>2130599 其他巩固脱贫攻坚成果衔接乡村振兴支出</w:t>
            </w:r>
          </w:p>
        </w:tc>
        <w:tc>
          <w:tcPr>
            <w:tcW w:w="1869" w:type="dxa"/>
            <w:vAlign w:val="center"/>
          </w:tcPr>
          <w:p>
            <w:pPr>
              <w:spacing w:line="300" w:lineRule="exact"/>
              <w:jc w:val="center"/>
            </w:pPr>
            <w:r>
              <w:rPr>
                <w:rFonts w:hint="eastAsia"/>
              </w:rPr>
              <w:t>5</w:t>
            </w:r>
            <w:r>
              <w:rPr>
                <w:rFonts w:hint="eastAsia"/>
                <w:lang w:val="en-US" w:eastAsia="zh-CN"/>
              </w:rPr>
              <w:t>0205委托业务费</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center"/>
            </w:pPr>
            <w:r>
              <w:rPr>
                <w:rFonts w:hint="eastAsia"/>
                <w:lang w:val="en-US" w:eastAsia="zh-CN"/>
              </w:rPr>
              <w:t>新开发农村公益性岗位补贴项目（护林员）</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both"/>
            </w:pPr>
            <w:r>
              <w:rPr>
                <w:rFonts w:hint="eastAsia"/>
                <w:lang w:val="en-US" w:eastAsia="zh-CN"/>
              </w:rPr>
              <w:t>278400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285001 华宁县乡村振兴局</w:t>
            </w:r>
          </w:p>
        </w:tc>
        <w:tc>
          <w:tcPr>
            <w:tcW w:w="1356" w:type="dxa"/>
            <w:vAlign w:val="center"/>
          </w:tcPr>
          <w:p>
            <w:pPr>
              <w:spacing w:line="300" w:lineRule="exact"/>
              <w:jc w:val="center"/>
              <w:rPr>
                <w:rFonts w:hint="eastAsia"/>
              </w:rPr>
            </w:pPr>
            <w:r>
              <w:rPr>
                <w:rFonts w:hint="eastAsia"/>
              </w:rPr>
              <w:t>2130599 其他巩固脱贫攻坚成果衔接乡村振兴支出</w:t>
            </w:r>
          </w:p>
        </w:tc>
        <w:tc>
          <w:tcPr>
            <w:tcW w:w="1869" w:type="dxa"/>
            <w:vAlign w:val="center"/>
          </w:tcPr>
          <w:p>
            <w:pPr>
              <w:spacing w:line="300" w:lineRule="exact"/>
              <w:jc w:val="center"/>
              <w:rPr>
                <w:rFonts w:hint="eastAsia"/>
              </w:rPr>
            </w:pPr>
            <w:r>
              <w:rPr>
                <w:rFonts w:hint="eastAsia"/>
              </w:rPr>
              <w:t>5</w:t>
            </w:r>
            <w:r>
              <w:rPr>
                <w:rFonts w:hint="eastAsia"/>
                <w:lang w:val="en-US" w:eastAsia="zh-CN"/>
              </w:rPr>
              <w:t>0205委托业务费</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center"/>
              <w:rPr>
                <w:rFonts w:hint="eastAsia"/>
                <w:lang w:val="en-US" w:eastAsia="zh-CN"/>
              </w:rPr>
            </w:pPr>
            <w:r>
              <w:rPr>
                <w:rFonts w:hint="eastAsia"/>
                <w:lang w:val="en-US" w:eastAsia="zh-CN"/>
              </w:rPr>
              <w:t>新开发农村公益性岗位项目（护水员）</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left"/>
              <w:rPr>
                <w:rFonts w:hint="default"/>
                <w:lang w:val="en-US" w:eastAsia="zh-CN"/>
              </w:rPr>
            </w:pPr>
            <w:r>
              <w:rPr>
                <w:rFonts w:hint="eastAsia"/>
                <w:lang w:val="en-US" w:eastAsia="zh-CN"/>
              </w:rPr>
              <w:t>151200.00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551001 宁州街道办事处机关</w:t>
            </w:r>
          </w:p>
        </w:tc>
        <w:tc>
          <w:tcPr>
            <w:tcW w:w="1356" w:type="dxa"/>
            <w:vAlign w:val="center"/>
          </w:tcPr>
          <w:p>
            <w:pPr>
              <w:spacing w:line="300" w:lineRule="exact"/>
              <w:jc w:val="center"/>
              <w:rPr>
                <w:rFonts w:hint="eastAsia" w:eastAsia="宋体"/>
                <w:lang w:eastAsia="zh-CN"/>
              </w:rPr>
            </w:pPr>
            <w:r>
              <w:rPr>
                <w:rFonts w:hint="eastAsia"/>
              </w:rPr>
              <w:t>213050</w:t>
            </w:r>
            <w:r>
              <w:rPr>
                <w:rFonts w:hint="eastAsia"/>
                <w:lang w:val="en-US" w:eastAsia="zh-CN"/>
              </w:rPr>
              <w:t>5</w:t>
            </w:r>
            <w:r>
              <w:rPr>
                <w:rFonts w:hint="eastAsia"/>
              </w:rPr>
              <w:t xml:space="preserve"> </w:t>
            </w:r>
            <w:r>
              <w:rPr>
                <w:rFonts w:hint="eastAsia"/>
                <w:lang w:eastAsia="zh-CN"/>
              </w:rPr>
              <w:t>生产发展</w:t>
            </w:r>
          </w:p>
        </w:tc>
        <w:tc>
          <w:tcPr>
            <w:tcW w:w="1869" w:type="dxa"/>
            <w:vAlign w:val="center"/>
          </w:tcPr>
          <w:p>
            <w:pPr>
              <w:spacing w:line="300" w:lineRule="exact"/>
              <w:jc w:val="center"/>
            </w:pPr>
            <w:r>
              <w:rPr>
                <w:rFonts w:hint="eastAsia"/>
              </w:rPr>
              <w:t>50302 基础设施建设</w:t>
            </w:r>
          </w:p>
        </w:tc>
        <w:tc>
          <w:tcPr>
            <w:tcW w:w="1635" w:type="dxa"/>
            <w:vAlign w:val="center"/>
          </w:tcPr>
          <w:p>
            <w:pPr>
              <w:spacing w:line="300" w:lineRule="exact"/>
              <w:jc w:val="center"/>
              <w:rPr>
                <w:rFonts w:hint="eastAsia" w:eastAsia="宋体"/>
                <w:lang w:val="en-US" w:eastAsia="zh-CN"/>
              </w:rPr>
            </w:pPr>
            <w:r>
              <w:rPr>
                <w:rFonts w:hint="eastAsia"/>
              </w:rPr>
              <w:t>31</w:t>
            </w:r>
            <w:r>
              <w:rPr>
                <w:rFonts w:hint="eastAsia"/>
                <w:lang w:val="en-US" w:eastAsia="zh-CN"/>
              </w:rPr>
              <w:t>3事业发展类</w:t>
            </w:r>
          </w:p>
        </w:tc>
        <w:tc>
          <w:tcPr>
            <w:tcW w:w="2190" w:type="dxa"/>
            <w:vAlign w:val="center"/>
          </w:tcPr>
          <w:p>
            <w:pPr>
              <w:spacing w:line="300" w:lineRule="exact"/>
              <w:jc w:val="left"/>
            </w:pPr>
            <w:r>
              <w:rPr>
                <w:rFonts w:hint="eastAsia"/>
              </w:rPr>
              <w:t>2024年华宁县宁州街道普茶寨村委会产业发展配套建设项目资金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both"/>
              <w:rPr>
                <w:b/>
                <w:bCs/>
              </w:rPr>
            </w:pPr>
            <w:r>
              <w:rPr>
                <w:rFonts w:hint="eastAsia"/>
                <w:lang w:val="en-US" w:eastAsia="zh-CN"/>
              </w:rPr>
              <w:t>255100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551001 宁州街道办事处机关</w:t>
            </w:r>
          </w:p>
        </w:tc>
        <w:tc>
          <w:tcPr>
            <w:tcW w:w="1356"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635" w:type="dxa"/>
            <w:vAlign w:val="center"/>
          </w:tcPr>
          <w:p>
            <w:pPr>
              <w:spacing w:line="300" w:lineRule="exact"/>
              <w:jc w:val="center"/>
            </w:pPr>
            <w:r>
              <w:rPr>
                <w:rFonts w:hint="eastAsia"/>
              </w:rPr>
              <w:t>31</w:t>
            </w:r>
            <w:r>
              <w:rPr>
                <w:rFonts w:hint="eastAsia"/>
                <w:lang w:val="en-US" w:eastAsia="zh-CN"/>
              </w:rPr>
              <w:t>3事业发展类</w:t>
            </w:r>
          </w:p>
        </w:tc>
        <w:tc>
          <w:tcPr>
            <w:tcW w:w="2190" w:type="dxa"/>
            <w:vAlign w:val="center"/>
          </w:tcPr>
          <w:p>
            <w:pPr>
              <w:spacing w:line="300" w:lineRule="exact"/>
              <w:jc w:val="left"/>
            </w:pPr>
            <w:r>
              <w:rPr>
                <w:rFonts w:hint="eastAsia" w:ascii="宋体" w:hAnsi="宋体" w:eastAsia="宋体" w:cs="宋体"/>
              </w:rPr>
              <w:t>2024年华宁县宁州街道铁埂社区法味小组产业发展配套设施建设项目资金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center"/>
              <w:rPr>
                <w:b/>
                <w:bCs/>
              </w:rPr>
            </w:pPr>
            <w:r>
              <w:rPr>
                <w:rFonts w:hint="eastAsia"/>
                <w:lang w:val="en-US" w:eastAsia="zh-CN"/>
              </w:rPr>
              <w:t>7000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571001 青龙镇政府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2024年华宁县青龙镇倒马坎村委会电烤房建设项目</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1600000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572001 盘溪镇政府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2024年华宁县盘溪镇法高村委会供水保障设施建设项目</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420400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573001 华溪镇人民政府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w:t>
            </w:r>
            <w:r>
              <w:rPr>
                <w:rFonts w:hint="eastAsia"/>
                <w:lang w:val="en-US" w:eastAsia="zh-CN"/>
              </w:rPr>
              <w:t>3事业发展类</w:t>
            </w:r>
          </w:p>
        </w:tc>
        <w:tc>
          <w:tcPr>
            <w:tcW w:w="2190" w:type="dxa"/>
            <w:vAlign w:val="center"/>
          </w:tcPr>
          <w:p>
            <w:pPr>
              <w:spacing w:line="300" w:lineRule="exact"/>
              <w:jc w:val="left"/>
              <w:rPr>
                <w:rFonts w:hint="eastAsia"/>
              </w:rPr>
            </w:pPr>
            <w:r>
              <w:rPr>
                <w:rFonts w:hint="eastAsia"/>
              </w:rPr>
              <w:t>2024年华溪镇大新寨村电烤房建设项目</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800000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512" w:type="dxa"/>
            <w:gridSpan w:val="6"/>
            <w:vAlign w:val="center"/>
          </w:tcPr>
          <w:p>
            <w:pPr>
              <w:spacing w:line="300" w:lineRule="exact"/>
              <w:jc w:val="center"/>
              <w:rPr>
                <w:rFonts w:hint="eastAsia" w:eastAsia="宋体"/>
                <w:lang w:eastAsia="zh-CN"/>
              </w:rPr>
            </w:pPr>
            <w:r>
              <w:rPr>
                <w:rFonts w:hint="eastAsia"/>
                <w:lang w:eastAsia="zh-CN"/>
              </w:rPr>
              <w:t>合计</w:t>
            </w:r>
          </w:p>
        </w:tc>
        <w:tc>
          <w:tcPr>
            <w:tcW w:w="1395" w:type="dxa"/>
            <w:vAlign w:val="center"/>
          </w:tcPr>
          <w:p>
            <w:pPr>
              <w:spacing w:line="300" w:lineRule="exact"/>
              <w:jc w:val="center"/>
            </w:pPr>
            <w:r>
              <w:rPr>
                <w:rFonts w:hint="eastAsia"/>
                <w:lang w:val="en-US" w:eastAsia="zh-CN"/>
              </w:rPr>
              <w:t>48300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tbl>
      <w:tblPr>
        <w:tblStyle w:val="6"/>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586"/>
        <w:gridCol w:w="739"/>
        <w:gridCol w:w="964"/>
        <w:gridCol w:w="4082"/>
        <w:gridCol w:w="2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15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15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5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7"/>
                <w:rFonts w:eastAsia="宋体"/>
                <w:lang w:val="en-US" w:eastAsia="zh-CN" w:bidi="ar"/>
              </w:rPr>
              <w:t>2024</w:t>
            </w:r>
            <w:r>
              <w:rPr>
                <w:rFonts w:hint="eastAsia" w:ascii="宋体" w:hAnsi="宋体" w:eastAsia="宋体" w:cs="宋体"/>
                <w:i w:val="0"/>
                <w:color w:val="000000"/>
                <w:kern w:val="0"/>
                <w:sz w:val="20"/>
                <w:szCs w:val="20"/>
                <w:u w:val="none"/>
                <w:lang w:val="en-US" w:eastAsia="zh-CN" w:bidi="ar"/>
              </w:rPr>
              <w:t>年项目管理费</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马丕海（</w:t>
            </w:r>
            <w:r>
              <w:rPr>
                <w:rStyle w:val="27"/>
                <w:rFonts w:eastAsia="宋体"/>
                <w:lang w:val="en-US" w:eastAsia="zh-CN" w:bidi="ar"/>
              </w:rPr>
              <w:t>13378892332</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0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6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6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7"/>
                <w:rFonts w:eastAsia="宋体"/>
                <w:lang w:val="en-US" w:eastAsia="zh-CN" w:bidi="ar"/>
              </w:rPr>
              <w:t>14.49</w:t>
            </w:r>
            <w:r>
              <w:rPr>
                <w:rFonts w:hint="eastAsia" w:ascii="宋体" w:hAnsi="宋体" w:eastAsia="宋体" w:cs="宋体"/>
                <w:i w:val="0"/>
                <w:color w:val="000000"/>
                <w:kern w:val="0"/>
                <w:sz w:val="20"/>
                <w:szCs w:val="20"/>
                <w:u w:val="none"/>
                <w:lang w:val="en-US" w:eastAsia="zh-CN" w:bidi="ar"/>
              </w:rPr>
              <w:t>（华政复〔</w:t>
            </w:r>
            <w:r>
              <w:rPr>
                <w:rStyle w:val="27"/>
                <w:rFonts w:eastAsia="宋体"/>
                <w:lang w:val="en-US" w:eastAsia="zh-CN" w:bidi="ar"/>
              </w:rPr>
              <w:t>2024</w:t>
            </w:r>
            <w:r>
              <w:rPr>
                <w:rFonts w:hint="eastAsia" w:ascii="宋体" w:hAnsi="宋体" w:eastAsia="宋体" w:cs="宋体"/>
                <w:i w:val="0"/>
                <w:color w:val="000000"/>
                <w:kern w:val="0"/>
                <w:sz w:val="20"/>
                <w:szCs w:val="20"/>
                <w:u w:val="none"/>
                <w:lang w:val="en-US" w:eastAsia="zh-CN" w:bidi="ar"/>
              </w:rPr>
              <w:t>〕</w:t>
            </w:r>
            <w:r>
              <w:rPr>
                <w:rStyle w:val="27"/>
                <w:rFonts w:eastAsia="宋体"/>
                <w:lang w:val="en-US" w:eastAsia="zh-CN" w:bidi="ar"/>
              </w:rPr>
              <w:t>46</w:t>
            </w:r>
            <w:r>
              <w:rPr>
                <w:rFonts w:hint="eastAsia" w:ascii="宋体" w:hAnsi="宋体" w:eastAsia="宋体" w:cs="宋体"/>
                <w:i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6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专门用于与项目前期准备和实施相关的规划编制、项目评估、检查验收、绩效评价、成果宣传、档案管理、项目公告公示、资金监管经费开支。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按安排到县区的省、市级财政专项扶贫资金总额的比例据实列支</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Style w:val="27"/>
                <w:rFonts w:eastAsia="宋体"/>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严格遵守执行财政专项扶贫资金使用范围</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严格遵守执行财政专项扶贫资金开支管理规定</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Style w:val="27"/>
                <w:rFonts w:eastAsia="宋体"/>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使用财政扶贫项目管理费的时效性</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7"/>
                <w:rFonts w:eastAsia="宋体"/>
                <w:lang w:val="en-US" w:eastAsia="zh-CN" w:bidi="ar"/>
              </w:rPr>
              <w:t>12</w:t>
            </w:r>
            <w:r>
              <w:rPr>
                <w:rFonts w:hint="eastAsia" w:ascii="宋体" w:hAnsi="宋体" w:eastAsia="宋体" w:cs="宋体"/>
                <w:i w:val="0"/>
                <w:color w:val="000000"/>
                <w:kern w:val="0"/>
                <w:sz w:val="20"/>
                <w:szCs w:val="20"/>
                <w:u w:val="none"/>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省级资金按3</w:t>
            </w:r>
            <w:r>
              <w:rPr>
                <w:rStyle w:val="27"/>
                <w:rFonts w:eastAsia="宋体"/>
                <w:lang w:val="en-US" w:eastAsia="zh-CN" w:bidi="ar"/>
              </w:rPr>
              <w:t>%</w:t>
            </w:r>
            <w:r>
              <w:rPr>
                <w:rFonts w:ascii="方正书宋_GBK" w:hAnsi="方正书宋_GBK" w:eastAsia="方正书宋_GBK" w:cs="方正书宋_GBK"/>
                <w:i w:val="0"/>
                <w:color w:val="000000"/>
                <w:kern w:val="0"/>
                <w:sz w:val="20"/>
                <w:szCs w:val="20"/>
                <w:u w:val="none"/>
                <w:lang w:val="en-US" w:eastAsia="zh-CN" w:bidi="ar"/>
              </w:rPr>
              <w:t>提取</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7"/>
                <w:rFonts w:eastAsia="宋体"/>
                <w:lang w:val="en-US" w:eastAsia="zh-CN" w:bidi="ar"/>
              </w:rPr>
              <w:t>14.49</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为稳步推进扶贫项目建设、同步拨付扶贫资金提供有力补充</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为年度脱贫攻坚任务完成，确保贫困群众受益提供保障</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Style w:val="27"/>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履行行政职能干部职工满意程度</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bl>
    <w:p>
      <w:pPr>
        <w:pStyle w:val="2"/>
        <w:rPr>
          <w:rFonts w:ascii="Times New Roman" w:hAnsi="Times New Roman" w:eastAsia="仿宋_GB2312"/>
          <w:sz w:val="28"/>
          <w:szCs w:val="28"/>
        </w:rPr>
      </w:pPr>
    </w:p>
    <w:tbl>
      <w:tblPr>
        <w:tblStyle w:val="6"/>
        <w:tblW w:w="91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6"/>
        <w:gridCol w:w="1289"/>
        <w:gridCol w:w="1891"/>
        <w:gridCol w:w="1214"/>
        <w:gridCol w:w="1515"/>
        <w:gridCol w:w="72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13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13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1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华宁县2024年新开发农村公益性岗位项目（护路员）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雷敏18787784128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3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全县范围内新开发设置农村公益性岗位护路员岗位50个，并根据乡村振兴局提供的2024年收入不增反降及人均纯收入低于15000元以下脱贫人口和三类监测对象人员名单，从中选聘人员50人，投入省级衔接资金48万元，促进农村公益性事业的发展，激发我县脱贫人口和监测对象内生动力，巩固好脱贫攻坚成果，激励我县脱贫群众劳动致富、增收脱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89"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乡村振兴资金保障护路员人数</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县对乡镇半年养护考核结果</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护路员工资</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合同用工时限</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“2024年1月-2024年12月”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减少群众出行成本</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公路养护受益人口数</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提高全县1862.637公里农村公路使用年限</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群众对农村公路满意度</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tbl>
      <w:tblPr>
        <w:tblStyle w:val="6"/>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076"/>
        <w:gridCol w:w="1479"/>
        <w:gridCol w:w="1585"/>
        <w:gridCol w:w="1449"/>
        <w:gridCol w:w="222"/>
        <w:gridCol w:w="1382"/>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12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1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12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华宁县2024年新开发农村公益性岗位补贴项目（护林员）</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胡军伟13987744362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6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6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6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在宁州街道、盘溪镇、华溪镇和国有东山林场，新开发设置农村公益性岗位护林员岗位29个，并根据华宁县2023年防止返贫动态监测成果脱贫人口和三类监测对象人员名单，从中选聘人员29人，投入省级衔接资金27.84万元，新开发为农村公益性岗位护林员，促进农村公益性事业的发展，实现贫困户稳定增收，按人均森林资源管护面积3000-5000亩，实施国家级、省级公益林和天然商品林停伐保护，搞高华宁县护林员队伍和森林资源管护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7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47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新开发设置农村公益性岗位护林员岗位29个</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人均森林资源管护面积3000-5000亩</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资金按时兑付率、森林资源得到管护</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管护合同签订率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58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资金按时兑付率</w:t>
            </w:r>
          </w:p>
        </w:tc>
        <w:tc>
          <w:tcPr>
            <w:tcW w:w="1449" w:type="dxa"/>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i w:val="0"/>
                <w:color w:val="000000"/>
                <w:sz w:val="20"/>
                <w:szCs w:val="20"/>
                <w:u w:val="none"/>
              </w:rPr>
            </w:pPr>
          </w:p>
        </w:tc>
        <w:tc>
          <w:tcPr>
            <w:tcW w:w="222" w:type="dxa"/>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i w:val="0"/>
                <w:color w:val="000000"/>
                <w:sz w:val="20"/>
                <w:szCs w:val="20"/>
                <w:u w:val="none"/>
              </w:rPr>
            </w:pPr>
          </w:p>
        </w:tc>
        <w:tc>
          <w:tcPr>
            <w:tcW w:w="1382" w:type="dxa"/>
            <w:tcBorders>
              <w:top w:val="single" w:color="000000" w:sz="4" w:space="0"/>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项目区破坏森林资源违法行为及时发现、及时劝止、及时处理、及时报告</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带动新开发为农村公益性岗位护林员人均月增加资金收入</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63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公益岗护林员人均增收0.96万元/年</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项目区国家级、省级公益林和天然商品林停伐保护得到管护</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森林资源得到管护保护</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≥90 %</w:t>
            </w:r>
          </w:p>
        </w:tc>
      </w:tr>
    </w:tbl>
    <w:p>
      <w:pPr>
        <w:pStyle w:val="2"/>
        <w:rPr>
          <w:rFonts w:ascii="Times New Roman" w:hAnsi="Times New Roman" w:eastAsia="仿宋_GB2312"/>
          <w:sz w:val="28"/>
          <w:szCs w:val="28"/>
        </w:rPr>
      </w:pPr>
    </w:p>
    <w:tbl>
      <w:tblPr>
        <w:tblStyle w:val="6"/>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111"/>
        <w:gridCol w:w="1515"/>
        <w:gridCol w:w="1619"/>
        <w:gridCol w:w="1845"/>
        <w:gridCol w:w="88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090" w:type="dxa"/>
            <w:gridSpan w:val="7"/>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90"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2024年新开发农村公益性岗位项目（护水员）</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储玲玲  13988483569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其中：财政拨款</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其他资金</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3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全县共设置水库、河道护水员公益性岗位</w:t>
            </w:r>
            <w:r>
              <w:rPr>
                <w:rFonts w:hint="default" w:ascii="Times New Roman" w:hAnsi="Times New Roman" w:eastAsia="宋体" w:cs="Times New Roman"/>
                <w:i w:val="0"/>
                <w:color w:val="000000"/>
                <w:kern w:val="0"/>
                <w:sz w:val="20"/>
                <w:szCs w:val="20"/>
                <w:u w:val="none"/>
                <w:lang w:val="en-US" w:eastAsia="zh-CN" w:bidi="ar"/>
              </w:rPr>
              <w:t>21</w:t>
            </w:r>
            <w:r>
              <w:rPr>
                <w:rFonts w:hint="eastAsia" w:ascii="宋体" w:hAnsi="宋体" w:eastAsia="宋体" w:cs="宋体"/>
                <w:i w:val="0"/>
                <w:color w:val="000000"/>
                <w:kern w:val="0"/>
                <w:sz w:val="20"/>
                <w:szCs w:val="20"/>
                <w:u w:val="none"/>
                <w:lang w:val="en-US" w:eastAsia="zh-CN" w:bidi="ar"/>
              </w:rPr>
              <w:t>个，主要负责华宁县县管</w:t>
            </w:r>
            <w:r>
              <w:rPr>
                <w:rFonts w:hint="default" w:ascii="Times New Roman" w:hAnsi="Times New Roman" w:eastAsia="宋体" w:cs="Times New Roman"/>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座水库及宁州大河日常保洁、巡查等工作，完成各乡镇（街道）或县水利主管部门交办的其他任务，促进困难人员实现稳定就业，帮助其提升生活水平。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公益性岗位开发人数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公益性岗位在岗率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管护合同签订率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资金发放时间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促进脱贫户增收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15.12</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群众受益人口数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6"/>
        <w:tblW w:w="91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707"/>
        <w:gridCol w:w="1892"/>
        <w:gridCol w:w="1620"/>
        <w:gridCol w:w="1185"/>
        <w:gridCol w:w="810"/>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16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16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16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2024年华宁县宁州街道普茶寨村委会产业发展配套建设项目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通过投入省级衔财政衔接资金25.51万元，建设DN50镀锌管1000米、DN25镀锌管1050米、20立方米取水池1座、DN20镀锌管900米、产业道路343.5米。提高了村庄产业设施完善率，改善了村庄产业发展条件。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DN50镀锌管</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DN25镀锌管</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DN20镀锌管</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20立方米取水池</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产业道路建设</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≥343.5米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ascii="Arial" w:hAnsi="Arial" w:eastAsia="宋体" w:cs="Arial"/>
                <w:i w:val="0"/>
                <w:color w:val="000000"/>
                <w:kern w:val="0"/>
                <w:sz w:val="20"/>
                <w:szCs w:val="20"/>
                <w:u w:val="none"/>
                <w:lang w:val="en-US" w:eastAsia="zh-CN" w:bidi="ar"/>
              </w:rPr>
              <w:t>25.51</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≥127户483人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使用年限</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≥93%</w:t>
            </w:r>
          </w:p>
        </w:tc>
      </w:tr>
    </w:tbl>
    <w:p>
      <w:pPr>
        <w:pStyle w:val="2"/>
        <w:rPr>
          <w:rFonts w:ascii="Times New Roman" w:hAnsi="Times New Roman" w:eastAsia="仿宋_GB2312"/>
          <w:sz w:val="28"/>
          <w:szCs w:val="28"/>
        </w:rPr>
      </w:pPr>
    </w:p>
    <w:tbl>
      <w:tblPr>
        <w:tblStyle w:val="6"/>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707"/>
        <w:gridCol w:w="1892"/>
        <w:gridCol w:w="1620"/>
        <w:gridCol w:w="1486"/>
        <w:gridCol w:w="300"/>
        <w:gridCol w:w="705"/>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15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915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5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2024年华宁县宁州街道铁</w:t>
            </w:r>
            <w:r>
              <w:rPr>
                <w:rFonts w:hint="eastAsia" w:ascii="宋体" w:hAnsi="宋体" w:cs="宋体"/>
                <w:i w:val="0"/>
                <w:color w:val="000000"/>
                <w:kern w:val="0"/>
                <w:sz w:val="20"/>
                <w:szCs w:val="20"/>
                <w:u w:val="none"/>
                <w:lang w:val="en-US" w:eastAsia="zh-CN" w:bidi="ar"/>
              </w:rPr>
              <w:t>埂</w:t>
            </w:r>
            <w:r>
              <w:rPr>
                <w:rFonts w:hint="eastAsia" w:ascii="宋体" w:hAnsi="宋体" w:eastAsia="宋体" w:cs="宋体"/>
                <w:i w:val="0"/>
                <w:color w:val="000000"/>
                <w:kern w:val="0"/>
                <w:sz w:val="20"/>
                <w:szCs w:val="20"/>
                <w:u w:val="none"/>
                <w:lang w:val="en-US" w:eastAsia="zh-CN" w:bidi="ar"/>
              </w:rPr>
              <w:t>社区法味小组产业发展配套设施建设项目</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4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2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2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4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2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4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省级衔财政衔接资金70.00万元，建设产业道路1045米、灌溉沟渠147米、沉砂池1座。提高了铁梗社区法味小组产业设施完善率，改善村庄产业发展条件，助力村名增收；改善人居环境，提高村民精神文化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产业道路建设</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≥1045米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灌溉沟渠建设（含原有水沟清淤、修复）</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≥147m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沉砂池建设</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工程开工时间</w:t>
            </w:r>
          </w:p>
        </w:tc>
        <w:tc>
          <w:tcPr>
            <w:tcW w:w="1486"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工程竣工时间</w:t>
            </w:r>
          </w:p>
        </w:tc>
        <w:tc>
          <w:tcPr>
            <w:tcW w:w="1486"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辐射村组</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Fonts w:ascii="宋体" w:hAnsi="宋体" w:eastAsia="宋体" w:cs="宋体"/>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受益脱贫户和三类监测对象</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≥2户</w:t>
            </w:r>
            <w:r>
              <w:rPr>
                <w:rFonts w:hint="eastAsia" w:ascii="宋体" w:hAnsi="宋体" w:eastAsia="宋体" w:cs="宋体"/>
                <w:i w:val="0"/>
                <w:color w:val="000000"/>
                <w:kern w:val="0"/>
                <w:sz w:val="20"/>
                <w:szCs w:val="20"/>
                <w:u w:val="none"/>
                <w:lang w:val="en-US" w:eastAsia="zh-CN" w:bidi="ar"/>
              </w:rPr>
              <w:t>9</w:t>
            </w:r>
            <w:r>
              <w:rPr>
                <w:rFonts w:ascii="宋体" w:hAnsi="宋体" w:eastAsia="宋体" w:cs="宋体"/>
                <w:i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受益一般群众</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≥164户</w:t>
            </w:r>
            <w:r>
              <w:rPr>
                <w:rFonts w:hint="eastAsia" w:ascii="宋体" w:hAnsi="宋体" w:eastAsia="宋体" w:cs="宋体"/>
                <w:i w:val="0"/>
                <w:color w:val="000000"/>
                <w:kern w:val="0"/>
                <w:sz w:val="20"/>
                <w:szCs w:val="20"/>
                <w:u w:val="none"/>
                <w:lang w:val="en-US" w:eastAsia="zh-CN" w:bidi="ar"/>
              </w:rPr>
              <w:t>503</w:t>
            </w:r>
            <w:r>
              <w:rPr>
                <w:rFonts w:ascii="宋体" w:hAnsi="宋体" w:eastAsia="宋体" w:cs="宋体"/>
                <w:i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使用年限</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≥92%</w:t>
            </w:r>
          </w:p>
        </w:tc>
      </w:tr>
    </w:tbl>
    <w:p>
      <w:pPr>
        <w:pStyle w:val="2"/>
        <w:rPr>
          <w:rFonts w:ascii="Times New Roman" w:hAnsi="Times New Roman" w:eastAsia="仿宋_GB2312"/>
          <w:sz w:val="28"/>
          <w:szCs w:val="28"/>
        </w:rPr>
      </w:pPr>
    </w:p>
    <w:tbl>
      <w:tblPr>
        <w:tblStyle w:val="6"/>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1095"/>
        <w:gridCol w:w="2010"/>
        <w:gridCol w:w="2040"/>
        <w:gridCol w:w="975"/>
        <w:gridCol w:w="675"/>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15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915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5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2024年华宁县青龙镇倒马坎村委会电烤房建设项目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倒马坎村委会电烤房建设项目实施，总受益人口280户1028人，其中，脱贫户103户344人，三类监测对象1户4人，促进了当地烤烟、佛手等产业发展，改善了烟叶、佛手片烘烤条件，提高了生产效益，降低了生产成本，增加群众、村集体经济收入，平均每户农户每年预计实现增收400元以上，增加村集体经济收入12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9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地坪建设面积</w:t>
            </w:r>
          </w:p>
        </w:tc>
        <w:tc>
          <w:tcPr>
            <w:tcW w:w="1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闭式空气源热泵电能烤房建设数量</w:t>
            </w:r>
          </w:p>
        </w:tc>
        <w:tc>
          <w:tcPr>
            <w:tcW w:w="1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每座闭式空气源热泵电能烤房建设成本</w:t>
            </w:r>
          </w:p>
        </w:tc>
        <w:tc>
          <w:tcPr>
            <w:tcW w:w="1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项目完工时间</w:t>
            </w:r>
          </w:p>
        </w:tc>
        <w:tc>
          <w:tcPr>
            <w:tcW w:w="1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2024年8月前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每年预计增加村集体经济收入</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直接受益人口数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6"/>
        <w:tblW w:w="91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438"/>
        <w:gridCol w:w="438"/>
        <w:gridCol w:w="1514"/>
        <w:gridCol w:w="1616"/>
        <w:gridCol w:w="1404"/>
        <w:gridCol w:w="553"/>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1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1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2024年华宁县盘溪镇法高村委会供水保障设施建设项目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代迪   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4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5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过项目实施，有效缓解了法高村委会各小组季节性缺水的突出问题，保障人民群众饮水安全，拟计划3个月完成该项目。将建成：建设供水保障设施一项：1、深井1项：含提水泵、启动柜，配电箱；2、坝塘小组建设100立方米储水池1座；3、岩脚小组建设75立方米储水池1座；4、人饮管路1项：村内给水管网铺设2220米，含管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深井</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人饮管路</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设备安装投入使用时间</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提水设备质量合格率</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38" w:type="dxa"/>
            <w:tcBorders>
              <w:top w:val="nil"/>
              <w:left w:val="single" w:color="000000" w:sz="4" w:space="0"/>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38" w:type="dxa"/>
            <w:tcBorders>
              <w:top w:val="nil"/>
              <w:left w:val="nil"/>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4"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村集体每年增收</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6"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受益农村人口数量</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≥1403人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提高农村基本公共服务均等化水平</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≥95%</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6"/>
        <w:tblW w:w="9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245"/>
        <w:gridCol w:w="1891"/>
        <w:gridCol w:w="1619"/>
        <w:gridCol w:w="1439"/>
        <w:gridCol w:w="765"/>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19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19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19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2024年华溪镇大新寨村委会电烤房建设项目</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杨宏敏 15912756100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9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了2024年华溪镇大新寨村委会电烤房建设项目建设，可以对烤烟的烘烤标准化，提高香烟品质，同时更加方便管理；社会更加和谐稳定。随着经济收入的增加，精神文化生活不断丰富，人的精神面貌将会发生明显变化，基层组织的凝聚力和战斗力将进一步增强；群众和村集体经济持续增长，使得村集体有余力建设村庄环境设施，群众在增收的同时，环境保护意识持续提高，有助于建设环境优美，美丽和谐的村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指标1：新增闭式空气源热泵电能烤房10套</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指标2：夯实平地</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指标3：地磅秤（10吨）</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指标1：项目（工程）完成率</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指标1：工程造价低于当地平均标准的比例</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指标1：项目（工程）完工及时率</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指标1：增加集体收入</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指标1：收益脱贫户及三类人员</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指标1：满足多方位需求，提升居民获得感、幸福感</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9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指标1：工程使用年限</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指标1：群众满意度</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≥98%</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hint="eastAsia" w:ascii="Times New Roman" w:hAnsi="Times New Roman" w:eastAsia="仿宋_GB2312"/>
          <w:sz w:val="28"/>
          <w:szCs w:val="28"/>
          <w:lang w:eastAsia="zh-CN"/>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pPr>
        <w:spacing w:line="52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30</w:t>
      </w:r>
      <w:r>
        <w:rPr>
          <w:rFonts w:ascii="Times New Roman" w:hAnsi="Times New Roman" w:eastAsia="方正仿宋_GBK"/>
          <w:sz w:val="28"/>
          <w:szCs w:val="28"/>
        </w:rPr>
        <w:t>日印发</w:t>
      </w: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E6A53"/>
    <w:multiLevelType w:val="singleLevel"/>
    <w:tmpl w:val="6B4E6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dit="forms" w:enforcement="1" w:cryptProviderType="rsaFull" w:cryptAlgorithmClass="hash" w:cryptAlgorithmType="typeAny" w:cryptAlgorithmSid="4" w:cryptSpinCount="0" w:hash="Vd7ecI+gDzeYr+umi60ucB8x/cI=" w:salt="tGGG5EwwEMc43e8iNonxe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40D64"/>
    <w:rsid w:val="00674A74"/>
    <w:rsid w:val="00680AB4"/>
    <w:rsid w:val="007D1E3D"/>
    <w:rsid w:val="007D3C78"/>
    <w:rsid w:val="007E11DE"/>
    <w:rsid w:val="007E578F"/>
    <w:rsid w:val="008D3ECD"/>
    <w:rsid w:val="00921DCD"/>
    <w:rsid w:val="00950E3B"/>
    <w:rsid w:val="009710E3"/>
    <w:rsid w:val="00985794"/>
    <w:rsid w:val="009D0F4F"/>
    <w:rsid w:val="00B7045C"/>
    <w:rsid w:val="00BC007F"/>
    <w:rsid w:val="00BF47BA"/>
    <w:rsid w:val="00C34F97"/>
    <w:rsid w:val="00C45BEE"/>
    <w:rsid w:val="00CA7922"/>
    <w:rsid w:val="00DD7F11"/>
    <w:rsid w:val="00DE0A78"/>
    <w:rsid w:val="00E7202B"/>
    <w:rsid w:val="00E9148B"/>
    <w:rsid w:val="00E9442D"/>
    <w:rsid w:val="00EC1817"/>
    <w:rsid w:val="00EE514E"/>
    <w:rsid w:val="00FE2877"/>
    <w:rsid w:val="022F493C"/>
    <w:rsid w:val="047F0A77"/>
    <w:rsid w:val="05B2011D"/>
    <w:rsid w:val="061A31A2"/>
    <w:rsid w:val="06E071F9"/>
    <w:rsid w:val="082E76C3"/>
    <w:rsid w:val="0874698B"/>
    <w:rsid w:val="08BB4D3C"/>
    <w:rsid w:val="0ABA0109"/>
    <w:rsid w:val="0AEB602B"/>
    <w:rsid w:val="0B482DE0"/>
    <w:rsid w:val="0B9B4A1F"/>
    <w:rsid w:val="0BB6098B"/>
    <w:rsid w:val="0C284591"/>
    <w:rsid w:val="124B3503"/>
    <w:rsid w:val="13673C4E"/>
    <w:rsid w:val="13C43BB7"/>
    <w:rsid w:val="14650C4E"/>
    <w:rsid w:val="147D107E"/>
    <w:rsid w:val="14EF632D"/>
    <w:rsid w:val="154A0B34"/>
    <w:rsid w:val="155A01C7"/>
    <w:rsid w:val="16207AF5"/>
    <w:rsid w:val="16C86C63"/>
    <w:rsid w:val="17452DA5"/>
    <w:rsid w:val="17D659F1"/>
    <w:rsid w:val="17DC5B68"/>
    <w:rsid w:val="17E44C80"/>
    <w:rsid w:val="18E7647F"/>
    <w:rsid w:val="19D973C3"/>
    <w:rsid w:val="19E50740"/>
    <w:rsid w:val="1A382DD7"/>
    <w:rsid w:val="1A5C76BB"/>
    <w:rsid w:val="1A7E5729"/>
    <w:rsid w:val="1ACD5465"/>
    <w:rsid w:val="1C3F78B6"/>
    <w:rsid w:val="1C9F2E01"/>
    <w:rsid w:val="1D6361EC"/>
    <w:rsid w:val="1E2941DE"/>
    <w:rsid w:val="1F7A164F"/>
    <w:rsid w:val="20160915"/>
    <w:rsid w:val="20831E5B"/>
    <w:rsid w:val="21954FD2"/>
    <w:rsid w:val="220961D1"/>
    <w:rsid w:val="222C41B5"/>
    <w:rsid w:val="22A72523"/>
    <w:rsid w:val="231670F5"/>
    <w:rsid w:val="23945D93"/>
    <w:rsid w:val="241C7A75"/>
    <w:rsid w:val="257359F5"/>
    <w:rsid w:val="26B25742"/>
    <w:rsid w:val="27FB1228"/>
    <w:rsid w:val="29341A44"/>
    <w:rsid w:val="29F123BC"/>
    <w:rsid w:val="29F606F1"/>
    <w:rsid w:val="2A1972AE"/>
    <w:rsid w:val="2BC915F9"/>
    <w:rsid w:val="2DC05922"/>
    <w:rsid w:val="2E2D512C"/>
    <w:rsid w:val="2E9B0537"/>
    <w:rsid w:val="2FE2225A"/>
    <w:rsid w:val="2FE9000C"/>
    <w:rsid w:val="306C5487"/>
    <w:rsid w:val="31D504D2"/>
    <w:rsid w:val="31FA6199"/>
    <w:rsid w:val="325D04D3"/>
    <w:rsid w:val="35072597"/>
    <w:rsid w:val="35C60DA5"/>
    <w:rsid w:val="362A22C7"/>
    <w:rsid w:val="366A65E3"/>
    <w:rsid w:val="367A5BC3"/>
    <w:rsid w:val="36E733E8"/>
    <w:rsid w:val="37243EB8"/>
    <w:rsid w:val="37CD911F"/>
    <w:rsid w:val="384F6995"/>
    <w:rsid w:val="3A9F2FE8"/>
    <w:rsid w:val="3AFA7814"/>
    <w:rsid w:val="3C6B0C5F"/>
    <w:rsid w:val="3CDD4990"/>
    <w:rsid w:val="3CF91687"/>
    <w:rsid w:val="3D0E68F7"/>
    <w:rsid w:val="3FDBE52D"/>
    <w:rsid w:val="408237E2"/>
    <w:rsid w:val="41524D2E"/>
    <w:rsid w:val="42E463EC"/>
    <w:rsid w:val="441A37D3"/>
    <w:rsid w:val="460F4DB2"/>
    <w:rsid w:val="46FD4AB7"/>
    <w:rsid w:val="47291516"/>
    <w:rsid w:val="47EF57E2"/>
    <w:rsid w:val="47FF9B22"/>
    <w:rsid w:val="4B5869BB"/>
    <w:rsid w:val="4B8725BB"/>
    <w:rsid w:val="4D0B020E"/>
    <w:rsid w:val="4D371E31"/>
    <w:rsid w:val="4DD036AF"/>
    <w:rsid w:val="4E190719"/>
    <w:rsid w:val="500D2291"/>
    <w:rsid w:val="50550BC9"/>
    <w:rsid w:val="521405B2"/>
    <w:rsid w:val="5437167A"/>
    <w:rsid w:val="556A5494"/>
    <w:rsid w:val="55C86D02"/>
    <w:rsid w:val="56847DB9"/>
    <w:rsid w:val="56B23EE3"/>
    <w:rsid w:val="56D606ED"/>
    <w:rsid w:val="58FB7298"/>
    <w:rsid w:val="5A2558F6"/>
    <w:rsid w:val="5A71200C"/>
    <w:rsid w:val="5C497844"/>
    <w:rsid w:val="5C960873"/>
    <w:rsid w:val="5DEC6249"/>
    <w:rsid w:val="5E5B7B74"/>
    <w:rsid w:val="5F2E4200"/>
    <w:rsid w:val="5F5C0FE6"/>
    <w:rsid w:val="5F771CAB"/>
    <w:rsid w:val="613215AA"/>
    <w:rsid w:val="614809F7"/>
    <w:rsid w:val="614A74F3"/>
    <w:rsid w:val="61E643DB"/>
    <w:rsid w:val="62582E28"/>
    <w:rsid w:val="627A1B4F"/>
    <w:rsid w:val="65730378"/>
    <w:rsid w:val="66D718F3"/>
    <w:rsid w:val="67C055B0"/>
    <w:rsid w:val="67C4718E"/>
    <w:rsid w:val="680E6B20"/>
    <w:rsid w:val="69A70C9B"/>
    <w:rsid w:val="69DE3E62"/>
    <w:rsid w:val="6B457C33"/>
    <w:rsid w:val="6B997CA1"/>
    <w:rsid w:val="6BCA6737"/>
    <w:rsid w:val="6C2E46AC"/>
    <w:rsid w:val="702A24DF"/>
    <w:rsid w:val="71057160"/>
    <w:rsid w:val="716141D7"/>
    <w:rsid w:val="72B60684"/>
    <w:rsid w:val="73DD1208"/>
    <w:rsid w:val="741B0017"/>
    <w:rsid w:val="74BB18E5"/>
    <w:rsid w:val="760C02B2"/>
    <w:rsid w:val="77C9223D"/>
    <w:rsid w:val="77D4751C"/>
    <w:rsid w:val="77F70541"/>
    <w:rsid w:val="7824441C"/>
    <w:rsid w:val="79656F30"/>
    <w:rsid w:val="7A05554E"/>
    <w:rsid w:val="7BDE3E05"/>
    <w:rsid w:val="7F3D51C2"/>
    <w:rsid w:val="7F7D94AE"/>
    <w:rsid w:val="7FE0F283"/>
    <w:rsid w:val="7FFDD664"/>
    <w:rsid w:val="D9FF812C"/>
    <w:rsid w:val="EDADCE31"/>
    <w:rsid w:val="F7FF9ED2"/>
    <w:rsid w:val="FD79FA08"/>
    <w:rsid w:val="FEBD129C"/>
    <w:rsid w:val="FF5C66B0"/>
    <w:rsid w:val="FFBFB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basedOn w:val="8"/>
    <w:qFormat/>
    <w:uiPriority w:val="0"/>
    <w:rPr>
      <w:rFonts w:hint="eastAsia" w:ascii="宋体" w:hAnsi="宋体" w:eastAsia="宋体" w:cs="宋体"/>
      <w:b/>
      <w:color w:val="000000"/>
      <w:sz w:val="32"/>
      <w:szCs w:val="32"/>
      <w:u w:val="none"/>
    </w:rPr>
  </w:style>
  <w:style w:type="character" w:customStyle="1" w:styleId="12">
    <w:name w:val="font6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方正书宋_GBK" w:hAnsi="方正书宋_GBK" w:eastAsia="方正书宋_GBK" w:cs="方正书宋_GBK"/>
      <w:color w:val="000000"/>
      <w:sz w:val="20"/>
      <w:szCs w:val="20"/>
      <w:u w:val="none"/>
    </w:rPr>
  </w:style>
  <w:style w:type="character" w:customStyle="1" w:styleId="17">
    <w:name w:val="font111"/>
    <w:basedOn w:val="8"/>
    <w:qFormat/>
    <w:uiPriority w:val="0"/>
    <w:rPr>
      <w:rFonts w:hint="eastAsia" w:ascii="宋体" w:hAnsi="宋体" w:eastAsia="宋体" w:cs="宋体"/>
      <w:b/>
      <w:color w:val="000000"/>
      <w:sz w:val="32"/>
      <w:szCs w:val="32"/>
      <w:u w:val="none"/>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13"/>
    <w:basedOn w:val="8"/>
    <w:qFormat/>
    <w:uiPriority w:val="0"/>
    <w:rPr>
      <w:rFonts w:hint="eastAsia" w:ascii="宋体" w:hAnsi="宋体" w:eastAsia="宋体" w:cs="宋体"/>
      <w:color w:val="000000"/>
      <w:sz w:val="20"/>
      <w:szCs w:val="20"/>
      <w:u w:val="none"/>
    </w:rPr>
  </w:style>
  <w:style w:type="character" w:customStyle="1" w:styleId="20">
    <w:name w:val="font141"/>
    <w:basedOn w:val="8"/>
    <w:qFormat/>
    <w:uiPriority w:val="0"/>
    <w:rPr>
      <w:rFonts w:hint="default" w:ascii="Times New Roman" w:hAnsi="Times New Roman" w:cs="Times New Roman"/>
      <w:color w:val="000000"/>
      <w:sz w:val="20"/>
      <w:szCs w:val="20"/>
      <w:u w:val="none"/>
    </w:rPr>
  </w:style>
  <w:style w:type="character" w:customStyle="1" w:styleId="21">
    <w:name w:val="font132"/>
    <w:basedOn w:val="8"/>
    <w:qFormat/>
    <w:uiPriority w:val="0"/>
    <w:rPr>
      <w:rFonts w:hint="eastAsia" w:ascii="宋体" w:hAnsi="宋体" w:eastAsia="宋体" w:cs="宋体"/>
      <w:color w:val="000000"/>
      <w:sz w:val="18"/>
      <w:szCs w:val="18"/>
      <w:u w:val="none"/>
    </w:rPr>
  </w:style>
  <w:style w:type="character" w:customStyle="1" w:styleId="22">
    <w:name w:val="font51"/>
    <w:basedOn w:val="8"/>
    <w:qFormat/>
    <w:uiPriority w:val="0"/>
    <w:rPr>
      <w:rFonts w:ascii="宋体" w:hAnsi="宋体" w:eastAsia="宋体" w:cs="宋体"/>
      <w:color w:val="000000"/>
      <w:sz w:val="20"/>
      <w:szCs w:val="20"/>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31"/>
    <w:basedOn w:val="8"/>
    <w:qFormat/>
    <w:uiPriority w:val="0"/>
    <w:rPr>
      <w:rFonts w:ascii="方正书宋_GBK" w:hAnsi="方正书宋_GBK" w:eastAsia="方正书宋_GBK" w:cs="方正书宋_GBK"/>
      <w:color w:val="000000"/>
      <w:sz w:val="20"/>
      <w:szCs w:val="20"/>
      <w:u w:val="none"/>
    </w:rPr>
  </w:style>
  <w:style w:type="character" w:customStyle="1" w:styleId="25">
    <w:name w:val="font101"/>
    <w:basedOn w:val="8"/>
    <w:qFormat/>
    <w:uiPriority w:val="0"/>
    <w:rPr>
      <w:rFonts w:hint="default" w:ascii="Segoe UI" w:hAnsi="Segoe UI" w:eastAsia="Segoe UI" w:cs="Segoe UI"/>
      <w:color w:val="000000"/>
      <w:sz w:val="18"/>
      <w:szCs w:val="18"/>
      <w:u w:val="none"/>
    </w:rPr>
  </w:style>
  <w:style w:type="character" w:customStyle="1" w:styleId="26">
    <w:name w:val="font41"/>
    <w:basedOn w:val="8"/>
    <w:qFormat/>
    <w:uiPriority w:val="0"/>
    <w:rPr>
      <w:rFonts w:hint="default" w:ascii="Times New Roman" w:hAnsi="Times New Roman" w:cs="Times New Roman"/>
      <w:color w:val="000000"/>
      <w:sz w:val="22"/>
      <w:szCs w:val="22"/>
      <w:u w:val="none"/>
    </w:rPr>
  </w:style>
  <w:style w:type="character" w:customStyle="1" w:styleId="27">
    <w:name w:val="font13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0</TotalTime>
  <ScaleCrop>false</ScaleCrop>
  <LinksUpToDate>false</LinksUpToDate>
  <CharactersWithSpaces>357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2018-09-08T09:32:00Z</dcterms:created>
  <dc:creator>市财政局</dc:creator>
  <cp:lastModifiedBy>Administrator</cp:lastModifiedBy>
  <cp:lastPrinted>2024-01-05T17:23:00Z</cp:lastPrinted>
  <dcterms:modified xsi:type="dcterms:W3CDTF">2024-05-07T01:02:28Z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5B3D4777F149432499F228235568C993</vt:lpwstr>
  </property>
  <property fmtid="{D5CDD505-2E9C-101B-9397-08002B2CF9AE}" pid="4" name="docranid">
    <vt:lpwstr>24AA2085E5B44C7F910315CAE06E873F</vt:lpwstr>
  </property>
</Properties>
</file>