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D938">
      <w:pPr>
        <w:rPr>
          <w:rFonts w:ascii="Arial" w:hAnsi="Arial" w:eastAsia="Arial" w:cs="Arial"/>
          <w:b/>
          <w:sz w:val="36"/>
        </w:rPr>
      </w:pPr>
      <w:r>
        <w:rPr>
          <w:rFonts w:ascii="Arial" w:hAnsi="Arial" w:eastAsia="Arial" w:cs="Arial"/>
          <w:b/>
          <w:sz w:val="36"/>
        </w:rPr>
        <w:t>监督索引号53042400531400200000</w:t>
      </w:r>
    </w:p>
    <w:p w14:paraId="2B2F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华宁县民政局（本级）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年预算公开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目录</w:t>
      </w:r>
    </w:p>
    <w:p w14:paraId="11E65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 w14:paraId="01A3A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第一部分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华宁县民政局（本级）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2025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年部门预算编制说明</w:t>
      </w:r>
    </w:p>
    <w:p w14:paraId="5DC1C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一、基本职能及主要工作</w:t>
      </w:r>
    </w:p>
    <w:p w14:paraId="6014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二、预算单位基本情况</w:t>
      </w:r>
    </w:p>
    <w:p w14:paraId="7DDC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三、预算单位收入情况</w:t>
      </w:r>
    </w:p>
    <w:p w14:paraId="42C4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预算单位支出情况</w:t>
      </w:r>
    </w:p>
    <w:p w14:paraId="49912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对下专项转移支付情况</w:t>
      </w:r>
    </w:p>
    <w:p w14:paraId="2C32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六、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政府采购预算情况</w:t>
      </w:r>
    </w:p>
    <w:p w14:paraId="68D15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七、部门“三公”经费增减变化情况及原因说明</w:t>
      </w:r>
    </w:p>
    <w:p w14:paraId="2D14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八、重点项目预算绩效目标情况</w:t>
      </w:r>
    </w:p>
    <w:p w14:paraId="0ED6E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九、其他公开信息</w:t>
      </w:r>
    </w:p>
    <w:p w14:paraId="15DD7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第二部分 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华宁县民政局（本级）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2025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年部门预算表</w:t>
      </w:r>
    </w:p>
    <w:p w14:paraId="5EE56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财务收支预算总表</w:t>
      </w:r>
    </w:p>
    <w:p w14:paraId="70ED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二、部门收入预算表</w:t>
      </w:r>
    </w:p>
    <w:p w14:paraId="77D0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三、部门支出预算表</w:t>
      </w:r>
    </w:p>
    <w:p w14:paraId="78429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四、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财政拨款收支预算总表</w:t>
      </w:r>
    </w:p>
    <w:p w14:paraId="078C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五、一般公共预算支出预算表（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按功能科目分类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125FD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六、一般公共预算“三公”经费支出预算表</w:t>
      </w:r>
    </w:p>
    <w:p w14:paraId="1310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七、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基本支出预算表</w:t>
      </w:r>
    </w:p>
    <w:p w14:paraId="5FA5B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八、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项目支出预算表</w:t>
      </w:r>
    </w:p>
    <w:p w14:paraId="521C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九、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项目支出绩效目标表</w:t>
      </w:r>
    </w:p>
    <w:p w14:paraId="0EAFE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政府性基金预算支出预算表</w:t>
      </w:r>
    </w:p>
    <w:p w14:paraId="4F857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十一、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政府采购预算表</w:t>
      </w:r>
    </w:p>
    <w:p w14:paraId="1D4BD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十二、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政府购买服务预算表</w:t>
      </w:r>
    </w:p>
    <w:p w14:paraId="55446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十三、对下转移支付预算表</w:t>
      </w:r>
    </w:p>
    <w:p w14:paraId="0A35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十四、对下转移支付绩效目标表</w:t>
      </w:r>
    </w:p>
    <w:p w14:paraId="1FC32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十五、新增资产配置表</w:t>
      </w:r>
    </w:p>
    <w:p w14:paraId="49AC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十六、上级补助项目支出预算表</w:t>
      </w:r>
    </w:p>
    <w:p w14:paraId="163A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十七、部门项目中期规划预算表</w:t>
      </w:r>
    </w:p>
    <w:p w14:paraId="5CC2B0B9"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华宁县民政局（本级）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年部门预算编制</w:t>
      </w:r>
    </w:p>
    <w:p w14:paraId="5A88939B"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说明</w:t>
      </w:r>
    </w:p>
    <w:p w14:paraId="51B2177F">
      <w:pPr>
        <w:pStyle w:val="2"/>
        <w:jc w:val="center"/>
        <w:rPr>
          <w:rFonts w:hint="eastAsia"/>
        </w:rPr>
      </w:pPr>
    </w:p>
    <w:p w14:paraId="72E2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一、基本职能及主要工作</w:t>
      </w:r>
    </w:p>
    <w:p w14:paraId="229EE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（一）部门主要职责</w:t>
      </w:r>
    </w:p>
    <w:p w14:paraId="7DDF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室字〔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号中共华宁县委办公室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华宁县人民政府办公室关于印发《华宁县民政局职能配置、内设机构和人员编制规定》的通知，本部门主要职责有十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条，具体如下：</w:t>
      </w:r>
    </w:p>
    <w:p w14:paraId="54712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贯彻执行民政事业发展法律法规和政策规划，拟订全县民政事业发展规划和相关政策标准并组织实施。</w:t>
      </w:r>
    </w:p>
    <w:p w14:paraId="2A32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黑体_GBK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贯彻社会团体、基金会、社会服务机构等社会组织登记和监督管理办法并组织实施，依法对全县社会组织进行登记管理和执法监督。</w:t>
      </w:r>
    </w:p>
    <w:p w14:paraId="151C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黑体_GBK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拟订全县社会救助政策、标准，统筹社会救助体系建设，负责城乡居民最低生活保障、特困人员救助供养、临时救助、生活无着流浪乞讨人员救助工作。</w:t>
      </w:r>
    </w:p>
    <w:p w14:paraId="28B91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黑体_GBK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按照规定权限贯彻行政区划、行政区域界线管理和地名管理政策法规，组织研究提出行政区划总体规划思路建议，按照管理权限牵头负责行政区划设立、命名、变更和政府驻地迁移等审核工作。按照规定权限组织指导乡镇（街道）行政区域界线的勘定、管理工作，负责全县地名工作的监督管理，负责全县重要自然地理实体命名和更名审核工作。</w:t>
      </w:r>
    </w:p>
    <w:p w14:paraId="5B38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贯彻婚姻管理政策法规并组织实施，推进婚俗改革。</w:t>
      </w:r>
    </w:p>
    <w:p w14:paraId="4223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贯彻殡葬管理政策法规、服务规范并组织实施，推进殡葬改革。</w:t>
      </w:r>
    </w:p>
    <w:p w14:paraId="377C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贯彻残疾人权益保护政策法规，统筹推进残疾人福利制度建设。</w:t>
      </w:r>
    </w:p>
    <w:p w14:paraId="2084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承担华宁县老龄工作委员会的具体工作。组织拟定并协调落实积极应对人口老龄化的政策措施。指导协调老年人权益保障工作。组织拟订老年人社会参与政策并组织实施。</w:t>
      </w:r>
    </w:p>
    <w:p w14:paraId="32C9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组织拟定并协调落实促进养老事业发展的政策措施。统筹推进、督促指导、监督管理全县养老服务工作，拟订养老服务体系建设规划、政策、标准并组织实施，承担老年人福利和特殊困难老年人救助工作。</w:t>
      </w:r>
    </w:p>
    <w:p w14:paraId="03A91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贯彻儿童福利、孤弃儿童保障、儿童收养、儿童救助保护政策法规，健全农村留守儿童关爱服务体系和困境儿童保障制度。</w:t>
      </w:r>
    </w:p>
    <w:p w14:paraId="329C5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贯彻促进慈善事业发展政策法规，指导社会捐助工作，配合做好福利彩票管理工作。</w:t>
      </w:r>
    </w:p>
    <w:p w14:paraId="4717F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_GBK" w:cs="方正黑体_GBK"/>
          <w:sz w:val="32"/>
          <w:szCs w:val="32"/>
        </w:rPr>
        <w:t>完成县委、县政府交办的其他任务。</w:t>
      </w:r>
    </w:p>
    <w:p w14:paraId="0D5E9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（二）机构设置情况</w:t>
      </w:r>
    </w:p>
    <w:p w14:paraId="39C56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我部门共设置5个内设机构，包括：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社会事务和儿童福利股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社会救助股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区划地名股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养老服务股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C91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所属单位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7F9B8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（三）重点工作概述</w:t>
      </w:r>
    </w:p>
    <w:p w14:paraId="30FAF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1.扎实推进党建工作，强化队伍建设。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全面加强党的建设，持续抓实党员教育管理，夯实党建工作基础，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把解决问题与提升治理能力结合起来，补短板、堵漏洞，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教育引导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民政系统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干部职工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遵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矩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严于律己，争当党的路线、方针和政策的带头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持续整治形式主义、官僚主义等问题，以永不懈怠的精神状态和一往无前的奋斗姿态，推进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新时代民政工作质效的提升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1AD3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2.以超常规举措持续推进殡葬领域专项整治工作。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全面贯彻落实习近平总书记对殡葬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的重要指示批示精神，始终坚持以人民为中心的发展思想，聚焦殡葬领域人民群众关切，紧密结合党纪学习教育和殡葬方面民生实事，深入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殡葬领域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整治。有效解决殡葬领域群众反映强烈的突出问题，有力整治不正之风和违法违规现象，推进完善殡葬基本服务公共体系建设，进一步加强殡葬管理服务能力，不断增强人民群众获得感、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满意度。</w:t>
      </w:r>
    </w:p>
    <w:p w14:paraId="478FD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3.精准施策，加快健全分层分类的社会救助体系。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提升社会救助的覆盖面，抓好各项社会救助政策的落实，加大低保扩围增效力度。提高最低生活保障及相关社会救助标准，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按月足额发放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最低生活保障金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扎实做好基本生活救助。加大探视走访力度，切实保障特困供养人员基本生活。充分发挥临时救助时效性，强化临时救助与低保等政策衔接，切实做好综合救助。</w:t>
      </w: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规范制度实施，健全完善困难群众救助标准调整机制。</w:t>
      </w:r>
      <w:r>
        <w:rPr>
          <w:rStyle w:val="6"/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加强信息汇聚，做好低收入人口排查认定。</w:t>
      </w:r>
    </w:p>
    <w:p w14:paraId="077C1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4.不断健全养老服务体系，全力落实儿童福利保障。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大力扶持养老服务机构健康发展。推动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县老年养护院动工建设并完成主体工程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宁州街道综合养老服务中心、王马社区居家养老服务中心等建成并投入使用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探索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建设医养联合体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鼓励引导医疗机构开展医养结合，拟在瑞仁医院开展医养结合服务，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积极</w:t>
      </w:r>
      <w:r>
        <w:rPr>
          <w:rFonts w:ascii="Times New Roman" w:hAnsi="Times New Roman" w:eastAsia="方正仿宋_GBK"/>
          <w:kern w:val="2"/>
          <w:sz w:val="32"/>
          <w:szCs w:val="32"/>
          <w:lang w:val="en-US" w:eastAsia="zh-CN" w:bidi="ar-SA"/>
        </w:rPr>
        <w:t>探索多元化运营方式，引入社会力量、社会资本运营养老服务设施，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提升服务水平，不断</w:t>
      </w:r>
      <w:r>
        <w:rPr>
          <w:rFonts w:ascii="Times New Roman" w:hAnsi="Times New Roman" w:eastAsia="方正仿宋_GBK"/>
          <w:kern w:val="2"/>
          <w:sz w:val="32"/>
          <w:szCs w:val="32"/>
          <w:lang w:val="en-US" w:eastAsia="zh-CN" w:bidi="ar-SA"/>
        </w:rPr>
        <w:t>满足老年人日益增长的养老服务需求。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 w:bidi="ar-SA"/>
        </w:rPr>
        <w:t>持续抓好农村留守老人、留守儿童关爱服务质量提升三年行动计划，发挥牵头统筹作用，充分整合力量资源，实施定期探访关爱制度，开展农村留守老人关爱服务。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加强养老服务人才队伍建设，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适时开展护理员培训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。推进未成年人保护工作，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充分发挥挂包联系机制作用，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做好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留守儿童、留守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儿童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关爱保护工作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 w14:paraId="407C7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5.深化社会事务管理，强化提升社会事务服务水平。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做好婚姻登记“全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通办”工作，推进新时代婚姻家庭辅导教育工作。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规范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做好收养登记工作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保障每一名儿童的生存权及受教育权，确保儿童利益最大化。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节地生态葬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积极推广花葬、树葬、草坪葬等新的葬式葬法，打造绿色殡葬、生态殡葬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链接社会慈善资源，更好发挥华宁县慈善总会和玉溪华宁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红山文化基金会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两个慈善组织的作用，为全县更多有需要的困难群众提供救助服务，促进我县慈善事业发展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 w14:paraId="4091F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6.全方位谋划民政“十五五”规划，推动民政重点工作落地落实。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贯通规划引领，科学编制民政领域规划，突出问题导向，聚焦老龄工作、养老服务、儿童福利、社会救助、社会组织、公益慈善领域，坚持跳出民政看民政，紧盯改革目标任务，科学编制“十五五”规划，对民政重点工作作出指向性和制度性安排，明确目标任务和指标体系，配套出台相关专项规划，引领保障民政事业高质量发展。全面构建定位准确、边界清晰、功能互补、统一衔接的民政事业“十五五”规划体系。</w:t>
      </w:r>
    </w:p>
    <w:p w14:paraId="3A15F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二、预算单位基本情况</w:t>
      </w:r>
    </w:p>
    <w:p w14:paraId="5B9B6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我部门编制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年部门预算单位共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个。其中：财政全额供给单位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个；差额供给单位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个；定额补助单位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个；自收自支单位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个。财政全额供给单位中行政单位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个；参公单位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个；事业单位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个。截止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年12月统计，部门基本情况如下：</w:t>
      </w:r>
    </w:p>
    <w:p w14:paraId="0A0D8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在职人员编制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人，其中：行政编制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工勤人员编制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事业编制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人。在职实有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人，其中： 财政全额保障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人，财政差额补助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人，财政专户资金、单位资金保障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人。</w:t>
      </w:r>
    </w:p>
    <w:p w14:paraId="58403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离退休人员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人，其中：离休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人，退休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人。</w:t>
      </w:r>
    </w:p>
    <w:p w14:paraId="4D6BE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车辆编制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辆，实有车辆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辆，超编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 w14:paraId="77747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三、预算单位收入情况</w:t>
      </w:r>
    </w:p>
    <w:p w14:paraId="609C9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（一）部门财务收入情况</w:t>
      </w:r>
    </w:p>
    <w:p w14:paraId="0DE02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方正仿宋_GBK"/>
          <w:kern w:val="0"/>
          <w:sz w:val="32"/>
          <w:szCs w:val="32"/>
        </w:rPr>
        <w:t>年部门财务总收入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25,885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013.61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，其中：一般公共预算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25,885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013.6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，政府性基金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，国有资本经营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收益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财政专户管理资金收入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元，</w:t>
      </w:r>
      <w:r>
        <w:rPr>
          <w:rFonts w:ascii="Times New Roman" w:hAnsi="Times New Roman" w:eastAsia="方正仿宋_GBK"/>
          <w:kern w:val="0"/>
          <w:sz w:val="32"/>
          <w:szCs w:val="32"/>
        </w:rPr>
        <w:t>事业收入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，事业单位经营收入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，上级补助收入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，附属单位上缴收入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，其他收入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</w:p>
    <w:p w14:paraId="6F4B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与上年对比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3,561,469.89元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val="en-US" w:eastAsia="zh-CN"/>
        </w:rPr>
        <w:t>15.95%，增加的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主要原因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年将精简、第一批出国民工生活补助、特殊困难群众火化补助纳入预算范围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。</w:t>
      </w:r>
    </w:p>
    <w:p w14:paraId="6FED9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（二）财政拨款收入情况</w:t>
      </w:r>
    </w:p>
    <w:p w14:paraId="61F60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年部门财政拨款收入 25,885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013.61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，其中:本年收入25,885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013.61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，上年结转收入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元。本年收入中，一般公共预算财政拨款25,885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013.61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，政府性基金预算财政拨款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万元，国有资本经营收益财政拨款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</w:t>
      </w:r>
    </w:p>
    <w:p w14:paraId="39722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与上年对比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3,561,469.89元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val="en-US" w:eastAsia="zh-CN"/>
        </w:rPr>
        <w:t>15.95%，增加的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主要原因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年将精简、第一批出国民工生活补助、特殊困难群众火化补助纳入预算范围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。</w:t>
      </w:r>
    </w:p>
    <w:p w14:paraId="1F2C363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预算单位支出情况</w:t>
      </w:r>
    </w:p>
    <w:p w14:paraId="218F0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方正仿宋_GBK"/>
          <w:kern w:val="0"/>
          <w:sz w:val="32"/>
          <w:szCs w:val="32"/>
        </w:rPr>
        <w:t>年部门预算总支出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25,885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013.61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财政拨款</w:t>
      </w:r>
      <w:r>
        <w:rPr>
          <w:rFonts w:ascii="Times New Roman" w:hAnsi="Times New Roman" w:eastAsia="方正仿宋_GBK"/>
          <w:kern w:val="0"/>
          <w:sz w:val="32"/>
          <w:szCs w:val="32"/>
        </w:rPr>
        <w:t>安排支出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25,885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013.61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元</w:t>
      </w:r>
      <w:r>
        <w:rPr>
          <w:rFonts w:ascii="Times New Roman" w:hAnsi="Times New Roman" w:eastAsia="方正仿宋_GBK"/>
          <w:kern w:val="0"/>
          <w:sz w:val="32"/>
          <w:szCs w:val="32"/>
        </w:rPr>
        <w:t>，其中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：</w:t>
      </w:r>
      <w:r>
        <w:rPr>
          <w:rFonts w:ascii="Times New Roman" w:hAnsi="Times New Roman" w:eastAsia="方正仿宋_GBK"/>
          <w:kern w:val="0"/>
          <w:sz w:val="32"/>
          <w:szCs w:val="32"/>
        </w:rPr>
        <w:t>基本支出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753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641.61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，与上年对比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1,458,388.11元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主要原因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是机构改革调出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人、参加事业单位选调考试调出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1人、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年法定退休人员比202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；</w:t>
      </w:r>
      <w:r>
        <w:rPr>
          <w:rFonts w:ascii="Times New Roman" w:hAnsi="Times New Roman" w:eastAsia="方正仿宋_GBK"/>
          <w:kern w:val="0"/>
          <w:sz w:val="32"/>
          <w:szCs w:val="32"/>
        </w:rPr>
        <w:t>项目支出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21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131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372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，与上年对比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  <w:lang w:val="en-US" w:eastAsia="zh-CN"/>
        </w:rPr>
        <w:t>5,019,858.00元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主要原因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年将精简、第一批出国民工生活补助、特殊困难群众火化补助纳入预算范围</w:t>
      </w:r>
      <w:r>
        <w:rPr>
          <w:rFonts w:hint="eastAsia" w:ascii="Times New Roman" w:hAnsi="Times New Roman" w:eastAsia="方正仿宋_GBK" w:cs="楷体"/>
          <w:kern w:val="0"/>
          <w:sz w:val="32"/>
          <w:szCs w:val="32"/>
        </w:rPr>
        <w:t>。</w:t>
      </w:r>
    </w:p>
    <w:p w14:paraId="6DFB2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财政拨款安排支出按功能科目分类情况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：</w:t>
      </w:r>
    </w:p>
    <w:p w14:paraId="05D88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“208”社会保障和就业支出25,208,360.74元，其中：</w:t>
      </w:r>
    </w:p>
    <w:p w14:paraId="5FD620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“20802”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民政管理事务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3,508,889.06元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，主要用于在职人员工资福利、临时工工资、办公费、会议费、接待费、福利费、工会费及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退休人员的生活补助（即离退休慰问金）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、养老及职业年金缴费、社会救助及民生保障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的支出</w:t>
      </w:r>
    </w:p>
    <w:p w14:paraId="137E0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“2080201”行政运行科目的支出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3,508,889.06元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，主要用于在职人员工资福利、临时工工资、办公费、会议费、接待费、福利费、工会费及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退休人员的生活补助（即离退休慰问金）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、养老及职业年金缴费、社会救助及民生保障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AC05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“20805”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行政事业单位养老支出科目的支出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187,200.00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</w:p>
    <w:p w14:paraId="6B28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“2080501”行政单位离退休科目的支出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187,200.00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元，主要用于退休人员的生活补助（即离退休慰问金）等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3815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“2080505”机关事业单位基本养老保险缴费支出科目的支出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380,899.68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元，主要用于机关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事业单位实施养老保险制度由单位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缴纳的基本养老保险费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E325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20808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”抚恤科目的支出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11,472.00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其中：</w:t>
      </w:r>
    </w:p>
    <w:p w14:paraId="0E76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2080801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”死亡抚恤科目的支出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11,472.00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元，主要用于遗属生活补助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593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“20810”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社会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福利科目的支出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7,760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,100.00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,其中：</w:t>
      </w:r>
    </w:p>
    <w:p w14:paraId="35F3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“2081001”儿童福利科目的支出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40,100.00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元，主要用于孤儿生活补助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704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“2081002”老年福利科目的支出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2,652,000.00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元，主要用于80周岁以上老年人长寿金补贴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和经济困难老年人服务补贴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</w:p>
    <w:p w14:paraId="1574E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科目的支出5,070,000.00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元，主要用于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除国家公职人员外，火化区范围内的农村人口、城镇居民（不包含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改制领过丧葬费人员）死亡后遗体进行火化，免除遗体火化费和遗体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运送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费用，进入公墓安葬或采取生态葬的，一般群众一次性给予4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000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.00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元补助，特殊困难群众（城乡低保对象、享受定期定量生活补助的在乡老复员军人、六级以上伤残军人和带病回乡军人、二十世纪六十年代精简退职人员、享受定期定量生活补助的原大队一级离职干部）一次性给予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000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.00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元补助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。</w:t>
      </w:r>
    </w:p>
    <w:p w14:paraId="42589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“20811”残疾人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事业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科目的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3,747,600.00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</w:p>
    <w:p w14:paraId="4FE65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“2081107”残疾人生活和护理补贴科目的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3,747,600.00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元，主要用于贫困残疾人生活补贴和一、二级残疾人护理补贴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96AB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“20819”最低生活保障科目的支出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7,542,200.00元，其中：</w:t>
      </w:r>
    </w:p>
    <w:p w14:paraId="5185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“2081901”城市最低生活保障金支出科目的支出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2,286,200.00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元，主要用于城市居民最低生活补助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7CE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“2081902”农村最低生活保障金支出科目的支出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5,256,000.00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元，主要用于农村居民最低生活补助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E759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“20820”临时救助科目的支出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580,000.00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  <w:bookmarkStart w:id="0" w:name="_GoBack"/>
      <w:bookmarkEnd w:id="0"/>
    </w:p>
    <w:p w14:paraId="1BFB0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“2082001”临时救助支出科目的支出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580,000.00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元，主要用于城乡生活困难居民临时性救助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D0C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“20821”特困人员救助供养科目的支出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1,456,000.00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</w:p>
    <w:p w14:paraId="52C57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“2082102”农村特困人员救助供养支出科目的支出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1,456,000.00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元，主要用于特困人员救助供养支出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D36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其他生活救助支出32,000.00元，其中：</w:t>
      </w:r>
    </w:p>
    <w:p w14:paraId="55A4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“2082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其他农村生活救助支出32,000.00元，主要用于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精简、第一批出国民工生活补助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7FDA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”卫生健康支出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356,264.87元，其中：</w:t>
      </w:r>
    </w:p>
    <w:p w14:paraId="6BC7D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“21011”行政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事业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单位医疗科目的支出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主要用于行政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单位基本医疗保险缴费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公务员医疗补助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大病补充医疗保险和工伤保险方面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CB2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“2101101”行政单位医疗科目的支出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197,591.71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元，主要用于财政部门集中安排的行政单位基本医疗保险缴费经费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5A76C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“2101103”公务员医疗补助科目的支出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136,327.73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元，主要用于财政部门集中安排的公务员医疗补助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2811D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2101199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”其他行政事业单位医疗支出科目的支出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22,345.43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行政事业单位大病补充医疗保险和工伤保险方面的支出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F9CF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”住房保障支出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320,388.00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，其中：</w:t>
      </w:r>
    </w:p>
    <w:p w14:paraId="14B6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“22102”住房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改革支出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320,388.00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元，主要用于职工缴纳的住房公积金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4D4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“2210201”住房公积金科目的支出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320,388.00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元，主要用于职工缴纳的住房公积金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A271F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t>对下专项转移支付情况</w:t>
      </w:r>
    </w:p>
    <w:p w14:paraId="21EAD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（本级）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无对下专项转移支付资金预算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6EA3B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六、政府采购预算情况</w:t>
      </w:r>
    </w:p>
    <w:p w14:paraId="32CE3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根据《中华人民共和国政府采购法》的有关规定，编制了政府采购预算，共涉及采购项目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/>
          <w:kern w:val="0"/>
          <w:sz w:val="32"/>
          <w:szCs w:val="32"/>
        </w:rPr>
        <w:t>个，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政府</w:t>
      </w:r>
      <w:r>
        <w:rPr>
          <w:rFonts w:ascii="Times New Roman" w:hAnsi="Times New Roman" w:eastAsia="方正仿宋_GBK"/>
          <w:kern w:val="0"/>
          <w:sz w:val="32"/>
          <w:szCs w:val="32"/>
        </w:rPr>
        <w:t>采购预算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总额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，其中：政府采购货物预算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、政府采购服务预算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、政府采购工程预算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</w:t>
      </w:r>
    </w:p>
    <w:p w14:paraId="63EB7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七、部门“三公”经费增减变化情况及原因说明</w:t>
      </w:r>
    </w:p>
    <w:p w14:paraId="473EF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（本级）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年一般公共预算财政拨款“三公”经费预算合计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26,400.00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8,800.00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25.00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%，具体变动情况如下：</w:t>
      </w:r>
    </w:p>
    <w:p w14:paraId="2D593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（一）因公出国（境）费</w:t>
      </w:r>
    </w:p>
    <w:p w14:paraId="601A0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（本级）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年因公出国（境）费预算为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%，共计安排因公出国（境）团组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个，因公出国（境）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人次。</w:t>
      </w:r>
    </w:p>
    <w:p w14:paraId="5FF26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与上年对比无变化。</w:t>
      </w:r>
    </w:p>
    <w:p w14:paraId="7B658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（二）公务接待费</w:t>
      </w:r>
    </w:p>
    <w:p w14:paraId="0FA1B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（本级）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年公务接待费预算为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14,400.00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8,800.00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37.93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%，国内公务接待批次为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次，共计接待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223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人次。</w:t>
      </w:r>
    </w:p>
    <w:p w14:paraId="1E17A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原因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公务员，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事业人员，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公务接待费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 w14:paraId="4650A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（三）公务用车购置及运行维护费</w:t>
      </w:r>
    </w:p>
    <w:p w14:paraId="738F7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（本级）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年公务用车购置及运行维护费为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12,000.00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%。其中：公务用车购置费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%；公务用车运行维护费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12,000.00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元，较上年增加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元，增长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%。共计购置公务用车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辆，年末公务用车保有量为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辆。</w:t>
      </w:r>
    </w:p>
    <w:p w14:paraId="51A5A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与上年对比无变化。</w:t>
      </w:r>
    </w:p>
    <w:p w14:paraId="42148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八、重点项目预算绩效目标情况</w:t>
      </w:r>
    </w:p>
    <w:p w14:paraId="1B2CEC8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（一）高龄津贴补助资金的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方正楷体_GBK"/>
          <w:spacing w:val="1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高龄津贴按照“标准低、广覆盖、保基本、多层次、可持续”的总体要求，为80至89周岁、90至99周岁、100周岁以上老年人，分别按照月人均不低于50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元、100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元、300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元的标准发放高龄津贴。</w:t>
      </w:r>
    </w:p>
    <w:p w14:paraId="083F7CA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（二）经济困难老年人服务补贴经费的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方正楷体_GBK"/>
          <w:spacing w:val="1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对80周岁及以上低保对象和分散供养特困对象给予每人每月50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元的经济困难老年人服务补贴，保障其晚年生活，享受党和政府的温暖。</w:t>
      </w:r>
    </w:p>
    <w:p w14:paraId="2141B7B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（三）困难残疾人生活补贴和重度残疾人护理补贴经费的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方正楷体_GBK"/>
          <w:spacing w:val="1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</w:rPr>
        <w:t>做好202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</w:rPr>
        <w:t>年困难残疾人生活和重度残疾人护理补贴的审核和发放工作，解决残疾人特殊生活困难和长期照护困难。</w:t>
      </w:r>
    </w:p>
    <w:p w14:paraId="006CA1B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（四）困难群众救助补助资金的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</w:rPr>
        <w:t>绩效目标</w:t>
      </w: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1.规范城乡低保政策实施，合理确定保障标准，使低保对象基本生活得到有效保障；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  <w:t>统筹城乡特困人员救助供养工作，合理确定保障标准；3.规范临时救助政策，实现及时高效，救急解难；4.提高孤儿生活保障水平，孤儿生活保障标准政策规范高效实施，使孤儿和艾滋病病毒感染儿童生活基本得到保障；5.积极为走失、务工不着、家庭暴力受害者等离家在外临时遇困人员提供救助。</w:t>
      </w:r>
    </w:p>
    <w:p w14:paraId="540E00B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（五）特殊困难群体火化补助经费的绩效目标：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根据《华宁县人民政府关于全面推进殡葬改革工作的通告》，除国家公职人员外，火化区范围内的农村人口、城镇居民（不包含企业改制领过丧葬费人员）死亡后遗体进行火化，免除遗体火化费和遗体运送费用，进入公墓安葬或采取生态葬的，一般群众一次性给予4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000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元补助，特殊困难群众（城乡低保对象、享受定期定量生活补助的在乡老复员军人、六级以上伤残军人和带病回乡军人、二十世纪六十年代精简退职人员、享受定期定量生活补助的原大队一级离职干部）一次性给予5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000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元补助。通过发放火化补助，大大减轻了群众入公墓安葬成本，真正体现了公益性公墓的公益属性，群众对殡葬改革政策法规知晓率显著提高，有效促进了殡葬改革健康发展。</w:t>
      </w:r>
    </w:p>
    <w:p w14:paraId="7FF8B39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（六）六十年代精简退职人员生活困难救济补助经费的绩效目标：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年按标按时发放六十年代精简退职人员生活困难救济补助金，确保六十年代精简退职人员生活保障，维护社会和谐稳定。</w:t>
      </w:r>
    </w:p>
    <w:p w14:paraId="2B02EE2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96" w:firstLineChars="200"/>
        <w:textAlignment w:val="auto"/>
        <w:rPr>
          <w:rFonts w:hint="default" w:ascii="Times New Roman" w:hAnsi="Times New Roman" w:eastAsia="方正仿宋_GBK" w:cs="Times New Roman"/>
          <w:spacing w:val="14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4"/>
          <w:sz w:val="32"/>
          <w:szCs w:val="32"/>
          <w:lang w:eastAsia="zh-CN"/>
        </w:rPr>
        <w:t>（七）第一批出国援老民工生活补助经费的绩效目标：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14"/>
          <w:sz w:val="32"/>
          <w:szCs w:val="32"/>
          <w:lang w:eastAsia="zh-CN"/>
        </w:rPr>
        <w:t>年发放第一批出国援老民工生活补助，每人每月50元，资金来源由县级财政安排，民政局负责发放到本人。</w:t>
      </w:r>
    </w:p>
    <w:p w14:paraId="07423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九、其他公开信息</w:t>
      </w:r>
    </w:p>
    <w:p w14:paraId="0295E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（一）专业名词解释</w:t>
      </w:r>
    </w:p>
    <w:p w14:paraId="3EC6F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【一般公共预算收入】</w:t>
      </w:r>
    </w:p>
    <w:p w14:paraId="6EB51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般公共预算收入是指政府凭借国家政治权力，以社会管理者身份筹集以税收为主体的财政收入，主要用于保障和改善民生、维持国家行政职能正常运转、保障国家安全等方面。包括税收收入和非税收入，其中：税收收入主要包括增值税、营业税、企业所得税、个人所得税等，非税收入主要包括纳入预算管理的行政性收费、罚没收入、专项收入、国有资源（资产）有偿使用收入等。</w:t>
      </w:r>
    </w:p>
    <w:p w14:paraId="6C15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【一般公共预算支出】</w:t>
      </w:r>
    </w:p>
    <w:p w14:paraId="71B4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一般公共预算支出是指通过一般公共预算收入统筹安排的支出。其功能分类范围主要包括：一般公共服务、公共安全、教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育、科学技术、文化体育与传媒、社会保障和就业、医疗卫生、节能环保、城乡社区事务、农林水事务、交通运输、商业服务业等事务、国土资源气象等事物、住房保障支出等。</w:t>
      </w:r>
    </w:p>
    <w:p w14:paraId="369D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【三公经费】</w:t>
      </w:r>
    </w:p>
    <w:p w14:paraId="35F1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公”经费预算数是指各部门从年初预算安排用于因公出国（境）费用、公务用车购置及运行维护费、公务接待费用的预算数。其中，因公出国（境）费，指单位工作人员公务出国（境）的住宿费、差旅费、伙食补助费、杂费、培训费等支出；公务用车购置及运行维护费，指单位公务用车购置费及租用费、燃料费、维修费、过路过桥费、保险费等支出；公务接待费，指单位按规定开支的各类公务接待支出。</w:t>
      </w:r>
    </w:p>
    <w:p w14:paraId="72B7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【政府采购】</w:t>
      </w:r>
    </w:p>
    <w:p w14:paraId="25E3C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府采购也称公共采购，是指各级国家机关、实行预算管理的事业单位和社会团体，采取竞争、择优、公开的形式，使用财政性资金，以购买、租赁、委托或雇佣等方法取得货物、工程和服务的行为。政府采购制度则是采购政策、采购方式、采购程序和组织形式等一系列政府采购管理规范的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称。</w:t>
      </w:r>
    </w:p>
    <w:p w14:paraId="620A5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（二）机关运行经费安排变化情况及原因说明</w:t>
      </w:r>
    </w:p>
    <w:p w14:paraId="6D476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华宁县民政局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（本级）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年机关运行经费安排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307,500.00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元，与上年对比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63,000.00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元，下降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17.00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主要原因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我单位人员减少7人，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机关运行经费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人数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定额标准预算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 w14:paraId="00947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（三）国有资产占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有使用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情况</w:t>
      </w:r>
    </w:p>
    <w:p w14:paraId="1EB9B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年12月31日，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华宁县民政局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（本级）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资产总额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47,515,616.39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元，其中，流动资产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1,213,820.83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元，固定资产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30,041,271.55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元，对外投资及有价证券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元，在建工程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元，无形资产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16,260,524.01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元，其他资产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元。与上年相比，本年资产总额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9,658,153.44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元，其中固定资产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763,478.32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元。处置房屋建筑物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平方米，账面原值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元；处置车辆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辆，账面原值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元；报废报损资产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项，账面原值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元，实现资产处置收入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元；资产使用收入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元，其中出租资产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平方米，资产出租收入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元。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鉴于截至202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年12月31日的国有资产占有使用精准数据，需在完成202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年决算编制后才能汇总，此处公开为202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月资产月报数。</w:t>
      </w:r>
    </w:p>
    <w:p w14:paraId="4BCC2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1511CB3"/>
    <w:p w14:paraId="5D339C12">
      <w:pPr>
        <w:rPr>
          <w:rFonts w:ascii="Arial" w:hAnsi="Arial" w:eastAsia="Arial" w:cs="Arial"/>
          <w:b/>
          <w:sz w:val="36"/>
        </w:rPr>
      </w:pPr>
      <w:r>
        <w:rPr>
          <w:rFonts w:ascii="Arial" w:hAnsi="Arial" w:eastAsia="Arial" w:cs="Arial"/>
          <w:b/>
          <w:sz w:val="36"/>
        </w:rPr>
        <w:t>监督索引号53042400531400200111</w:t>
      </w: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99C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37D3A">
                          <w:pPr>
                            <w:pStyle w:val="3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D37D3A">
                    <w:pPr>
                      <w:pStyle w:val="3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abstractNum w:abstractNumId="1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zZjBmYjMwMGFiODA2Y2Y0NGFhZjk0NWQyMTMxYTgifQ=="/>
  </w:docVars>
  <w:rsids>
    <w:rsidRoot w:val="31956C19"/>
    <w:rsid w:val="00522102"/>
    <w:rsid w:val="013E4657"/>
    <w:rsid w:val="014557C2"/>
    <w:rsid w:val="016C71F3"/>
    <w:rsid w:val="01DB6127"/>
    <w:rsid w:val="01EC3E90"/>
    <w:rsid w:val="020C62E0"/>
    <w:rsid w:val="02B50726"/>
    <w:rsid w:val="02C908BF"/>
    <w:rsid w:val="02E66B31"/>
    <w:rsid w:val="035166A0"/>
    <w:rsid w:val="03577A2F"/>
    <w:rsid w:val="0362419F"/>
    <w:rsid w:val="03D445B4"/>
    <w:rsid w:val="03EE372A"/>
    <w:rsid w:val="040A684F"/>
    <w:rsid w:val="044004C3"/>
    <w:rsid w:val="045D72C7"/>
    <w:rsid w:val="04842AA6"/>
    <w:rsid w:val="04A44EF6"/>
    <w:rsid w:val="052D4EEB"/>
    <w:rsid w:val="05DE61E6"/>
    <w:rsid w:val="06287461"/>
    <w:rsid w:val="066E7A48"/>
    <w:rsid w:val="06915006"/>
    <w:rsid w:val="06A42F8B"/>
    <w:rsid w:val="06DB44D3"/>
    <w:rsid w:val="06F04422"/>
    <w:rsid w:val="071023CF"/>
    <w:rsid w:val="07274834"/>
    <w:rsid w:val="081E4FBF"/>
    <w:rsid w:val="08FF3717"/>
    <w:rsid w:val="097053A7"/>
    <w:rsid w:val="09B47A1D"/>
    <w:rsid w:val="0A11678E"/>
    <w:rsid w:val="0A4E393A"/>
    <w:rsid w:val="0AAE262A"/>
    <w:rsid w:val="0AD81455"/>
    <w:rsid w:val="0AEB73DB"/>
    <w:rsid w:val="0B3C7C36"/>
    <w:rsid w:val="0CDB347F"/>
    <w:rsid w:val="0CEF15E1"/>
    <w:rsid w:val="0D1F511A"/>
    <w:rsid w:val="0D4B23B2"/>
    <w:rsid w:val="0D814026"/>
    <w:rsid w:val="0DF90220"/>
    <w:rsid w:val="0E1F739B"/>
    <w:rsid w:val="0EB21FBD"/>
    <w:rsid w:val="0F046CBD"/>
    <w:rsid w:val="0F242EBB"/>
    <w:rsid w:val="0F501F02"/>
    <w:rsid w:val="0FBD6E6C"/>
    <w:rsid w:val="0FCD3553"/>
    <w:rsid w:val="102962AF"/>
    <w:rsid w:val="10E6462C"/>
    <w:rsid w:val="1107444E"/>
    <w:rsid w:val="110E3E23"/>
    <w:rsid w:val="11B60016"/>
    <w:rsid w:val="12F7648C"/>
    <w:rsid w:val="13001549"/>
    <w:rsid w:val="13370CE3"/>
    <w:rsid w:val="133C654F"/>
    <w:rsid w:val="13517FF7"/>
    <w:rsid w:val="135728A7"/>
    <w:rsid w:val="136046DE"/>
    <w:rsid w:val="136C4E31"/>
    <w:rsid w:val="142373EF"/>
    <w:rsid w:val="1424570B"/>
    <w:rsid w:val="14A8633C"/>
    <w:rsid w:val="14D40EDF"/>
    <w:rsid w:val="14FE7D0A"/>
    <w:rsid w:val="157E0E4B"/>
    <w:rsid w:val="15AA1C40"/>
    <w:rsid w:val="15AE34DE"/>
    <w:rsid w:val="15B825AF"/>
    <w:rsid w:val="15D64E09"/>
    <w:rsid w:val="15F27E2C"/>
    <w:rsid w:val="16120B13"/>
    <w:rsid w:val="16461969"/>
    <w:rsid w:val="16904994"/>
    <w:rsid w:val="16B234A2"/>
    <w:rsid w:val="16F13FCB"/>
    <w:rsid w:val="16F511B2"/>
    <w:rsid w:val="17FD699F"/>
    <w:rsid w:val="187C78C4"/>
    <w:rsid w:val="18CB43A7"/>
    <w:rsid w:val="18ED6A14"/>
    <w:rsid w:val="190855FC"/>
    <w:rsid w:val="194F6D87"/>
    <w:rsid w:val="196071E6"/>
    <w:rsid w:val="1996172A"/>
    <w:rsid w:val="19BD63E6"/>
    <w:rsid w:val="19E00326"/>
    <w:rsid w:val="19E51499"/>
    <w:rsid w:val="1A40444E"/>
    <w:rsid w:val="1A9B5FFB"/>
    <w:rsid w:val="1A9D3B0A"/>
    <w:rsid w:val="1AA475A6"/>
    <w:rsid w:val="1AAC18EF"/>
    <w:rsid w:val="1AD734D7"/>
    <w:rsid w:val="1AF47500"/>
    <w:rsid w:val="1B1F6C2C"/>
    <w:rsid w:val="1B9015FE"/>
    <w:rsid w:val="1C2344FA"/>
    <w:rsid w:val="1C874A89"/>
    <w:rsid w:val="1CBF06C7"/>
    <w:rsid w:val="1CF739BD"/>
    <w:rsid w:val="1CFC0FD3"/>
    <w:rsid w:val="1D756FD8"/>
    <w:rsid w:val="1D8F1E47"/>
    <w:rsid w:val="1DBC4C07"/>
    <w:rsid w:val="1E1C18E3"/>
    <w:rsid w:val="1E285DF8"/>
    <w:rsid w:val="1E640D74"/>
    <w:rsid w:val="1E707ECB"/>
    <w:rsid w:val="1E8C6387"/>
    <w:rsid w:val="1E965458"/>
    <w:rsid w:val="1ECF44C6"/>
    <w:rsid w:val="1F645556"/>
    <w:rsid w:val="1F7532BF"/>
    <w:rsid w:val="1FA12306"/>
    <w:rsid w:val="20A420AE"/>
    <w:rsid w:val="21301108"/>
    <w:rsid w:val="21690C01"/>
    <w:rsid w:val="21BA145D"/>
    <w:rsid w:val="2268710B"/>
    <w:rsid w:val="22BB723B"/>
    <w:rsid w:val="22FD55F0"/>
    <w:rsid w:val="23160915"/>
    <w:rsid w:val="235651B5"/>
    <w:rsid w:val="23596749"/>
    <w:rsid w:val="236553F8"/>
    <w:rsid w:val="23841D23"/>
    <w:rsid w:val="23A423C5"/>
    <w:rsid w:val="23F8626D"/>
    <w:rsid w:val="240F5A90"/>
    <w:rsid w:val="24822706"/>
    <w:rsid w:val="24DA2E85"/>
    <w:rsid w:val="257162D7"/>
    <w:rsid w:val="25D36F91"/>
    <w:rsid w:val="25D57EBC"/>
    <w:rsid w:val="25EF3DCB"/>
    <w:rsid w:val="262477ED"/>
    <w:rsid w:val="263B7010"/>
    <w:rsid w:val="26887D7C"/>
    <w:rsid w:val="26EF37F0"/>
    <w:rsid w:val="27392E24"/>
    <w:rsid w:val="27473793"/>
    <w:rsid w:val="27653C19"/>
    <w:rsid w:val="27897907"/>
    <w:rsid w:val="27CB6172"/>
    <w:rsid w:val="2818512F"/>
    <w:rsid w:val="286B1703"/>
    <w:rsid w:val="288A3FD6"/>
    <w:rsid w:val="28A6273B"/>
    <w:rsid w:val="28E079FB"/>
    <w:rsid w:val="293B2E83"/>
    <w:rsid w:val="294B31AA"/>
    <w:rsid w:val="2A005C83"/>
    <w:rsid w:val="2A377AEF"/>
    <w:rsid w:val="2A585CB7"/>
    <w:rsid w:val="2A994305"/>
    <w:rsid w:val="2AF479DB"/>
    <w:rsid w:val="2B193698"/>
    <w:rsid w:val="2B381D70"/>
    <w:rsid w:val="2B412F4E"/>
    <w:rsid w:val="2B467439"/>
    <w:rsid w:val="2B9B40AD"/>
    <w:rsid w:val="2BBF5FEE"/>
    <w:rsid w:val="2C293467"/>
    <w:rsid w:val="2C5219A4"/>
    <w:rsid w:val="2C8E3C12"/>
    <w:rsid w:val="2C8F3D68"/>
    <w:rsid w:val="2CED73F6"/>
    <w:rsid w:val="2D0217A7"/>
    <w:rsid w:val="2D546C0A"/>
    <w:rsid w:val="2D74105A"/>
    <w:rsid w:val="2DCE2225"/>
    <w:rsid w:val="2E241154"/>
    <w:rsid w:val="2E5C08F8"/>
    <w:rsid w:val="2EEE0998"/>
    <w:rsid w:val="2F1A178D"/>
    <w:rsid w:val="2F5E78CC"/>
    <w:rsid w:val="2FE222AB"/>
    <w:rsid w:val="30420F9B"/>
    <w:rsid w:val="304E02C8"/>
    <w:rsid w:val="30817D16"/>
    <w:rsid w:val="30AB2DD1"/>
    <w:rsid w:val="30BF083E"/>
    <w:rsid w:val="30C45E54"/>
    <w:rsid w:val="30E402A4"/>
    <w:rsid w:val="30E65DCB"/>
    <w:rsid w:val="311741D6"/>
    <w:rsid w:val="31857392"/>
    <w:rsid w:val="31956C19"/>
    <w:rsid w:val="319770C5"/>
    <w:rsid w:val="32A12944"/>
    <w:rsid w:val="33072028"/>
    <w:rsid w:val="331210F9"/>
    <w:rsid w:val="33370B5F"/>
    <w:rsid w:val="33371FCF"/>
    <w:rsid w:val="33466FF4"/>
    <w:rsid w:val="336D071C"/>
    <w:rsid w:val="33770F5C"/>
    <w:rsid w:val="34346E4D"/>
    <w:rsid w:val="346C4839"/>
    <w:rsid w:val="34CE2DFE"/>
    <w:rsid w:val="34D643A8"/>
    <w:rsid w:val="353335A8"/>
    <w:rsid w:val="35350F5A"/>
    <w:rsid w:val="35F86DCB"/>
    <w:rsid w:val="36413AA3"/>
    <w:rsid w:val="36BE70F6"/>
    <w:rsid w:val="372C69E5"/>
    <w:rsid w:val="37E312B6"/>
    <w:rsid w:val="380D00E1"/>
    <w:rsid w:val="38107BD1"/>
    <w:rsid w:val="381476C1"/>
    <w:rsid w:val="38A30A45"/>
    <w:rsid w:val="38BB5D8F"/>
    <w:rsid w:val="38DD7AB3"/>
    <w:rsid w:val="393F076E"/>
    <w:rsid w:val="395E1562"/>
    <w:rsid w:val="39736669"/>
    <w:rsid w:val="399F2FBB"/>
    <w:rsid w:val="39BD65FA"/>
    <w:rsid w:val="39DE7F87"/>
    <w:rsid w:val="39E649DB"/>
    <w:rsid w:val="3A347BA7"/>
    <w:rsid w:val="3A37320A"/>
    <w:rsid w:val="3AB331C1"/>
    <w:rsid w:val="3B304812"/>
    <w:rsid w:val="3B351E28"/>
    <w:rsid w:val="3B7D37CF"/>
    <w:rsid w:val="3BD83B26"/>
    <w:rsid w:val="3BF21AC7"/>
    <w:rsid w:val="3BFA097C"/>
    <w:rsid w:val="3CA134EE"/>
    <w:rsid w:val="3CD45671"/>
    <w:rsid w:val="3CE358B4"/>
    <w:rsid w:val="3D0777F5"/>
    <w:rsid w:val="3D491BBB"/>
    <w:rsid w:val="3D7B5AED"/>
    <w:rsid w:val="3D9D1F07"/>
    <w:rsid w:val="3DA54918"/>
    <w:rsid w:val="3DFB09DB"/>
    <w:rsid w:val="3E0E6961"/>
    <w:rsid w:val="3E1D0952"/>
    <w:rsid w:val="3E75253C"/>
    <w:rsid w:val="3EE6168C"/>
    <w:rsid w:val="3F0264C5"/>
    <w:rsid w:val="3F12422F"/>
    <w:rsid w:val="3F7D78FA"/>
    <w:rsid w:val="3FA255B3"/>
    <w:rsid w:val="3FF102E8"/>
    <w:rsid w:val="40077B0C"/>
    <w:rsid w:val="40BC6B48"/>
    <w:rsid w:val="40C31C84"/>
    <w:rsid w:val="40CF23D7"/>
    <w:rsid w:val="40DE6ABE"/>
    <w:rsid w:val="411E510D"/>
    <w:rsid w:val="413E6D3C"/>
    <w:rsid w:val="41BE244C"/>
    <w:rsid w:val="429D02B3"/>
    <w:rsid w:val="43071444"/>
    <w:rsid w:val="433C5D1E"/>
    <w:rsid w:val="434C5AC6"/>
    <w:rsid w:val="43903EC6"/>
    <w:rsid w:val="43923B90"/>
    <w:rsid w:val="43DE2931"/>
    <w:rsid w:val="43E22422"/>
    <w:rsid w:val="43F81C45"/>
    <w:rsid w:val="447C0AC8"/>
    <w:rsid w:val="448B73EA"/>
    <w:rsid w:val="44915BF6"/>
    <w:rsid w:val="44D279CC"/>
    <w:rsid w:val="44EA2F34"/>
    <w:rsid w:val="451900C5"/>
    <w:rsid w:val="45277812"/>
    <w:rsid w:val="45877724"/>
    <w:rsid w:val="46380A1F"/>
    <w:rsid w:val="46893028"/>
    <w:rsid w:val="46B362F7"/>
    <w:rsid w:val="47152B0E"/>
    <w:rsid w:val="471E7C15"/>
    <w:rsid w:val="473311E6"/>
    <w:rsid w:val="474358CD"/>
    <w:rsid w:val="47601FC8"/>
    <w:rsid w:val="478337F5"/>
    <w:rsid w:val="47B16CDB"/>
    <w:rsid w:val="47DB3D58"/>
    <w:rsid w:val="47E33174"/>
    <w:rsid w:val="48153421"/>
    <w:rsid w:val="483671E0"/>
    <w:rsid w:val="483B2A48"/>
    <w:rsid w:val="490925F1"/>
    <w:rsid w:val="492D2391"/>
    <w:rsid w:val="49315AE0"/>
    <w:rsid w:val="49507E2D"/>
    <w:rsid w:val="498D1081"/>
    <w:rsid w:val="49B22896"/>
    <w:rsid w:val="49E62540"/>
    <w:rsid w:val="4A914BA1"/>
    <w:rsid w:val="4AB4263E"/>
    <w:rsid w:val="4B197995"/>
    <w:rsid w:val="4B247E30"/>
    <w:rsid w:val="4B4B2FA2"/>
    <w:rsid w:val="4B5D1358"/>
    <w:rsid w:val="4BC13280"/>
    <w:rsid w:val="4C1E4213"/>
    <w:rsid w:val="4C527899"/>
    <w:rsid w:val="4C793B3F"/>
    <w:rsid w:val="4C8229F4"/>
    <w:rsid w:val="4C926DBD"/>
    <w:rsid w:val="4CFB4554"/>
    <w:rsid w:val="4D530EC6"/>
    <w:rsid w:val="4D9D560B"/>
    <w:rsid w:val="4DA90454"/>
    <w:rsid w:val="4E573A0C"/>
    <w:rsid w:val="4E6B74B7"/>
    <w:rsid w:val="4E712D20"/>
    <w:rsid w:val="4E8A3DE2"/>
    <w:rsid w:val="4E922C96"/>
    <w:rsid w:val="4EC372F3"/>
    <w:rsid w:val="4F1A33B7"/>
    <w:rsid w:val="4F1D754B"/>
    <w:rsid w:val="4F642884"/>
    <w:rsid w:val="4F6C5EFF"/>
    <w:rsid w:val="4F912F4E"/>
    <w:rsid w:val="50395ABF"/>
    <w:rsid w:val="509C1BAA"/>
    <w:rsid w:val="50D650BC"/>
    <w:rsid w:val="50D852D8"/>
    <w:rsid w:val="50ED0658"/>
    <w:rsid w:val="51085492"/>
    <w:rsid w:val="510A745C"/>
    <w:rsid w:val="51497F84"/>
    <w:rsid w:val="5176064D"/>
    <w:rsid w:val="51B178D7"/>
    <w:rsid w:val="52350508"/>
    <w:rsid w:val="52BC29D7"/>
    <w:rsid w:val="52D10231"/>
    <w:rsid w:val="534A1D91"/>
    <w:rsid w:val="53FF492A"/>
    <w:rsid w:val="54212AF2"/>
    <w:rsid w:val="542B571F"/>
    <w:rsid w:val="544D7D8B"/>
    <w:rsid w:val="545F7ABE"/>
    <w:rsid w:val="5492579E"/>
    <w:rsid w:val="54AD3F9B"/>
    <w:rsid w:val="55342CF9"/>
    <w:rsid w:val="553F298A"/>
    <w:rsid w:val="55C808A4"/>
    <w:rsid w:val="55E97640"/>
    <w:rsid w:val="56187F25"/>
    <w:rsid w:val="562543F0"/>
    <w:rsid w:val="562763BA"/>
    <w:rsid w:val="56334D5F"/>
    <w:rsid w:val="563A60ED"/>
    <w:rsid w:val="56553E52"/>
    <w:rsid w:val="569F23F4"/>
    <w:rsid w:val="56A812A9"/>
    <w:rsid w:val="56CB3407"/>
    <w:rsid w:val="56EA18C1"/>
    <w:rsid w:val="57193F55"/>
    <w:rsid w:val="57B819BF"/>
    <w:rsid w:val="57C739B1"/>
    <w:rsid w:val="57DB3B78"/>
    <w:rsid w:val="580F7106"/>
    <w:rsid w:val="583077A8"/>
    <w:rsid w:val="586D67E5"/>
    <w:rsid w:val="58775B87"/>
    <w:rsid w:val="5901594F"/>
    <w:rsid w:val="593037D7"/>
    <w:rsid w:val="59774017"/>
    <w:rsid w:val="59D70A8B"/>
    <w:rsid w:val="59E22D24"/>
    <w:rsid w:val="5A33532D"/>
    <w:rsid w:val="5A4A08C9"/>
    <w:rsid w:val="5AA36B2A"/>
    <w:rsid w:val="5B661732"/>
    <w:rsid w:val="5B834092"/>
    <w:rsid w:val="5BBB7CD0"/>
    <w:rsid w:val="5BBD57F6"/>
    <w:rsid w:val="5BC414F3"/>
    <w:rsid w:val="5C0E6052"/>
    <w:rsid w:val="5C734107"/>
    <w:rsid w:val="5CA263B9"/>
    <w:rsid w:val="5CD32DF8"/>
    <w:rsid w:val="5CE2128D"/>
    <w:rsid w:val="5CEB6393"/>
    <w:rsid w:val="5D156F6C"/>
    <w:rsid w:val="5D9F2CDA"/>
    <w:rsid w:val="5DA87DE0"/>
    <w:rsid w:val="5DC664B8"/>
    <w:rsid w:val="5DE84681"/>
    <w:rsid w:val="5EA22A81"/>
    <w:rsid w:val="5F074FDA"/>
    <w:rsid w:val="5F1D65AC"/>
    <w:rsid w:val="5F2E2567"/>
    <w:rsid w:val="5F4D6E91"/>
    <w:rsid w:val="5FA168CF"/>
    <w:rsid w:val="5FBC5DC5"/>
    <w:rsid w:val="5FC627A0"/>
    <w:rsid w:val="60194FC5"/>
    <w:rsid w:val="601D2D07"/>
    <w:rsid w:val="602816AC"/>
    <w:rsid w:val="605204D7"/>
    <w:rsid w:val="60956D42"/>
    <w:rsid w:val="60D94755"/>
    <w:rsid w:val="60E750C3"/>
    <w:rsid w:val="617C580C"/>
    <w:rsid w:val="629628FD"/>
    <w:rsid w:val="62C0797A"/>
    <w:rsid w:val="62DD052C"/>
    <w:rsid w:val="62F87114"/>
    <w:rsid w:val="62FD472A"/>
    <w:rsid w:val="63604CB9"/>
    <w:rsid w:val="63A4729C"/>
    <w:rsid w:val="63B219B9"/>
    <w:rsid w:val="6410410C"/>
    <w:rsid w:val="64265F03"/>
    <w:rsid w:val="64370110"/>
    <w:rsid w:val="64D94D23"/>
    <w:rsid w:val="65044496"/>
    <w:rsid w:val="650F6997"/>
    <w:rsid w:val="65474383"/>
    <w:rsid w:val="658729D1"/>
    <w:rsid w:val="65BD2836"/>
    <w:rsid w:val="662C6800"/>
    <w:rsid w:val="670544F5"/>
    <w:rsid w:val="67915D89"/>
    <w:rsid w:val="680C5410"/>
    <w:rsid w:val="681744E0"/>
    <w:rsid w:val="685C6397"/>
    <w:rsid w:val="690E2FA5"/>
    <w:rsid w:val="69180510"/>
    <w:rsid w:val="69216C99"/>
    <w:rsid w:val="69362744"/>
    <w:rsid w:val="69A00505"/>
    <w:rsid w:val="69A47FF6"/>
    <w:rsid w:val="69AF24F6"/>
    <w:rsid w:val="6A707ED8"/>
    <w:rsid w:val="6ADD6C9C"/>
    <w:rsid w:val="6B080110"/>
    <w:rsid w:val="6C0703C8"/>
    <w:rsid w:val="6C2076DB"/>
    <w:rsid w:val="6D0540F4"/>
    <w:rsid w:val="6D056FFD"/>
    <w:rsid w:val="6DA2484C"/>
    <w:rsid w:val="6E172AFA"/>
    <w:rsid w:val="6E427DDD"/>
    <w:rsid w:val="6E753D0F"/>
    <w:rsid w:val="6E934195"/>
    <w:rsid w:val="6EFE3D04"/>
    <w:rsid w:val="6F045092"/>
    <w:rsid w:val="6F474091"/>
    <w:rsid w:val="6F887A72"/>
    <w:rsid w:val="6FC22F83"/>
    <w:rsid w:val="70223A22"/>
    <w:rsid w:val="70251764"/>
    <w:rsid w:val="704F058F"/>
    <w:rsid w:val="707D334E"/>
    <w:rsid w:val="70B052EC"/>
    <w:rsid w:val="71015D2D"/>
    <w:rsid w:val="71902C0D"/>
    <w:rsid w:val="71D55997"/>
    <w:rsid w:val="720553A9"/>
    <w:rsid w:val="722C2936"/>
    <w:rsid w:val="722F0678"/>
    <w:rsid w:val="729674BC"/>
    <w:rsid w:val="72F86CBC"/>
    <w:rsid w:val="730B4C41"/>
    <w:rsid w:val="73410663"/>
    <w:rsid w:val="734939BC"/>
    <w:rsid w:val="73F32794"/>
    <w:rsid w:val="74143C26"/>
    <w:rsid w:val="743B4721"/>
    <w:rsid w:val="746E36DA"/>
    <w:rsid w:val="74B258FF"/>
    <w:rsid w:val="74D55AE3"/>
    <w:rsid w:val="750C6A4F"/>
    <w:rsid w:val="754D7793"/>
    <w:rsid w:val="75BB0783"/>
    <w:rsid w:val="75E63744"/>
    <w:rsid w:val="7610256F"/>
    <w:rsid w:val="76263B40"/>
    <w:rsid w:val="76312C11"/>
    <w:rsid w:val="765661D4"/>
    <w:rsid w:val="77057BFA"/>
    <w:rsid w:val="77117455"/>
    <w:rsid w:val="772B7EA7"/>
    <w:rsid w:val="777A2396"/>
    <w:rsid w:val="77F263D0"/>
    <w:rsid w:val="781E5417"/>
    <w:rsid w:val="78AF2E46"/>
    <w:rsid w:val="78E33F6B"/>
    <w:rsid w:val="79142F17"/>
    <w:rsid w:val="798412AA"/>
    <w:rsid w:val="79A35347"/>
    <w:rsid w:val="79C124FE"/>
    <w:rsid w:val="79FC52E4"/>
    <w:rsid w:val="7A3F14D3"/>
    <w:rsid w:val="7A9279F6"/>
    <w:rsid w:val="7AD4000F"/>
    <w:rsid w:val="7B564EC8"/>
    <w:rsid w:val="7B58479C"/>
    <w:rsid w:val="7B7610C6"/>
    <w:rsid w:val="7C3F3CD9"/>
    <w:rsid w:val="7C4E5B9F"/>
    <w:rsid w:val="7C66738C"/>
    <w:rsid w:val="7C991510"/>
    <w:rsid w:val="7CCE0618"/>
    <w:rsid w:val="7D4E22FA"/>
    <w:rsid w:val="7D5947FB"/>
    <w:rsid w:val="7D9B3066"/>
    <w:rsid w:val="7DC04C64"/>
    <w:rsid w:val="7DDF08D3"/>
    <w:rsid w:val="7E290672"/>
    <w:rsid w:val="7E292420"/>
    <w:rsid w:val="7F2257ED"/>
    <w:rsid w:val="7F376DBE"/>
    <w:rsid w:val="7F8A2503"/>
    <w:rsid w:val="7F8F1536"/>
    <w:rsid w:val="7F914720"/>
    <w:rsid w:val="7FAC3308"/>
    <w:rsid w:val="7FBD3767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16</Pages>
  <Words>6830</Words>
  <Characters>7797</Characters>
  <Lines>0</Lines>
  <Paragraphs>0</Paragraphs>
  <TotalTime>1</TotalTime>
  <ScaleCrop>false</ScaleCrop>
  <LinksUpToDate>false</LinksUpToDate>
  <CharactersWithSpaces>7802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2025-02-25T08:53:00Z</dcterms:created>
  <dc:creator>执着</dc:creator>
  <cp:lastModifiedBy>我的南辕北辙</cp:lastModifiedBy>
  <dcterms:modified xsi:type="dcterms:W3CDTF">2025-03-03T02:10:30Z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B30B25F5F60F465EA0262B9D71F5559A_11</vt:lpwstr>
  </property>
  <property fmtid="{D5CDD505-2E9C-101B-9397-08002B2CF9AE}" pid="3" name="KSOProductBuildVer">
    <vt:lpwstr>2052-12.1.0.17140</vt:lpwstr>
  </property>
</Properties>
</file>