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12D0D">
      <w:pPr>
        <w:rPr>
          <w:rFonts w:ascii="Arial" w:hAnsi="Arial" w:eastAsia="Arial" w:cs="Arial"/>
          <w:b/>
          <w:sz w:val="36"/>
        </w:rPr>
      </w:pPr>
      <w:r>
        <w:rPr>
          <w:rFonts w:ascii="Arial" w:hAnsi="Arial" w:eastAsia="Arial" w:cs="Arial"/>
          <w:b/>
          <w:sz w:val="36"/>
        </w:rPr>
        <w:t>监督索引号53042400136000601000</w:t>
      </w:r>
    </w:p>
    <w:p w14:paraId="161C0474">
      <w:pPr>
        <w:pStyle w:val="5"/>
        <w:keepNext w:val="0"/>
        <w:keepLines w:val="0"/>
        <w:widowControl/>
        <w:suppressLineNumbers w:val="0"/>
        <w:spacing w:before="75" w:beforeAutospacing="0" w:after="75" w:afterAutospacing="0" w:line="1050" w:lineRule="atLeast"/>
        <w:ind w:left="0" w:right="0"/>
        <w:jc w:val="center"/>
        <w:rPr>
          <w:rFonts w:hint="eastAsia" w:ascii="方正小标宋简体" w:hAnsi="方正小标宋简体" w:eastAsia="方正小标宋简体" w:cs="方正小标宋简体"/>
          <w:sz w:val="36"/>
          <w:szCs w:val="36"/>
          <w:lang w:val="zh-CN" w:eastAsia="zh-CN"/>
        </w:rPr>
      </w:pPr>
      <w:r>
        <w:rPr>
          <w:rFonts w:hint="eastAsia" w:ascii="方正小标宋简体" w:hAnsi="方正小标宋简体" w:eastAsia="方正小标宋简体" w:cs="方正小标宋简体"/>
          <w:sz w:val="36"/>
          <w:szCs w:val="36"/>
          <w:lang w:val="zh-CN" w:eastAsia="zh-CN"/>
        </w:rPr>
        <w:t>华宁县第六中学202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lang w:val="zh-CN" w:eastAsia="zh-CN"/>
        </w:rPr>
        <w:t>年度决算公开</w:t>
      </w:r>
    </w:p>
    <w:p w14:paraId="7088679D">
      <w:pPr>
        <w:pStyle w:val="5"/>
        <w:keepNext w:val="0"/>
        <w:keepLines w:val="0"/>
        <w:widowControl/>
        <w:suppressLineNumbers w:val="0"/>
        <w:spacing w:before="75" w:beforeAutospacing="0" w:after="75" w:afterAutospacing="0" w:line="1050" w:lineRule="atLeast"/>
        <w:ind w:left="0" w:right="0"/>
        <w:jc w:val="center"/>
        <w:rPr>
          <w:rFonts w:hint="eastAsia" w:ascii="方正小标宋简体" w:hAnsi="方正小标宋简体" w:eastAsia="方正小标宋简体" w:cs="Times New Roman"/>
          <w:sz w:val="36"/>
          <w:szCs w:val="36"/>
          <w:lang w:val="zh-CN" w:eastAsia="zh-CN"/>
        </w:rPr>
      </w:pPr>
      <w:r>
        <w:rPr>
          <w:rFonts w:hint="eastAsia" w:ascii="方正小标宋简体" w:hAnsi="方正小标宋简体" w:eastAsia="方正小标宋简体" w:cs="方正小标宋简体"/>
          <w:sz w:val="36"/>
          <w:szCs w:val="36"/>
          <w:lang w:val="zh-CN" w:eastAsia="zh-CN"/>
        </w:rPr>
        <w:t>目录</w:t>
      </w:r>
    </w:p>
    <w:p w14:paraId="285C49FA">
      <w:pPr>
        <w:jc w:val="left"/>
        <w:rPr>
          <w:rFonts w:hint="eastAsia" w:ascii="黑体" w:hAnsi="黑体" w:eastAsia="黑体"/>
          <w:sz w:val="30"/>
          <w:szCs w:val="30"/>
          <w:highlight w:val="none"/>
        </w:rPr>
      </w:pPr>
    </w:p>
    <w:p w14:paraId="136427FB">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3B6AE7AB">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22A6427A">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1899CB69">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9AD395C">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4A607FE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4C6983A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5C51121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0DC2137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675321A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127AE0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49E3319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42DCFA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5BAF840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65FDCDF7">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37495A76">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4C43FDDA">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612D52B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14A171B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7B1963E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29C283B7">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27D6391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0D6184A7">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4A6692D">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5A8B836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187377FC">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2E78DC3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14954A9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72D4573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130864A3">
      <w:pPr>
        <w:jc w:val="center"/>
        <w:rPr>
          <w:rFonts w:hint="eastAsia" w:ascii="黑体" w:hAnsi="黑体" w:eastAsia="黑体"/>
          <w:sz w:val="32"/>
          <w:szCs w:val="32"/>
          <w:highlight w:val="none"/>
        </w:rPr>
      </w:pPr>
    </w:p>
    <w:p w14:paraId="08916FBB">
      <w:pPr>
        <w:jc w:val="center"/>
        <w:rPr>
          <w:rFonts w:hint="eastAsia" w:ascii="黑体" w:hAnsi="黑体" w:eastAsia="黑体"/>
          <w:sz w:val="32"/>
          <w:szCs w:val="32"/>
          <w:highlight w:val="none"/>
        </w:rPr>
      </w:pPr>
    </w:p>
    <w:p w14:paraId="7F9F0EEF">
      <w:pPr>
        <w:jc w:val="center"/>
        <w:rPr>
          <w:rFonts w:hint="eastAsia" w:ascii="黑体" w:hAnsi="黑体" w:eastAsia="黑体"/>
          <w:sz w:val="32"/>
          <w:szCs w:val="32"/>
          <w:highlight w:val="none"/>
        </w:rPr>
      </w:pPr>
    </w:p>
    <w:p w14:paraId="2A64EFDF">
      <w:pPr>
        <w:jc w:val="center"/>
        <w:rPr>
          <w:rFonts w:hint="eastAsia" w:ascii="黑体" w:hAnsi="黑体" w:eastAsia="黑体"/>
          <w:sz w:val="32"/>
          <w:szCs w:val="32"/>
          <w:highlight w:val="none"/>
        </w:rPr>
      </w:pPr>
    </w:p>
    <w:p w14:paraId="76E2EB9B">
      <w:pPr>
        <w:jc w:val="center"/>
        <w:rPr>
          <w:rFonts w:hint="eastAsia" w:ascii="黑体" w:hAnsi="黑体" w:eastAsia="黑体"/>
          <w:sz w:val="32"/>
          <w:szCs w:val="32"/>
          <w:highlight w:val="none"/>
        </w:rPr>
      </w:pPr>
    </w:p>
    <w:p w14:paraId="55F13CCF">
      <w:pPr>
        <w:jc w:val="center"/>
        <w:rPr>
          <w:rFonts w:hint="eastAsia" w:ascii="黑体" w:hAnsi="黑体" w:eastAsia="黑体"/>
          <w:sz w:val="32"/>
          <w:szCs w:val="32"/>
          <w:highlight w:val="none"/>
        </w:rPr>
      </w:pPr>
    </w:p>
    <w:p w14:paraId="651AA703">
      <w:pPr>
        <w:jc w:val="center"/>
        <w:rPr>
          <w:rFonts w:hint="eastAsia" w:ascii="黑体" w:hAnsi="黑体" w:eastAsia="黑体"/>
          <w:sz w:val="32"/>
          <w:szCs w:val="32"/>
          <w:highlight w:val="none"/>
        </w:rPr>
      </w:pPr>
    </w:p>
    <w:p w14:paraId="01B4479E">
      <w:pPr>
        <w:jc w:val="both"/>
        <w:rPr>
          <w:rFonts w:hint="eastAsia" w:ascii="黑体" w:hAnsi="黑体" w:eastAsia="黑体"/>
          <w:sz w:val="32"/>
          <w:szCs w:val="32"/>
          <w:highlight w:val="none"/>
        </w:rPr>
      </w:pPr>
    </w:p>
    <w:p w14:paraId="5B60216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0B57A948">
      <w:pPr>
        <w:spacing w:line="600" w:lineRule="exact"/>
        <w:ind w:firstLine="600" w:firstLineChars="200"/>
        <w:jc w:val="both"/>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0838C273">
      <w:pPr>
        <w:spacing w:line="60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全面执行、贯彻党和国家的教育方针、政策、法规，认真执行国家的课程计划和有关规定，实施小学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5DC35182">
      <w:pPr>
        <w:spacing w:line="600" w:lineRule="exact"/>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03F266DA">
      <w:pPr>
        <w:spacing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32D9E455">
      <w:pPr>
        <w:spacing w:line="600" w:lineRule="exact"/>
        <w:ind w:firstLine="420" w:firstLineChars="200"/>
        <w:jc w:val="both"/>
        <w:rPr>
          <w:rFonts w:hint="eastAsia" w:ascii="仿宋" w:hAnsi="仿宋" w:eastAsia="仿宋" w:cs="仿宋"/>
          <w:sz w:val="30"/>
          <w:szCs w:val="30"/>
          <w:highlight w:val="none"/>
          <w:lang w:val="en-US" w:eastAsia="zh-CN"/>
        </w:rPr>
      </w:pPr>
      <w:r>
        <w:rPr>
          <w:rFonts w:hint="eastAsia"/>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 w:hAnsi="仿宋" w:eastAsia="仿宋" w:cs="仿宋"/>
          <w:sz w:val="30"/>
          <w:szCs w:val="30"/>
          <w:highlight w:val="none"/>
          <w:lang w:val="en-US" w:eastAsia="zh-CN"/>
        </w:rPr>
        <w:t>我部门共设置8个内设机构，即：行政办公室、教务处、总务处、安全处、教科室、工会、团委、学生资助中心。</w:t>
      </w:r>
    </w:p>
    <w:p w14:paraId="0BA63361">
      <w:pPr>
        <w:spacing w:line="600" w:lineRule="exact"/>
        <w:ind w:firstLine="600" w:firstLineChars="200"/>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我单位为基层预算单位，无下属单位。</w:t>
      </w:r>
    </w:p>
    <w:p w14:paraId="71782C18">
      <w:pPr>
        <w:spacing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626646B9">
      <w:pPr>
        <w:spacing w:line="60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我单位作为华宁县教育体育局</w:t>
      </w:r>
      <w:r>
        <w:rPr>
          <w:rFonts w:hint="eastAsia" w:ascii="仿宋" w:hAnsi="仿宋" w:eastAsia="仿宋" w:cs="仿宋"/>
          <w:sz w:val="30"/>
          <w:szCs w:val="30"/>
          <w:highlight w:val="none"/>
          <w:lang w:val="en-US" w:eastAsia="zh-CN"/>
        </w:rPr>
        <w:t>的</w:t>
      </w:r>
      <w:r>
        <w:rPr>
          <w:rFonts w:hint="eastAsia" w:ascii="仿宋" w:hAnsi="仿宋" w:eastAsia="仿宋" w:cs="仿宋"/>
          <w:sz w:val="30"/>
          <w:szCs w:val="30"/>
          <w:highlight w:val="none"/>
          <w:lang w:eastAsia="zh-CN"/>
        </w:rPr>
        <w:t>二级预算单位</w:t>
      </w:r>
      <w:r>
        <w:rPr>
          <w:rFonts w:hint="eastAsia" w:ascii="仿宋" w:hAnsi="仿宋" w:eastAsia="仿宋" w:cs="仿宋"/>
          <w:sz w:val="30"/>
          <w:szCs w:val="30"/>
          <w:highlight w:val="none"/>
        </w:rPr>
        <w:t>纳入</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年度部门决算编报</w:t>
      </w:r>
      <w:r>
        <w:rPr>
          <w:rFonts w:hint="eastAsia" w:ascii="仿宋" w:hAnsi="仿宋" w:eastAsia="仿宋" w:cs="仿宋"/>
          <w:sz w:val="30"/>
          <w:szCs w:val="30"/>
          <w:highlight w:val="none"/>
          <w:lang w:eastAsia="zh-CN"/>
        </w:rPr>
        <w:t>范围</w:t>
      </w:r>
      <w:r>
        <w:rPr>
          <w:rFonts w:hint="eastAsia" w:ascii="仿宋" w:hAnsi="仿宋" w:eastAsia="仿宋" w:cs="仿宋"/>
          <w:sz w:val="30"/>
          <w:szCs w:val="30"/>
          <w:highlight w:val="none"/>
        </w:rPr>
        <w:t>。</w:t>
      </w:r>
    </w:p>
    <w:p w14:paraId="0059D795">
      <w:pPr>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51FFCF91">
      <w:pPr>
        <w:spacing w:line="600" w:lineRule="exact"/>
        <w:ind w:firstLine="600" w:firstLineChars="200"/>
        <w:jc w:val="both"/>
        <w:rPr>
          <w:rFonts w:hint="eastAsia" w:ascii="仿宋" w:hAnsi="仿宋" w:eastAsia="仿宋" w:cs="仿宋"/>
          <w:kern w:val="0"/>
          <w:sz w:val="30"/>
          <w:szCs w:val="30"/>
          <w:highlight w:val="none"/>
          <w:lang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编制内</w:t>
      </w:r>
      <w:r>
        <w:rPr>
          <w:rFonts w:hint="eastAsia" w:ascii="仿宋" w:hAnsi="仿宋" w:eastAsia="仿宋" w:cs="仿宋"/>
          <w:sz w:val="30"/>
          <w:szCs w:val="30"/>
          <w:highlight w:val="none"/>
        </w:rPr>
        <w:t>实有人员</w:t>
      </w:r>
      <w:r>
        <w:rPr>
          <w:rFonts w:hint="eastAsia" w:ascii="仿宋" w:hAnsi="仿宋" w:eastAsia="仿宋" w:cs="仿宋"/>
          <w:color w:val="auto"/>
          <w:sz w:val="30"/>
          <w:szCs w:val="30"/>
          <w:lang w:val="en-US" w:eastAsia="zh-CN"/>
        </w:rPr>
        <w:t>123</w:t>
      </w:r>
      <w:r>
        <w:rPr>
          <w:rFonts w:hint="eastAsia" w:ascii="仿宋" w:hAnsi="仿宋" w:eastAsia="仿宋" w:cs="仿宋"/>
          <w:kern w:val="0"/>
          <w:sz w:val="30"/>
          <w:szCs w:val="30"/>
          <w:highlight w:val="none"/>
        </w:rPr>
        <w:t>人。</w:t>
      </w:r>
      <w:r>
        <w:rPr>
          <w:rFonts w:hint="eastAsia" w:ascii="仿宋" w:hAnsi="仿宋" w:eastAsia="仿宋" w:cs="仿宋"/>
          <w:b w:val="0"/>
          <w:bCs w:val="0"/>
          <w:kern w:val="0"/>
          <w:sz w:val="30"/>
          <w:szCs w:val="30"/>
          <w:highlight w:val="none"/>
          <w:lang w:eastAsia="zh-CN"/>
        </w:rPr>
        <w:t>包括</w:t>
      </w:r>
      <w:r>
        <w:rPr>
          <w:rFonts w:hint="eastAsia" w:ascii="仿宋" w:hAnsi="仿宋" w:eastAsia="仿宋" w:cs="仿宋"/>
          <w:kern w:val="0"/>
          <w:sz w:val="30"/>
          <w:szCs w:val="30"/>
          <w:highlight w:val="none"/>
          <w:lang w:eastAsia="zh-CN"/>
        </w:rPr>
        <w:t>财政拨款开支经费的</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eastAsia="zh-CN"/>
        </w:rPr>
        <w:t>公务员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参照公务员法管理人员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事业管理人员和专业技术人员</w:t>
      </w:r>
      <w:r>
        <w:rPr>
          <w:rFonts w:hint="eastAsia" w:ascii="仿宋" w:hAnsi="仿宋" w:eastAsia="仿宋" w:cs="仿宋"/>
          <w:color w:val="auto"/>
          <w:sz w:val="30"/>
          <w:szCs w:val="30"/>
          <w:lang w:val="en-US" w:eastAsia="zh-CN"/>
        </w:rPr>
        <w:t>122</w:t>
      </w:r>
      <w:r>
        <w:rPr>
          <w:rFonts w:hint="eastAsia" w:ascii="仿宋" w:hAnsi="仿宋" w:eastAsia="仿宋" w:cs="仿宋"/>
          <w:kern w:val="0"/>
          <w:sz w:val="30"/>
          <w:szCs w:val="30"/>
          <w:highlight w:val="none"/>
        </w:rPr>
        <w:t>人，机关和事业工人</w:t>
      </w:r>
      <w:r>
        <w:rPr>
          <w:rFonts w:hint="eastAsia" w:ascii="仿宋" w:hAnsi="仿宋" w:eastAsia="仿宋" w:cs="仿宋"/>
          <w:color w:val="auto"/>
          <w:sz w:val="30"/>
          <w:szCs w:val="30"/>
          <w:lang w:val="en-US" w:eastAsia="zh-CN"/>
        </w:rPr>
        <w:t>1</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；经费自理人员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p>
    <w:p w14:paraId="1396F9E7">
      <w:pPr>
        <w:spacing w:line="600" w:lineRule="exact"/>
        <w:ind w:firstLine="600" w:firstLineChars="200"/>
        <w:jc w:val="both"/>
        <w:rPr>
          <w:rFonts w:hint="eastAsia" w:ascii="仿宋" w:hAnsi="仿宋" w:eastAsia="仿宋" w:cs="仿宋"/>
          <w:kern w:val="0"/>
          <w:sz w:val="30"/>
          <w:szCs w:val="30"/>
          <w:highlight w:val="none"/>
          <w:lang w:val="en-US"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其他人员</w:t>
      </w:r>
      <w:r>
        <w:rPr>
          <w:rFonts w:hint="eastAsia" w:ascii="仿宋" w:hAnsi="仿宋" w:eastAsia="仿宋" w:cs="仿宋"/>
          <w:color w:val="auto"/>
          <w:sz w:val="30"/>
          <w:szCs w:val="30"/>
          <w:lang w:val="en-US" w:eastAsia="zh-CN"/>
        </w:rPr>
        <w:t>1</w:t>
      </w:r>
      <w:r>
        <w:rPr>
          <w:rFonts w:hint="eastAsia" w:ascii="仿宋" w:hAnsi="仿宋" w:eastAsia="仿宋" w:cs="仿宋"/>
          <w:sz w:val="30"/>
          <w:szCs w:val="30"/>
          <w:highlight w:val="none"/>
          <w:lang w:val="en-US" w:eastAsia="zh-CN"/>
        </w:rPr>
        <w:t>人。包括财政拨款开支经费的人员</w:t>
      </w:r>
      <w:r>
        <w:rPr>
          <w:rFonts w:hint="eastAsia" w:ascii="仿宋" w:hAnsi="仿宋" w:eastAsia="仿宋" w:cs="仿宋"/>
          <w:color w:val="auto"/>
          <w:sz w:val="30"/>
          <w:szCs w:val="30"/>
          <w:lang w:val="en-US" w:eastAsia="zh-CN"/>
        </w:rPr>
        <w:t>1</w:t>
      </w:r>
      <w:r>
        <w:rPr>
          <w:rFonts w:hint="eastAsia" w:ascii="仿宋" w:hAnsi="仿宋" w:eastAsia="仿宋" w:cs="仿宋"/>
          <w:sz w:val="30"/>
          <w:szCs w:val="30"/>
          <w:highlight w:val="none"/>
          <w:lang w:eastAsia="zh-CN"/>
        </w:rPr>
        <w:t>人；经费自理人员</w:t>
      </w:r>
      <w:r>
        <w:rPr>
          <w:rFonts w:hint="eastAsia" w:ascii="仿宋" w:hAnsi="仿宋" w:eastAsia="仿宋" w:cs="仿宋"/>
          <w:color w:val="auto"/>
          <w:sz w:val="30"/>
          <w:szCs w:val="30"/>
          <w:lang w:val="en-US" w:eastAsia="zh-CN"/>
        </w:rPr>
        <w:t>0</w:t>
      </w:r>
      <w:r>
        <w:rPr>
          <w:rFonts w:hint="eastAsia" w:ascii="仿宋" w:hAnsi="仿宋" w:eastAsia="仿宋" w:cs="仿宋"/>
          <w:sz w:val="30"/>
          <w:szCs w:val="30"/>
          <w:highlight w:val="none"/>
          <w:lang w:eastAsia="zh-CN"/>
        </w:rPr>
        <w:t>人。</w:t>
      </w:r>
    </w:p>
    <w:p w14:paraId="6DA7BA66">
      <w:pPr>
        <w:spacing w:line="600" w:lineRule="exact"/>
        <w:ind w:firstLine="600" w:firstLineChars="200"/>
        <w:jc w:val="both"/>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eastAsia="zh-CN"/>
        </w:rPr>
        <w:t>年末尚未移交</w:t>
      </w:r>
      <w:r>
        <w:rPr>
          <w:rFonts w:hint="eastAsia" w:ascii="仿宋" w:hAnsi="仿宋" w:eastAsia="仿宋" w:cs="仿宋"/>
          <w:kern w:val="0"/>
          <w:sz w:val="30"/>
          <w:szCs w:val="30"/>
          <w:highlight w:val="none"/>
        </w:rPr>
        <w:t>养老保险基金发放养老金的离退休人员</w:t>
      </w:r>
      <w:r>
        <w:rPr>
          <w:rFonts w:hint="eastAsia" w:ascii="仿宋" w:hAnsi="仿宋" w:eastAsia="仿宋" w:cs="仿宋"/>
          <w:kern w:val="0"/>
          <w:sz w:val="30"/>
          <w:szCs w:val="30"/>
          <w:highlight w:val="none"/>
          <w:lang w:eastAsia="zh-CN"/>
        </w:rPr>
        <w:t>共计</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）。年末</w:t>
      </w:r>
      <w:r>
        <w:rPr>
          <w:rFonts w:hint="eastAsia" w:ascii="仿宋" w:hAnsi="仿宋" w:eastAsia="仿宋" w:cs="仿宋"/>
          <w:kern w:val="0"/>
          <w:sz w:val="30"/>
          <w:szCs w:val="30"/>
          <w:highlight w:val="none"/>
        </w:rPr>
        <w:t>由养老保险基金发放养老金的离退休人员</w:t>
      </w:r>
      <w:r>
        <w:rPr>
          <w:rFonts w:hint="eastAsia" w:ascii="仿宋" w:hAnsi="仿宋" w:eastAsia="仿宋" w:cs="仿宋"/>
          <w:color w:val="auto"/>
          <w:sz w:val="30"/>
          <w:szCs w:val="30"/>
          <w:lang w:val="en-US" w:eastAsia="zh-CN"/>
        </w:rPr>
        <w:t>26</w:t>
      </w:r>
      <w:r>
        <w:rPr>
          <w:rFonts w:hint="eastAsia" w:ascii="仿宋" w:hAnsi="仿宋" w:eastAsia="仿宋" w:cs="仿宋"/>
          <w:kern w:val="0"/>
          <w:sz w:val="30"/>
          <w:szCs w:val="30"/>
          <w:highlight w:val="none"/>
          <w:lang w:val="en-US" w:eastAsia="zh-CN"/>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26</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年末学生</w:t>
      </w:r>
      <w:r>
        <w:rPr>
          <w:rFonts w:hint="eastAsia" w:ascii="仿宋" w:hAnsi="仿宋" w:eastAsia="仿宋" w:cs="仿宋"/>
          <w:color w:val="auto"/>
          <w:sz w:val="30"/>
          <w:szCs w:val="30"/>
          <w:lang w:val="en-US" w:eastAsia="zh-CN"/>
        </w:rPr>
        <w:t>1270</w:t>
      </w:r>
      <w:r>
        <w:rPr>
          <w:rFonts w:hint="eastAsia" w:ascii="仿宋" w:hAnsi="仿宋" w:eastAsia="仿宋" w:cs="仿宋"/>
          <w:kern w:val="0"/>
          <w:sz w:val="30"/>
          <w:szCs w:val="30"/>
          <w:highlight w:val="none"/>
          <w:lang w:val="en-US" w:eastAsia="zh-CN"/>
        </w:rPr>
        <w:t>人。年末遗属</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lang w:val="en-US" w:eastAsia="zh-CN"/>
        </w:rPr>
        <w:t>人。</w:t>
      </w:r>
    </w:p>
    <w:p w14:paraId="24829E39">
      <w:pPr>
        <w:spacing w:line="600" w:lineRule="exact"/>
        <w:ind w:firstLine="600" w:firstLineChars="200"/>
        <w:jc w:val="both"/>
        <w:rPr>
          <w:rFonts w:hint="eastAsia" w:ascii="仿宋" w:hAnsi="仿宋" w:eastAsia="仿宋" w:cs="仿宋"/>
          <w:color w:val="FF0000"/>
          <w:kern w:val="0"/>
          <w:sz w:val="30"/>
          <w:szCs w:val="30"/>
          <w:highlight w:val="none"/>
        </w:rPr>
      </w:pPr>
      <w:r>
        <w:rPr>
          <w:rFonts w:hint="eastAsia" w:ascii="仿宋" w:hAnsi="仿宋" w:eastAsia="仿宋" w:cs="仿宋"/>
          <w:b w:val="0"/>
          <w:bCs w:val="0"/>
          <w:sz w:val="30"/>
          <w:szCs w:val="30"/>
          <w:highlight w:val="none"/>
          <w:u w:val="none"/>
          <w:lang w:val="en-US" w:eastAsia="zh-CN"/>
        </w:rPr>
        <w:t>车辆编制0辆，在编实有车辆0辆，超编0辆。</w:t>
      </w:r>
    </w:p>
    <w:p w14:paraId="68DD0178">
      <w:pPr>
        <w:spacing w:line="600" w:lineRule="exact"/>
        <w:ind w:firstLine="600" w:firstLineChars="200"/>
        <w:jc w:val="both"/>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E000D1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kern w:val="0"/>
          <w:sz w:val="30"/>
          <w:szCs w:val="30"/>
          <w:lang w:val="en-US" w:eastAsia="zh-CN" w:bidi="ar"/>
        </w:rPr>
        <w:t>　　</w:t>
      </w:r>
      <w:r>
        <w:rPr>
          <w:rFonts w:hint="eastAsia" w:ascii="仿宋" w:hAnsi="仿宋" w:eastAsia="仿宋" w:cs="仿宋"/>
          <w:sz w:val="30"/>
          <w:szCs w:val="30"/>
          <w:highlight w:val="none"/>
          <w:lang w:val="en-US" w:eastAsia="zh-CN"/>
        </w:rPr>
        <w:t>2024年度，我单位在华宁县教育体育局领导下，认真贯彻《事业单位登记管理暂行条例》和《事业单位登记管理暂行实施细则》及有关法律、法规、政策，按照核准登记的宗旨及业务范围开展活动。 一年来主要开展的活动业务有： 1、加强思想政治工作，确保学校的持续健康发展。加强政治理论学习，是学校教育教学工作取得突破性成效的关键，也是强师兴校的指南。学校领导班子牢牢把握住正确的政治方向，坚持利用例会时间、强化教师的职业道德，铸就教师的崇高灵魂，提高教师素养，扎扎实实地强化了为人师表、无私奉献、教书育人、爱岗敬业的师德、师风建设。 2.开展学生德育活动。通过多种有效途径加强学生爱国主义教育和公民道德教育，强化法制、安全、心理健康教育，收到较好效果。 3.开展教学和教研活动。加强教学常规管理： ①抓常规。每月一次教学常规检查实实在在，有条不紊。②抓重视。重视教学工作的过程，每月组织月考教学质量测评，及时总结反馈，共同探讨解决，把问题解决在起始。③抓重点。突出初三毕业班的教学工作。认真召开初三每次月考的质量分析会，各个班级分析到学生人头，将有效人群牢牢抓在手中。 教务处加强督促并落实各项教学常规管理工作，提高教师早读、上课、听课、备课、改本、晚读、晚自习辅导等工作要求，落实监督检查，促成工作实效，实现我校教育质量提升的可持续发展。 教务处加强督促并落实各项教学常规管理工作，提高教师早读、上课、听课、备课、改本、晚读、晚自习辅导等工作要求，落实监督检查，促成工作实效，实现我校教育质量提升的可持续发展。 4.有效开展听课、说课与评课活动，加强集体备课，增强校本教研实效。 5.开展教师培训活动，规范教师培训制度，组织教职工开展师德培训，加强继续教育工作，根据校本培训方案认真实施校本培训工作，努力提升教师整体素质。</w:t>
      </w:r>
    </w:p>
    <w:p w14:paraId="3E5532D1">
      <w:pPr>
        <w:spacing w:line="600" w:lineRule="exact"/>
        <w:ind w:firstLine="600" w:firstLineChars="200"/>
        <w:jc w:val="both"/>
        <w:rPr>
          <w:rFonts w:hint="eastAsia" w:ascii="仿宋_GB2312" w:hAnsi="宋体" w:eastAsia="仿宋_GB2312" w:cs="Arial"/>
          <w:kern w:val="0"/>
          <w:sz w:val="30"/>
          <w:szCs w:val="30"/>
          <w:highlight w:val="none"/>
        </w:rPr>
      </w:pPr>
    </w:p>
    <w:p w14:paraId="4E702FC7">
      <w:pPr>
        <w:jc w:val="both"/>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4FE1492F">
      <w:pPr>
        <w:spacing w:line="600" w:lineRule="exact"/>
        <w:ind w:firstLine="600" w:firstLineChars="200"/>
        <w:jc w:val="both"/>
        <w:outlineLvl w:val="1"/>
        <w:rPr>
          <w:rFonts w:hint="eastAsia" w:ascii="仿宋" w:hAnsi="仿宋" w:eastAsia="仿宋" w:cs="仿宋"/>
          <w:sz w:val="30"/>
          <w:szCs w:val="30"/>
          <w:highlight w:val="none"/>
        </w:rPr>
      </w:pPr>
      <w:r>
        <w:rPr>
          <w:rFonts w:hint="eastAsia" w:ascii="仿宋" w:hAnsi="仿宋" w:eastAsia="仿宋" w:cs="仿宋"/>
          <w:sz w:val="30"/>
          <w:szCs w:val="30"/>
          <w:highlight w:val="none"/>
        </w:rPr>
        <w:t>（详见附件）</w:t>
      </w:r>
    </w:p>
    <w:p w14:paraId="46FC529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kern w:val="0"/>
          <w:sz w:val="30"/>
          <w:szCs w:val="30"/>
          <w:lang w:val="en-US" w:eastAsia="zh-CN" w:bidi="ar"/>
        </w:rPr>
        <w:t>　　</w:t>
      </w:r>
      <w:r>
        <w:rPr>
          <w:rFonts w:hint="eastAsia" w:ascii="仿宋" w:hAnsi="仿宋" w:eastAsia="仿宋" w:cs="仿宋"/>
          <w:sz w:val="30"/>
          <w:szCs w:val="30"/>
          <w:highlight w:val="none"/>
          <w:lang w:val="en-US" w:eastAsia="zh-CN"/>
        </w:rPr>
        <w:t>华宁县第六中学2024年度无国有资本经营预算财政拨款收入，《国有资本经营预算财政拨款收入支出决算表》为空表。</w:t>
      </w:r>
    </w:p>
    <w:p w14:paraId="000FA35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华宁县第六中学2024年度无财政拨款“三公”经费、行政参公单位机关运行经费收入，《财政拨款“三公”经费、行政参公单位机关运行经费情况表》为空表。</w:t>
      </w:r>
    </w:p>
    <w:p w14:paraId="227288F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sz w:val="30"/>
          <w:szCs w:val="30"/>
          <w:highlight w:val="none"/>
          <w:lang w:val="en-US" w:eastAsia="zh-CN"/>
        </w:rPr>
        <w:t>　　华宁县第六中学2024年度无一般公共预算财政拨款“三公”经费收入，《一般公共预算财政拨款“三公”经费情况表》为空表。</w:t>
      </w:r>
    </w:p>
    <w:p w14:paraId="646FB4F7">
      <w:pPr>
        <w:spacing w:line="600" w:lineRule="exact"/>
        <w:ind w:firstLine="600" w:firstLineChars="200"/>
        <w:jc w:val="both"/>
        <w:rPr>
          <w:rFonts w:hint="eastAsia" w:ascii="仿宋_GB2312" w:eastAsia="仿宋_GB2312"/>
          <w:sz w:val="30"/>
          <w:szCs w:val="30"/>
          <w:highlight w:val="none"/>
          <w:lang w:eastAsia="zh-CN"/>
        </w:rPr>
      </w:pPr>
    </w:p>
    <w:p w14:paraId="00411896">
      <w:pPr>
        <w:jc w:val="both"/>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40B04A3F">
      <w:pPr>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038819C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华宁县第六中学</w:t>
      </w:r>
      <w:r>
        <w:rPr>
          <w:rFonts w:hint="eastAsia" w:ascii="仿宋" w:hAnsi="仿宋" w:eastAsia="仿宋" w:cs="仿宋"/>
          <w:sz w:val="30"/>
          <w:szCs w:val="30"/>
          <w:highlight w:val="none"/>
          <w:lang w:val="en-US" w:eastAsia="zh-CN"/>
        </w:rPr>
        <w:t>2024年度收入合计</w:t>
      </w:r>
      <w:r>
        <w:rPr>
          <w:rFonts w:hint="eastAsia" w:ascii="仿宋" w:hAnsi="仿宋" w:eastAsia="仿宋" w:cs="仿宋"/>
          <w:sz w:val="30"/>
          <w:szCs w:val="30"/>
          <w:highlight w:val="none"/>
          <w:lang w:val="zh-CN" w:eastAsia="zh-CN"/>
        </w:rPr>
        <w:t>29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393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111.85</w:t>
      </w:r>
      <w:r>
        <w:rPr>
          <w:rFonts w:hint="eastAsia" w:ascii="仿宋" w:hAnsi="仿宋" w:eastAsia="仿宋" w:cs="仿宋"/>
          <w:sz w:val="30"/>
          <w:szCs w:val="30"/>
          <w:highlight w:val="none"/>
          <w:lang w:val="en-US" w:eastAsia="zh-CN"/>
        </w:rPr>
        <w:t>元。其中：财政拨款收入</w:t>
      </w:r>
      <w:r>
        <w:rPr>
          <w:rFonts w:hint="eastAsia" w:ascii="仿宋" w:hAnsi="仿宋" w:eastAsia="仿宋" w:cs="仿宋"/>
          <w:sz w:val="30"/>
          <w:szCs w:val="30"/>
          <w:highlight w:val="none"/>
          <w:lang w:val="zh-CN" w:eastAsia="zh-CN"/>
        </w:rPr>
        <w:t>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589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695.13</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97.27</w:t>
      </w:r>
      <w:r>
        <w:rPr>
          <w:rFonts w:hint="eastAsia" w:ascii="仿宋" w:hAnsi="仿宋" w:eastAsia="仿宋" w:cs="仿宋"/>
          <w:sz w:val="30"/>
          <w:szCs w:val="30"/>
          <w:highlight w:val="none"/>
          <w:lang w:val="en-US" w:eastAsia="zh-CN"/>
        </w:rPr>
        <w:t>%；上级补助收入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%；事业收入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元（含教育收费</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%；经营收入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%；附属单位上缴收入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%；其他收入</w:t>
      </w:r>
      <w:r>
        <w:rPr>
          <w:rFonts w:hint="eastAsia" w:ascii="仿宋" w:hAnsi="仿宋" w:eastAsia="仿宋" w:cs="仿宋"/>
          <w:sz w:val="30"/>
          <w:szCs w:val="30"/>
          <w:highlight w:val="none"/>
          <w:lang w:val="zh-CN" w:eastAsia="zh-CN"/>
        </w:rPr>
        <w:t>803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416.72</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2.73</w:t>
      </w:r>
      <w:r>
        <w:rPr>
          <w:rFonts w:hint="eastAsia" w:ascii="仿宋" w:hAnsi="仿宋" w:eastAsia="仿宋" w:cs="仿宋"/>
          <w:sz w:val="30"/>
          <w:szCs w:val="30"/>
          <w:highlight w:val="none"/>
          <w:lang w:val="en-US" w:eastAsia="zh-CN"/>
        </w:rPr>
        <w:t>%。</w:t>
      </w:r>
    </w:p>
    <w:p w14:paraId="4080782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与上年相比，收入合计增加</w:t>
      </w:r>
      <w:r>
        <w:rPr>
          <w:rFonts w:hint="eastAsia" w:ascii="仿宋" w:hAnsi="仿宋" w:eastAsia="仿宋" w:cs="仿宋"/>
          <w:sz w:val="30"/>
          <w:szCs w:val="30"/>
          <w:highlight w:val="none"/>
          <w:lang w:val="zh-CN" w:eastAsia="zh-CN"/>
        </w:rPr>
        <w:t>15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893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455.67</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117.73</w:t>
      </w:r>
      <w:r>
        <w:rPr>
          <w:rFonts w:hint="eastAsia" w:ascii="仿宋" w:hAnsi="仿宋" w:eastAsia="仿宋" w:cs="仿宋"/>
          <w:sz w:val="30"/>
          <w:szCs w:val="30"/>
          <w:highlight w:val="none"/>
          <w:lang w:val="en-US" w:eastAsia="zh-CN"/>
        </w:rPr>
        <w:t>%。其中：财政拨款收入增加</w:t>
      </w:r>
      <w:r>
        <w:rPr>
          <w:rFonts w:hint="eastAsia" w:ascii="仿宋" w:hAnsi="仿宋" w:eastAsia="仿宋" w:cs="仿宋"/>
          <w:sz w:val="30"/>
          <w:szCs w:val="30"/>
          <w:highlight w:val="none"/>
          <w:lang w:val="zh-CN" w:eastAsia="zh-CN"/>
        </w:rPr>
        <w:t>15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690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138.95</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121.63</w:t>
      </w:r>
      <w:r>
        <w:rPr>
          <w:rFonts w:hint="eastAsia" w:ascii="仿宋" w:hAnsi="仿宋" w:eastAsia="仿宋" w:cs="仿宋"/>
          <w:sz w:val="30"/>
          <w:szCs w:val="30"/>
          <w:highlight w:val="none"/>
          <w:lang w:val="en-US" w:eastAsia="zh-CN"/>
        </w:rPr>
        <w:t>%；上级补助收入增加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%；事业收入增加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%；经营收入增加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%；附属单位上缴收入增加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%；其他收入增加</w:t>
      </w:r>
      <w:r>
        <w:rPr>
          <w:rFonts w:hint="eastAsia" w:ascii="仿宋" w:hAnsi="仿宋" w:eastAsia="仿宋" w:cs="仿宋"/>
          <w:sz w:val="30"/>
          <w:szCs w:val="30"/>
          <w:highlight w:val="none"/>
          <w:lang w:val="zh-CN" w:eastAsia="zh-CN"/>
        </w:rPr>
        <w:t>203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316.72</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33.88</w:t>
      </w:r>
      <w:r>
        <w:rPr>
          <w:rFonts w:hint="eastAsia" w:ascii="仿宋" w:hAnsi="仿宋" w:eastAsia="仿宋" w:cs="仿宋"/>
          <w:sz w:val="30"/>
          <w:szCs w:val="30"/>
          <w:highlight w:val="none"/>
          <w:lang w:val="en-US" w:eastAsia="zh-CN"/>
        </w:rPr>
        <w:t>%。主要原因是：2024年人员经费和项目经费财政拨款比上年增加，学校2024年课后服务项目非财政收入增加，故其他收入比上年增加。</w:t>
      </w:r>
    </w:p>
    <w:p w14:paraId="729B1288">
      <w:pPr>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4F752B8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华宁县第六中学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年度支出合计29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409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930.70元。其中：基本支出24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439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641.51元，占总支出的83.10％；项目支出4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970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289.19元，占总支出的16.90％；上缴上级支出0.00元，占总支出的0.00％；经营支出0.00元，占总支出的0.00％；对附属单位补助支出0.00元，占总支出的0.00％。</w:t>
      </w:r>
    </w:p>
    <w:p w14:paraId="7E116D7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　　与上年相比，支出合计增加16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286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574.52元，增长124.10%。其中：基本支出增加12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603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668.72元，增长106.49%；项目支出增加3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682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905.80元，增长286.08%；上缴上级支出增加0.00元，增长0.00%；经营支出增加0.00元，增长0.00%；对附属单位补助支出增加0.00元，增长0.00%。主要原因是</w:t>
      </w:r>
      <w:r>
        <w:rPr>
          <w:rFonts w:hint="eastAsia" w:ascii="仿宋" w:hAnsi="仿宋" w:eastAsia="仿宋" w:cs="仿宋"/>
          <w:sz w:val="30"/>
          <w:szCs w:val="30"/>
          <w:highlight w:val="none"/>
          <w:lang w:val="en-US" w:eastAsia="zh-CN"/>
        </w:rPr>
        <w:t>工资福利费支出比上年减少 12,645,927.59 元，商品和服务支出增加 911,092.13 元，对个人和家庭补助比上年减少 1,389,235.80元，资本性支出减少 1,340,319.00 元。</w:t>
      </w:r>
    </w:p>
    <w:p w14:paraId="5F4C22FF">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754C862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zh-CN" w:eastAsia="zh-CN"/>
        </w:rPr>
      </w:pPr>
      <w:r>
        <w:rPr>
          <w:rFonts w:hint="eastAsia" w:ascii="仿宋_GB2312" w:eastAsia="仿宋_GB2312"/>
          <w:sz w:val="30"/>
          <w:szCs w:val="30"/>
          <w:highlight w:val="none"/>
          <w:lang w:val="en-US" w:eastAsia="zh-CN"/>
        </w:rPr>
        <w:t>　　</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年度用于保障华宁县第六中学机构正常运转的日常支出24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439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641.51元。其中：基本工资、津贴补贴等人员经费支出24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354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311.51元，占基本支出的99.65％；办公费、印刷费、水电费、办公设备购置等公用经费85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330.00元，占基本支出的0.35％。</w:t>
      </w:r>
    </w:p>
    <w:p w14:paraId="681D347E">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2EF830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2024年度用于保障</w:t>
      </w:r>
      <w:r>
        <w:rPr>
          <w:rFonts w:hint="eastAsia" w:ascii="仿宋" w:hAnsi="仿宋" w:eastAsia="仿宋" w:cs="仿宋"/>
          <w:sz w:val="30"/>
          <w:szCs w:val="30"/>
          <w:highlight w:val="none"/>
          <w:lang w:val="zh-CN" w:eastAsia="zh-CN"/>
        </w:rPr>
        <w:t>华宁县第六中学</w:t>
      </w:r>
      <w:r>
        <w:rPr>
          <w:rFonts w:hint="eastAsia" w:ascii="仿宋" w:hAnsi="仿宋" w:eastAsia="仿宋" w:cs="仿宋"/>
          <w:sz w:val="30"/>
          <w:szCs w:val="30"/>
          <w:highlight w:val="none"/>
          <w:lang w:val="en-US" w:eastAsia="zh-CN"/>
        </w:rPr>
        <w:t>为完成特定的行政工作任务或事业发展目标，用于专项业务工作的经费支出</w:t>
      </w:r>
      <w:r>
        <w:rPr>
          <w:rFonts w:hint="eastAsia" w:ascii="仿宋" w:hAnsi="仿宋" w:eastAsia="仿宋" w:cs="仿宋"/>
          <w:sz w:val="30"/>
          <w:szCs w:val="30"/>
          <w:highlight w:val="none"/>
          <w:lang w:val="zh-CN" w:eastAsia="zh-CN"/>
        </w:rPr>
        <w:t>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970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289.19</w:t>
      </w:r>
      <w:r>
        <w:rPr>
          <w:rFonts w:hint="eastAsia" w:ascii="仿宋" w:hAnsi="仿宋" w:eastAsia="仿宋" w:cs="仿宋"/>
          <w:sz w:val="30"/>
          <w:szCs w:val="30"/>
          <w:highlight w:val="none"/>
          <w:lang w:val="en-US" w:eastAsia="zh-CN"/>
        </w:rPr>
        <w:t>元。其中：基本建设类项目支出0.00元；非基建类项目支出</w:t>
      </w:r>
      <w:r>
        <w:rPr>
          <w:rFonts w:hint="eastAsia" w:ascii="仿宋" w:hAnsi="仿宋" w:eastAsia="仿宋" w:cs="仿宋"/>
          <w:sz w:val="30"/>
          <w:szCs w:val="30"/>
          <w:highlight w:val="none"/>
          <w:lang w:val="zh-CN" w:eastAsia="zh-CN"/>
        </w:rPr>
        <w:t>4,970,289.19</w:t>
      </w:r>
      <w:r>
        <w:rPr>
          <w:rFonts w:hint="eastAsia" w:ascii="仿宋" w:hAnsi="仿宋" w:eastAsia="仿宋" w:cs="仿宋"/>
          <w:sz w:val="30"/>
          <w:szCs w:val="30"/>
          <w:highlight w:val="none"/>
          <w:lang w:val="en-US" w:eastAsia="zh-CN"/>
        </w:rPr>
        <w:t>元，具体项目开支及开展工作情况：</w:t>
      </w:r>
    </w:p>
    <w:p w14:paraId="0F0477E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1.商品和服务支出1,589,613.39元。其中：华六中公用经费专项资金753,377.82元；华宁第六中学校园超市专项服务费专项资金16,000.00元；华宁县第六中学2023至2024年课后服务费专项资金金747,303.00元；华宁县第六中学义务教育优质均衡达标创建补助资金40,000.00元；华宁县第六中学捐款收入专项资金13,000.00元；华宁县第六中学垃圾场专项资金19,932.57元；主要用于办公费、印刷费、水费、电费、邮电费、维修（护）费、劳务费。</w:t>
      </w:r>
    </w:p>
    <w:p w14:paraId="7BEFD66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2.对个人和家庭补助支出1,997,075.80元。其中：华宁县第六中学营养改善计划专项资金补助经费1,763,590.00元，主要用于学生的营养改善计划补助；华宁县第六中学丧葬费和遗属补专项资金233,485.80元，主要用于丧葬费和遗属补助。</w:t>
      </w:r>
    </w:p>
    <w:p w14:paraId="45E8639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3.资本性支出1,383,600.00元。其中：华宁县第六中学落梅小学食堂餐厅专项资金210,000.00元，主要用于房屋建筑物购建；华宁县六中青龙教育资源整合资金1,123,600.00主要用于房屋建筑物购建；华六中信息化设备采购资金20,000.00元，主要用于专用设备购置；2023年校园道路及篮球场及排污管道修缮专项资金30,000.00元，主要用于基础设施建设。</w:t>
      </w:r>
    </w:p>
    <w:p w14:paraId="3C5434F0">
      <w:pPr>
        <w:numPr>
          <w:ilvl w:val="0"/>
          <w:numId w:val="0"/>
        </w:numPr>
        <w:ind w:leftChars="0"/>
        <w:jc w:val="both"/>
        <w:rPr>
          <w:rFonts w:hint="eastAsia" w:ascii="仿宋_GB2312" w:eastAsia="仿宋_GB2312"/>
          <w:color w:val="FF0000"/>
          <w:sz w:val="30"/>
          <w:szCs w:val="30"/>
          <w:highlight w:val="none"/>
        </w:rPr>
      </w:pPr>
    </w:p>
    <w:p w14:paraId="22FD2E8E">
      <w:pPr>
        <w:widowControl/>
        <w:snapToGrid w:val="0"/>
        <w:spacing w:before="100" w:after="100" w:line="600" w:lineRule="exact"/>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3BFA25A">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B622D4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rPr>
      </w:pPr>
      <w:r>
        <w:rPr>
          <w:rFonts w:hint="eastAsia" w:ascii="仿宋_GB2312" w:eastAsia="仿宋_GB2312"/>
          <w:sz w:val="30"/>
          <w:szCs w:val="30"/>
          <w:highlight w:val="none"/>
          <w:lang w:val="zh-CN" w:eastAsia="zh-CN"/>
        </w:rPr>
        <w:t>　</w:t>
      </w:r>
      <w:r>
        <w:rPr>
          <w:rFonts w:hint="eastAsia" w:ascii="仿宋_GB2312" w:hAnsi="宋体" w:eastAsia="仿宋_GB2312" w:cs="Arial"/>
          <w:kern w:val="0"/>
          <w:sz w:val="30"/>
          <w:szCs w:val="30"/>
          <w:highlight w:val="none"/>
          <w:lang w:val="zh-CN" w:eastAsia="zh-CN"/>
        </w:rPr>
        <w:t>　</w:t>
      </w:r>
      <w:r>
        <w:rPr>
          <w:rFonts w:hint="eastAsia" w:ascii="仿宋" w:hAnsi="仿宋" w:eastAsia="仿宋" w:cs="仿宋"/>
          <w:kern w:val="0"/>
          <w:sz w:val="30"/>
          <w:szCs w:val="30"/>
          <w:highlight w:val="none"/>
          <w:lang w:val="zh-CN" w:eastAsia="zh-CN"/>
        </w:rPr>
        <w:t>华宁县第六中学</w:t>
      </w:r>
      <w:r>
        <w:rPr>
          <w:rFonts w:hint="eastAsia" w:ascii="仿宋" w:hAnsi="仿宋" w:eastAsia="仿宋" w:cs="仿宋"/>
          <w:kern w:val="0"/>
          <w:sz w:val="30"/>
          <w:szCs w:val="30"/>
          <w:highlight w:val="none"/>
          <w:lang w:val="en-US" w:eastAsia="zh-CN"/>
        </w:rPr>
        <w:t>2024年度一般公共预算财政拨款支出</w:t>
      </w:r>
      <w:r>
        <w:rPr>
          <w:rFonts w:hint="eastAsia" w:ascii="仿宋" w:hAnsi="仿宋" w:eastAsia="仿宋" w:cs="仿宋"/>
          <w:kern w:val="0"/>
          <w:sz w:val="30"/>
          <w:szCs w:val="30"/>
          <w:highlight w:val="none"/>
          <w:lang w:val="zh-CN" w:eastAsia="zh-CN"/>
        </w:rPr>
        <w:t>28</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379</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695.13</w:t>
      </w:r>
      <w:r>
        <w:rPr>
          <w:rFonts w:hint="eastAsia" w:ascii="仿宋" w:hAnsi="仿宋" w:eastAsia="仿宋" w:cs="仿宋"/>
          <w:kern w:val="0"/>
          <w:sz w:val="30"/>
          <w:szCs w:val="30"/>
          <w:highlight w:val="none"/>
          <w:lang w:val="en-US" w:eastAsia="zh-CN"/>
        </w:rPr>
        <w:t>元,占本年支出合计的</w:t>
      </w:r>
      <w:r>
        <w:rPr>
          <w:rFonts w:hint="eastAsia" w:ascii="仿宋" w:hAnsi="仿宋" w:eastAsia="仿宋" w:cs="仿宋"/>
          <w:kern w:val="0"/>
          <w:sz w:val="30"/>
          <w:szCs w:val="30"/>
          <w:highlight w:val="none"/>
          <w:lang w:val="zh-CN" w:eastAsia="zh-CN"/>
        </w:rPr>
        <w:t>96.50</w:t>
      </w:r>
      <w:r>
        <w:rPr>
          <w:rFonts w:hint="eastAsia" w:ascii="仿宋" w:hAnsi="仿宋" w:eastAsia="仿宋" w:cs="仿宋"/>
          <w:kern w:val="0"/>
          <w:sz w:val="30"/>
          <w:szCs w:val="30"/>
          <w:highlight w:val="none"/>
          <w:lang w:val="en-US" w:eastAsia="zh-CN"/>
        </w:rPr>
        <w:t>%。与上年相比增加</w:t>
      </w:r>
      <w:r>
        <w:rPr>
          <w:rFonts w:hint="eastAsia" w:ascii="仿宋" w:hAnsi="仿宋" w:eastAsia="仿宋" w:cs="仿宋"/>
          <w:kern w:val="0"/>
          <w:sz w:val="30"/>
          <w:szCs w:val="30"/>
          <w:highlight w:val="none"/>
          <w:lang w:val="zh-CN" w:eastAsia="zh-CN"/>
        </w:rPr>
        <w:t>15</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480</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138.95</w:t>
      </w:r>
      <w:r>
        <w:rPr>
          <w:rFonts w:hint="eastAsia" w:ascii="仿宋" w:hAnsi="仿宋" w:eastAsia="仿宋" w:cs="仿宋"/>
          <w:kern w:val="0"/>
          <w:sz w:val="30"/>
          <w:szCs w:val="30"/>
          <w:highlight w:val="none"/>
          <w:lang w:val="en-US" w:eastAsia="zh-CN"/>
        </w:rPr>
        <w:t>元，增长</w:t>
      </w:r>
      <w:r>
        <w:rPr>
          <w:rFonts w:hint="eastAsia" w:ascii="仿宋" w:hAnsi="仿宋" w:eastAsia="仿宋" w:cs="仿宋"/>
          <w:kern w:val="0"/>
          <w:sz w:val="30"/>
          <w:szCs w:val="30"/>
          <w:highlight w:val="none"/>
          <w:lang w:val="zh-CN" w:eastAsia="zh-CN"/>
        </w:rPr>
        <w:t>120.01</w:t>
      </w:r>
      <w:r>
        <w:rPr>
          <w:rFonts w:hint="eastAsia" w:ascii="仿宋" w:hAnsi="仿宋" w:eastAsia="仿宋" w:cs="仿宋"/>
          <w:kern w:val="0"/>
          <w:sz w:val="30"/>
          <w:szCs w:val="30"/>
          <w:highlight w:val="none"/>
          <w:lang w:val="en-US" w:eastAsia="zh-CN"/>
        </w:rPr>
        <w:t>%，完成年初预算的</w:t>
      </w:r>
      <w:r>
        <w:rPr>
          <w:rFonts w:hint="eastAsia" w:ascii="仿宋" w:hAnsi="仿宋" w:eastAsia="仿宋" w:cs="仿宋"/>
          <w:kern w:val="0"/>
          <w:sz w:val="30"/>
          <w:szCs w:val="30"/>
          <w:highlight w:val="none"/>
          <w:lang w:val="zh-CN" w:eastAsia="zh-CN"/>
        </w:rPr>
        <w:t>111.28</w:t>
      </w:r>
      <w:r>
        <w:rPr>
          <w:rFonts w:hint="eastAsia" w:ascii="仿宋" w:hAnsi="仿宋" w:eastAsia="仿宋" w:cs="仿宋"/>
          <w:kern w:val="0"/>
          <w:sz w:val="30"/>
          <w:szCs w:val="30"/>
          <w:highlight w:val="none"/>
          <w:lang w:val="en-US" w:eastAsia="zh-CN"/>
        </w:rPr>
        <w:t>%。</w:t>
      </w:r>
    </w:p>
    <w:p w14:paraId="280300C7">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4708CA1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zh-CN" w:eastAsia="zh-CN"/>
        </w:rPr>
        <w:t>1.一般公共服务（类）支出0.00元，占一般公共预算财政拨款总支出的0.00%,年初无此项预算。</w:t>
      </w:r>
    </w:p>
    <w:p w14:paraId="1757332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zh-CN" w:eastAsia="zh-CN"/>
        </w:rPr>
        <w:t>2.外交（类）支出0.00元，占一般公共预算财政拨款总支出的0.00%,年初无此项预算。</w:t>
      </w:r>
    </w:p>
    <w:p w14:paraId="3FD6762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zh-CN" w:eastAsia="zh-CN"/>
        </w:rPr>
        <w:t>3.国防（类）支出0.00元，占一般公共预算财政拨款总支出的0.00%,年初无此项预算。</w:t>
      </w:r>
    </w:p>
    <w:p w14:paraId="17555BF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zh-CN" w:eastAsia="zh-CN"/>
        </w:rPr>
        <w:t>4.公共安全（类）支出0.00元，占一般公共预算财政拨款总支出的0.00%,</w:t>
      </w:r>
    </w:p>
    <w:p w14:paraId="1B6AA11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5.教育（类）支出21,210,523.59元，占一般公共预算财政拨款总支出的74.74%，</w:t>
      </w:r>
      <w:r>
        <w:rPr>
          <w:rFonts w:hint="eastAsia" w:ascii="仿宋" w:hAnsi="仿宋" w:eastAsia="仿宋" w:cs="仿宋"/>
          <w:kern w:val="0"/>
          <w:sz w:val="30"/>
          <w:szCs w:val="30"/>
          <w:highlight w:val="none"/>
          <w:lang w:val="zh-CN" w:eastAsia="zh-CN"/>
        </w:rPr>
        <w:t>完成年初预算的</w:t>
      </w:r>
      <w:r>
        <w:rPr>
          <w:rFonts w:hint="eastAsia" w:ascii="仿宋" w:hAnsi="仿宋" w:eastAsia="仿宋" w:cs="仿宋"/>
          <w:kern w:val="0"/>
          <w:sz w:val="30"/>
          <w:szCs w:val="30"/>
          <w:highlight w:val="none"/>
          <w:lang w:val="en-US" w:eastAsia="zh-CN"/>
        </w:rPr>
        <w:t>117.52%，</w:t>
      </w:r>
      <w:r>
        <w:rPr>
          <w:rFonts w:hint="eastAsia" w:ascii="仿宋" w:hAnsi="仿宋" w:eastAsia="仿宋" w:cs="仿宋"/>
          <w:kern w:val="0"/>
          <w:sz w:val="30"/>
          <w:szCs w:val="30"/>
          <w:highlight w:val="none"/>
          <w:lang w:val="zh-CN" w:eastAsia="zh-CN"/>
        </w:rPr>
        <w:t>造成预决算差异的</w:t>
      </w:r>
      <w:r>
        <w:rPr>
          <w:rFonts w:hint="eastAsia" w:ascii="仿宋" w:hAnsi="仿宋" w:eastAsia="仿宋" w:cs="仿宋"/>
          <w:kern w:val="0"/>
          <w:sz w:val="30"/>
          <w:szCs w:val="30"/>
          <w:highlight w:val="none"/>
          <w:lang w:val="en-US" w:eastAsia="zh-CN"/>
        </w:rPr>
        <w:t>主要</w:t>
      </w:r>
      <w:r>
        <w:rPr>
          <w:rFonts w:hint="eastAsia" w:ascii="仿宋" w:hAnsi="仿宋" w:eastAsia="仿宋" w:cs="仿宋"/>
          <w:kern w:val="0"/>
          <w:sz w:val="30"/>
          <w:szCs w:val="30"/>
          <w:highlight w:val="none"/>
          <w:lang w:val="zh-CN" w:eastAsia="zh-CN"/>
        </w:rPr>
        <w:t>原因是</w:t>
      </w:r>
      <w:bookmarkStart w:id="0" w:name="_GoBack"/>
      <w:bookmarkEnd w:id="0"/>
      <w:r>
        <w:rPr>
          <w:rFonts w:hint="eastAsia" w:ascii="仿宋" w:hAnsi="仿宋" w:eastAsia="仿宋" w:cs="仿宋"/>
          <w:kern w:val="0"/>
          <w:sz w:val="30"/>
          <w:szCs w:val="30"/>
          <w:highlight w:val="none"/>
          <w:lang w:val="zh-CN" w:eastAsia="zh-CN"/>
        </w:rPr>
        <w:t>人员经费、办公费用和项目开支</w:t>
      </w:r>
      <w:r>
        <w:rPr>
          <w:rFonts w:hint="eastAsia" w:ascii="仿宋" w:hAnsi="仿宋" w:eastAsia="仿宋" w:cs="仿宋"/>
          <w:kern w:val="0"/>
          <w:sz w:val="30"/>
          <w:szCs w:val="30"/>
          <w:highlight w:val="none"/>
          <w:lang w:val="en-US" w:eastAsia="zh-CN"/>
        </w:rPr>
        <w:t>增加</w:t>
      </w:r>
      <w:r>
        <w:rPr>
          <w:rFonts w:hint="eastAsia" w:ascii="仿宋" w:hAnsi="仿宋" w:eastAsia="仿宋" w:cs="仿宋"/>
          <w:kern w:val="0"/>
          <w:sz w:val="30"/>
          <w:szCs w:val="30"/>
          <w:highlight w:val="none"/>
          <w:lang w:val="zh-CN" w:eastAsia="zh-CN"/>
        </w:rPr>
        <w:t>。</w:t>
      </w:r>
    </w:p>
    <w:p w14:paraId="76EF3BC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6.科学技术（类）支出0.00元，占一般公共预算财政拨款总支出的0.00%</w:t>
      </w:r>
      <w:r>
        <w:rPr>
          <w:rFonts w:hint="eastAsia" w:ascii="仿宋" w:hAnsi="仿宋" w:eastAsia="仿宋" w:cs="仿宋"/>
          <w:kern w:val="0"/>
          <w:sz w:val="30"/>
          <w:szCs w:val="30"/>
          <w:highlight w:val="none"/>
          <w:lang w:val="zh-CN" w:eastAsia="zh-CN"/>
        </w:rPr>
        <w:t>,年初无此项预算。</w:t>
      </w:r>
    </w:p>
    <w:p w14:paraId="630F30D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7.文化旅游体育与传媒（类）支出0.00元，占一般公共预算财政拨款总支出的0.00%</w:t>
      </w:r>
      <w:r>
        <w:rPr>
          <w:rFonts w:hint="eastAsia" w:ascii="仿宋" w:hAnsi="仿宋" w:eastAsia="仿宋" w:cs="仿宋"/>
          <w:kern w:val="0"/>
          <w:sz w:val="30"/>
          <w:szCs w:val="30"/>
          <w:highlight w:val="none"/>
          <w:lang w:val="zh-CN" w:eastAsia="zh-CN"/>
        </w:rPr>
        <w:t>,</w:t>
      </w:r>
    </w:p>
    <w:p w14:paraId="2BA5C83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8.社会保障和就业（类）支出2,764,539.08元，占一般公共预算财政拨款总支出的9.74%，</w:t>
      </w:r>
      <w:r>
        <w:rPr>
          <w:rFonts w:hint="eastAsia" w:ascii="仿宋" w:hAnsi="仿宋" w:eastAsia="仿宋" w:cs="仿宋"/>
          <w:kern w:val="0"/>
          <w:sz w:val="30"/>
          <w:szCs w:val="30"/>
          <w:highlight w:val="none"/>
          <w:lang w:val="zh-CN" w:eastAsia="zh-CN"/>
        </w:rPr>
        <w:t>完成年初预算的92.82</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主要用于2080505机关事业单位基本养老保险缴费支出 2,531,053.28元，2080801死亡抚恤233,485.80</w:t>
      </w:r>
      <w:r>
        <w:rPr>
          <w:rFonts w:hint="eastAsia" w:ascii="仿宋" w:hAnsi="仿宋" w:eastAsia="仿宋" w:cs="仿宋"/>
          <w:kern w:val="0"/>
          <w:sz w:val="30"/>
          <w:szCs w:val="30"/>
          <w:highlight w:val="none"/>
          <w:lang w:val="en-US" w:eastAsia="zh-CN"/>
        </w:rPr>
        <w:t>元</w:t>
      </w:r>
      <w:r>
        <w:rPr>
          <w:rFonts w:hint="eastAsia" w:ascii="仿宋" w:hAnsi="仿宋" w:eastAsia="仿宋" w:cs="仿宋"/>
          <w:kern w:val="0"/>
          <w:sz w:val="30"/>
          <w:szCs w:val="30"/>
          <w:highlight w:val="none"/>
          <w:lang w:val="zh-CN" w:eastAsia="zh-CN"/>
        </w:rPr>
        <w:t>；造成预决算差异的主要原因是人员变动。</w:t>
      </w:r>
    </w:p>
    <w:p w14:paraId="509489A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9.卫生健康（类）支出</w:t>
      </w:r>
      <w:r>
        <w:rPr>
          <w:rFonts w:hint="eastAsia" w:ascii="仿宋" w:hAnsi="仿宋" w:eastAsia="仿宋" w:cs="仿宋"/>
          <w:kern w:val="0"/>
          <w:sz w:val="30"/>
          <w:szCs w:val="30"/>
          <w:highlight w:val="none"/>
          <w:lang w:val="zh-CN" w:eastAsia="zh-CN"/>
        </w:rPr>
        <w:t>2</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144</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839.02元，占一般公共预算财政拨款总支出的7.56%，完成年初预算的102.15</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主要用于2101102事业单位医疗1,326,251.49元；2101103公务员医疗补700,124.24元；2101199</w:t>
      </w:r>
      <w:r>
        <w:rPr>
          <w:rFonts w:hint="eastAsia" w:ascii="仿宋" w:hAnsi="仿宋" w:eastAsia="仿宋" w:cs="仿宋"/>
          <w:kern w:val="0"/>
          <w:sz w:val="30"/>
          <w:szCs w:val="30"/>
          <w:highlight w:val="none"/>
          <w:lang w:val="zh-CN" w:eastAsia="zh-CN"/>
        </w:rPr>
        <w:tab/>
      </w:r>
      <w:r>
        <w:rPr>
          <w:rFonts w:hint="eastAsia" w:ascii="仿宋" w:hAnsi="仿宋" w:eastAsia="仿宋" w:cs="仿宋"/>
          <w:kern w:val="0"/>
          <w:sz w:val="30"/>
          <w:szCs w:val="30"/>
          <w:highlight w:val="none"/>
          <w:lang w:val="zh-CN" w:eastAsia="zh-CN"/>
        </w:rPr>
        <w:t>其他行政事业单位医疗支出118,463.29元；造成预决算差异的主要原因是人员变动。</w:t>
      </w:r>
    </w:p>
    <w:p w14:paraId="7D219F5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10.节能环保（类）支出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25D113A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11.城乡社区（类）支出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7DEFC82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12.农林水（类）支出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50BDD17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13.交通运输（类）支出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5270640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14.资源勘探工业信息等（类）支出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3875732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15.商业服务业等（类）支出</w:t>
      </w:r>
      <w:r>
        <w:rPr>
          <w:rFonts w:hint="eastAsia" w:ascii="仿宋" w:hAnsi="仿宋" w:eastAsia="仿宋" w:cs="仿宋"/>
          <w:kern w:val="0"/>
          <w:sz w:val="30"/>
          <w:szCs w:val="30"/>
          <w:highlight w:val="none"/>
          <w:lang w:val="zh-CN" w:eastAsia="zh-CN"/>
        </w:rPr>
        <w:t>0.00元，占一般公共预算财政拨款总支出的0.00%,年初无此项预算。</w:t>
      </w:r>
      <w:r>
        <w:rPr>
          <w:rFonts w:hint="eastAsia" w:ascii="仿宋" w:hAnsi="仿宋" w:eastAsia="仿宋" w:cs="仿宋"/>
          <w:kern w:val="0"/>
          <w:sz w:val="30"/>
          <w:szCs w:val="30"/>
          <w:highlight w:val="none"/>
          <w:lang w:val="en-US" w:eastAsia="zh-CN"/>
        </w:rPr>
        <w:t>16.金融（类）支出</w:t>
      </w:r>
      <w:r>
        <w:rPr>
          <w:rFonts w:hint="eastAsia" w:ascii="仿宋" w:hAnsi="仿宋" w:eastAsia="仿宋" w:cs="仿宋"/>
          <w:kern w:val="0"/>
          <w:sz w:val="30"/>
          <w:szCs w:val="30"/>
          <w:highlight w:val="none"/>
          <w:lang w:val="zh-CN" w:eastAsia="zh-CN"/>
        </w:rPr>
        <w:t>0.00元，占一般公共预算财政拨款总支出的0.00%,年初无此项预算。</w:t>
      </w:r>
      <w:r>
        <w:rPr>
          <w:rFonts w:hint="eastAsia" w:ascii="仿宋" w:hAnsi="仿宋" w:eastAsia="仿宋" w:cs="仿宋"/>
          <w:kern w:val="0"/>
          <w:sz w:val="30"/>
          <w:szCs w:val="30"/>
          <w:highlight w:val="none"/>
          <w:lang w:val="en-US" w:eastAsia="zh-CN"/>
        </w:rPr>
        <w:t>17.援助其他地区（类）支出</w:t>
      </w:r>
      <w:r>
        <w:rPr>
          <w:rFonts w:hint="eastAsia" w:ascii="仿宋" w:hAnsi="仿宋" w:eastAsia="仿宋" w:cs="仿宋"/>
          <w:kern w:val="0"/>
          <w:sz w:val="30"/>
          <w:szCs w:val="30"/>
          <w:highlight w:val="none"/>
          <w:lang w:val="zh-CN" w:eastAsia="zh-CN"/>
        </w:rPr>
        <w:t>0.00元，占一般公共预算财政拨款总支出的0.00%,年初无此项预算。</w:t>
      </w:r>
      <w:r>
        <w:rPr>
          <w:rFonts w:hint="eastAsia" w:ascii="仿宋" w:hAnsi="仿宋" w:eastAsia="仿宋" w:cs="仿宋"/>
          <w:kern w:val="0"/>
          <w:sz w:val="30"/>
          <w:szCs w:val="30"/>
          <w:highlight w:val="none"/>
          <w:lang w:val="en-US" w:eastAsia="zh-CN"/>
        </w:rPr>
        <w:t>18.自然资源海洋气象等（类）支出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1F96583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19.住房保障（类）支出</w:t>
      </w:r>
      <w:r>
        <w:rPr>
          <w:rFonts w:hint="eastAsia" w:ascii="仿宋" w:hAnsi="仿宋" w:eastAsia="仿宋" w:cs="仿宋"/>
          <w:kern w:val="0"/>
          <w:sz w:val="30"/>
          <w:szCs w:val="30"/>
          <w:highlight w:val="none"/>
          <w:lang w:val="zh-CN" w:eastAsia="zh-CN"/>
        </w:rPr>
        <w:t>2</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259</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793.44元，占一般公共预算财政拨款总支出的7.96%，完成年初预算的95.15</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val="zh-CN" w:eastAsia="zh-CN"/>
        </w:rPr>
        <w:t>主要用于2210201住房公积金”2,259,793.44元，造成预决算差异的主要原因是人员变动。</w:t>
      </w:r>
    </w:p>
    <w:p w14:paraId="0E59CE2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20.粮油物资储备（类）支出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01D6F09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21.国有资本经营预算（类）支出</w:t>
      </w:r>
      <w:r>
        <w:rPr>
          <w:rFonts w:hint="eastAsia" w:ascii="仿宋" w:hAnsi="仿宋" w:eastAsia="仿宋" w:cs="仿宋"/>
          <w:kern w:val="0"/>
          <w:sz w:val="30"/>
          <w:szCs w:val="30"/>
          <w:highlight w:val="none"/>
          <w:lang w:val="zh-CN" w:eastAsia="zh-CN"/>
        </w:rPr>
        <w:t>0.00元，占一般公共预算财政拨款总支出的0.00%,年初无此项预算。</w:t>
      </w:r>
      <w:r>
        <w:rPr>
          <w:rFonts w:hint="eastAsia" w:ascii="仿宋" w:hAnsi="仿宋" w:eastAsia="仿宋" w:cs="仿宋"/>
          <w:kern w:val="0"/>
          <w:sz w:val="30"/>
          <w:szCs w:val="30"/>
          <w:highlight w:val="none"/>
          <w:lang w:val="en-US" w:eastAsia="zh-CN"/>
        </w:rPr>
        <w:t>22.灾害防治及应急管理（类）支出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7FAD979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23.其他（类）支出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32F6625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24.债务还本（类）支出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3A8EEA3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25.债务付息（类）支出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4695A68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right="0"/>
        <w:jc w:val="both"/>
        <w:textAlignment w:val="auto"/>
        <w:rPr>
          <w:rFonts w:hint="eastAsia" w:ascii="仿宋" w:hAnsi="仿宋" w:eastAsia="仿宋" w:cs="仿宋"/>
          <w:kern w:val="0"/>
          <w:sz w:val="30"/>
          <w:szCs w:val="30"/>
          <w:highlight w:val="none"/>
          <w:lang w:val="zh-CN" w:eastAsia="zh-CN"/>
        </w:rPr>
      </w:pPr>
      <w:r>
        <w:rPr>
          <w:rFonts w:hint="eastAsia" w:ascii="仿宋" w:hAnsi="仿宋" w:eastAsia="仿宋" w:cs="仿宋"/>
          <w:kern w:val="0"/>
          <w:sz w:val="30"/>
          <w:szCs w:val="30"/>
          <w:highlight w:val="none"/>
          <w:lang w:val="en-US" w:eastAsia="zh-CN"/>
        </w:rPr>
        <w:t>26.抗疫特别国债安排（类）支出</w:t>
      </w:r>
      <w:r>
        <w:rPr>
          <w:rFonts w:hint="eastAsia" w:ascii="仿宋" w:hAnsi="仿宋" w:eastAsia="仿宋" w:cs="仿宋"/>
          <w:kern w:val="0"/>
          <w:sz w:val="30"/>
          <w:szCs w:val="30"/>
          <w:highlight w:val="none"/>
          <w:lang w:val="zh-CN" w:eastAsia="zh-CN"/>
        </w:rPr>
        <w:t>0.00元，占一般公共预算财政拨款总支出的0.00%,年初无此项预算。</w:t>
      </w:r>
    </w:p>
    <w:p w14:paraId="29FA0CC3">
      <w:pPr>
        <w:widowControl/>
        <w:numPr>
          <w:ilvl w:val="0"/>
          <w:numId w:val="1"/>
        </w:numPr>
        <w:snapToGrid w:val="0"/>
        <w:spacing w:before="100" w:after="100" w:line="360" w:lineRule="auto"/>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4D39ED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A15AB3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2024</w:t>
      </w:r>
      <w:r>
        <w:rPr>
          <w:rFonts w:hint="eastAsia" w:ascii="仿宋" w:hAnsi="仿宋" w:eastAsia="仿宋" w:cs="仿宋"/>
          <w:color w:val="000000" w:themeColor="text1"/>
          <w:kern w:val="0"/>
          <w:sz w:val="30"/>
          <w:szCs w:val="30"/>
          <w:highlight w:val="none"/>
          <w14:textFill>
            <w14:solidFill>
              <w14:schemeClr w14:val="tx1"/>
            </w14:solidFill>
          </w14:textFill>
        </w:rPr>
        <w:t>年度财政拨款“三公”经费支出决算中，财政拨款“三公”经费支出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元，决算为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。上年无此项支出。</w:t>
      </w:r>
    </w:p>
    <w:p w14:paraId="28814FD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因公出国（境）费支出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%；公务用车购置费支出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%；公务用车</w:t>
      </w:r>
      <w:r>
        <w:rPr>
          <w:rFonts w:hint="eastAsia" w:ascii="仿宋" w:hAnsi="仿宋" w:eastAsia="仿宋" w:cs="仿宋"/>
          <w:color w:val="000000" w:themeColor="text1"/>
          <w:kern w:val="0"/>
          <w:sz w:val="30"/>
          <w:szCs w:val="30"/>
          <w:highlight w:val="none"/>
          <w:lang w:eastAsia="zh-CN"/>
          <w14:textFill>
            <w14:solidFill>
              <w14:schemeClr w14:val="tx1"/>
            </w14:solidFill>
          </w14:textFill>
        </w:rPr>
        <w:t>运行维护</w:t>
      </w:r>
      <w:r>
        <w:rPr>
          <w:rFonts w:hint="eastAsia" w:ascii="仿宋" w:hAnsi="仿宋" w:eastAsia="仿宋" w:cs="仿宋"/>
          <w:color w:val="000000" w:themeColor="text1"/>
          <w:kern w:val="0"/>
          <w:sz w:val="30"/>
          <w:szCs w:val="30"/>
          <w:highlight w:val="none"/>
          <w14:textFill>
            <w14:solidFill>
              <w14:schemeClr w14:val="tx1"/>
            </w14:solidFill>
          </w14:textFill>
        </w:rPr>
        <w:t>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公务接待费支出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0084B9B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因公出国（境）费</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公务用车购置费</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公务用车</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运行维护费支出决算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公务接待费</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上年无此项支出；具体是国内接待费支出决算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元（其中：外事接待费支出决算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元），上年无此项支出；国（境）外接待费支出决算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元，上年无此项支出。</w:t>
      </w:r>
    </w:p>
    <w:p w14:paraId="07E26F0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color w:val="000000" w:themeColor="text1"/>
          <w:kern w:val="0"/>
          <w:sz w:val="30"/>
          <w:szCs w:val="30"/>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0"/>
          <w:szCs w:val="30"/>
          <w:highlight w:val="none"/>
          <w:lang w:val="en-US" w:eastAsia="zh-CN"/>
          <w14:textFill>
            <w14:solidFill>
              <w14:schemeClr w14:val="tx1"/>
            </w14:solidFill>
          </w14:textFill>
        </w:rPr>
        <w:t>（二）一般公共预算财政拨款“三公”经费支出决算情况说明</w:t>
      </w:r>
    </w:p>
    <w:p w14:paraId="4E062AF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2024</w:t>
      </w:r>
      <w:r>
        <w:rPr>
          <w:rFonts w:hint="eastAsia" w:ascii="仿宋" w:hAnsi="仿宋" w:eastAsia="仿宋" w:cs="仿宋"/>
          <w:color w:val="000000" w:themeColor="text1"/>
          <w:kern w:val="0"/>
          <w:sz w:val="30"/>
          <w:szCs w:val="30"/>
          <w:highlight w:val="none"/>
          <w:lang w:val="zh-CN"/>
          <w14:textFill>
            <w14:solidFill>
              <w14:schemeClr w14:val="tx1"/>
            </w14:solidFill>
          </w14:textFill>
        </w:rPr>
        <w:t>年度一般公共预算财政拨款“三公”经费支出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lang w:val="zh-CN"/>
          <w14:textFill>
            <w14:solidFill>
              <w14:schemeClr w14:val="tx1"/>
            </w14:solidFill>
          </w14:textFill>
        </w:rPr>
        <w:t>预算为0.00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，支出决算为0.00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p>
    <w:p w14:paraId="50EC156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一般公共预算财政拨款“三公”经费支出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中：</w:t>
      </w:r>
      <w:r>
        <w:rPr>
          <w:rFonts w:hint="eastAsia" w:ascii="仿宋" w:hAnsi="仿宋" w:eastAsia="仿宋" w:cs="仿宋"/>
          <w:color w:val="000000" w:themeColor="text1"/>
          <w:kern w:val="0"/>
          <w:sz w:val="30"/>
          <w:szCs w:val="30"/>
          <w:highlight w:val="none"/>
          <w:lang w:val="zh-CN"/>
          <w14:textFill>
            <w14:solidFill>
              <w14:schemeClr w14:val="tx1"/>
            </w14:solidFill>
          </w14:textFill>
        </w:rPr>
        <w:t>因公出国（境）费支出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lang w:val="zh-CN"/>
          <w14:textFill>
            <w14:solidFill>
              <w14:schemeClr w14:val="tx1"/>
            </w14:solidFill>
          </w14:textFill>
        </w:rPr>
        <w:t>预算为0.00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，决算为0.00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，；公务用车购置费支出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lang w:val="zh-CN"/>
          <w14:textFill>
            <w14:solidFill>
              <w14:schemeClr w14:val="tx1"/>
            </w14:solidFill>
          </w14:textFill>
        </w:rPr>
        <w:t>预算为0.00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，决算为0.00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，；公务用车</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运行维护费</w:t>
      </w:r>
      <w:r>
        <w:rPr>
          <w:rFonts w:hint="eastAsia" w:ascii="仿宋" w:hAnsi="仿宋" w:eastAsia="仿宋" w:cs="仿宋"/>
          <w:color w:val="000000" w:themeColor="text1"/>
          <w:kern w:val="0"/>
          <w:sz w:val="30"/>
          <w:szCs w:val="30"/>
          <w:highlight w:val="none"/>
          <w:lang w:val="zh-CN"/>
          <w14:textFill>
            <w14:solidFill>
              <w14:schemeClr w14:val="tx1"/>
            </w14:solidFill>
          </w14:textFill>
        </w:rPr>
        <w:t>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lang w:val="zh-CN"/>
          <w14:textFill>
            <w14:solidFill>
              <w14:schemeClr w14:val="tx1"/>
            </w14:solidFill>
          </w14:textFill>
        </w:rPr>
        <w:t>预算为0.00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，决算为0.00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，；公务接待费支出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lang w:val="zh-CN"/>
          <w14:textFill>
            <w14:solidFill>
              <w14:schemeClr w14:val="tx1"/>
            </w14:solidFill>
          </w14:textFill>
        </w:rPr>
        <w:t>预算为0.00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，决算为0.00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w:t>
      </w:r>
    </w:p>
    <w:p w14:paraId="5080C4E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一般公共预算财政拨款“三公”经费支出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中：</w:t>
      </w:r>
      <w:r>
        <w:rPr>
          <w:rFonts w:hint="eastAsia" w:ascii="仿宋" w:hAnsi="仿宋" w:eastAsia="仿宋" w:cs="仿宋"/>
          <w:color w:val="000000" w:themeColor="text1"/>
          <w:kern w:val="0"/>
          <w:sz w:val="30"/>
          <w:szCs w:val="30"/>
          <w:highlight w:val="none"/>
          <w:lang w:val="zh-CN"/>
          <w14:textFill>
            <w14:solidFill>
              <w14:schemeClr w14:val="tx1"/>
            </w14:solidFill>
          </w14:textFill>
        </w:rPr>
        <w:t>因公出国（境）费支出决算0.00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；公务用车购置费支出决算0.00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；公务用车</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运行维护费</w:t>
      </w:r>
      <w:r>
        <w:rPr>
          <w:rFonts w:hint="eastAsia" w:ascii="仿宋" w:hAnsi="仿宋" w:eastAsia="仿宋" w:cs="仿宋"/>
          <w:color w:val="000000" w:themeColor="text1"/>
          <w:kern w:val="0"/>
          <w:sz w:val="30"/>
          <w:szCs w:val="30"/>
          <w:highlight w:val="none"/>
          <w:lang w:val="zh-CN"/>
          <w14:textFill>
            <w14:solidFill>
              <w14:schemeClr w14:val="tx1"/>
            </w14:solidFill>
          </w14:textFill>
        </w:rPr>
        <w:t>支出决算0.00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val="zh-CN"/>
          <w14:textFill>
            <w14:solidFill>
              <w14:schemeClr w14:val="tx1"/>
            </w14:solidFill>
          </w14:textFill>
        </w:rPr>
        <w:t>；公务接待费支出决算0.00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zh-CN"/>
          <w14:textFill>
            <w14:solidFill>
              <w14:schemeClr w14:val="tx1"/>
            </w14:solidFill>
          </w14:textFill>
        </w:rPr>
        <w:t>，</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上年无此项支出，具体是国内接待费支出决算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元（其中：外事接待费支出决算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元），上年无此项支出；国（境）外接待费支出决算</w:t>
      </w:r>
      <w:r>
        <w:rPr>
          <w:rFonts w:hint="eastAsia" w:ascii="仿宋" w:hAnsi="仿宋" w:eastAsia="仿宋" w:cs="仿宋"/>
          <w:color w:val="000000" w:themeColor="text1"/>
          <w:kern w:val="0"/>
          <w:sz w:val="30"/>
          <w:szCs w:val="30"/>
          <w:highlight w:val="none"/>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上年无此项支出。</w:t>
      </w:r>
    </w:p>
    <w:p w14:paraId="7374E4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一般公共预算财政拨款“三公”经费支出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实物量的</w:t>
      </w:r>
      <w:r>
        <w:rPr>
          <w:rFonts w:hint="eastAsia" w:ascii="仿宋" w:hAnsi="仿宋" w:eastAsia="仿宋" w:cs="仿宋"/>
          <w:color w:val="000000" w:themeColor="text1"/>
          <w:kern w:val="0"/>
          <w:sz w:val="30"/>
          <w:szCs w:val="30"/>
          <w:highlight w:val="none"/>
          <w:lang w:val="zh-CN"/>
          <w14:textFill>
            <w14:solidFill>
              <w14:schemeClr w14:val="tx1"/>
            </w14:solidFill>
          </w14:textFill>
        </w:rPr>
        <w:t>具体情况</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w:t>
      </w:r>
    </w:p>
    <w:p w14:paraId="30DFF85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1.安排因公出国（境）团组0个，累计0人次。</w:t>
      </w:r>
    </w:p>
    <w:p w14:paraId="3933F3A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2.购置车辆0辆。</w:t>
      </w:r>
    </w:p>
    <w:p w14:paraId="2CCC61D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14:textFill>
            <w14:solidFill>
              <w14:schemeClr w14:val="tx1"/>
            </w14:solidFill>
          </w14:textFill>
        </w:rPr>
        <w:t>3.安排国内公务接待0批次（其中：外事接待0批次），接待人次0人（其中：外事接待人次0人。安排国（境）外公务接待0批次，接待人次0人。</w:t>
      </w:r>
    </w:p>
    <w:p w14:paraId="3D626979">
      <w:pPr>
        <w:widowControl/>
        <w:snapToGrid w:val="0"/>
        <w:spacing w:before="100" w:after="100" w:line="360" w:lineRule="auto"/>
        <w:ind w:firstLine="600" w:firstLineChars="200"/>
        <w:jc w:val="both"/>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106E12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不存在需要说明的事项。</w:t>
      </w:r>
    </w:p>
    <w:p w14:paraId="14AB54E9">
      <w:pPr>
        <w:widowControl/>
        <w:snapToGrid w:val="0"/>
        <w:spacing w:before="100" w:after="100" w:line="360" w:lineRule="auto"/>
        <w:ind w:firstLine="600" w:firstLineChars="200"/>
        <w:jc w:val="both"/>
        <w:rPr>
          <w:rFonts w:hint="eastAsia" w:ascii="仿宋_GB2312" w:eastAsia="仿宋_GB2312"/>
          <w:sz w:val="30"/>
          <w:szCs w:val="30"/>
          <w:highlight w:val="none"/>
          <w:lang w:eastAsia="zh-CN"/>
        </w:rPr>
      </w:pPr>
    </w:p>
    <w:p w14:paraId="1B6E5E61">
      <w:pPr>
        <w:widowControl/>
        <w:snapToGrid w:val="0"/>
        <w:spacing w:before="100" w:after="100" w:line="360" w:lineRule="auto"/>
        <w:ind w:firstLine="640" w:firstLineChars="200"/>
        <w:jc w:val="both"/>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7C853412">
      <w:pPr>
        <w:ind w:firstLine="600" w:firstLineChars="2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2561620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华宁县第六中学</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2024年机关运行经费支出0.00元，比上年增加0.00元，增长</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w:t>
      </w:r>
    </w:p>
    <w:p w14:paraId="5B9BC3D4">
      <w:pPr>
        <w:widowControl/>
        <w:ind w:firstLine="600" w:firstLineChars="200"/>
        <w:jc w:val="both"/>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7B5CEBF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截至2024年末，华宁县第六中学资产总额18,178,204.13元，其中，流动资产533,216.84元，固定资产17,644,985.29元（净值），对外投资及有价证券</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元，在建工程</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元，无形资产 2.00 元（净值），其他资产</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元（净值）（具体内容详见附表）。与上年相比，本年资产总额增加6,017,235.98元，其中：流动资产减少13,155.59元；固定资产增加6,030,390.57元；无形资产增加</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1.00元</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。处置房屋建筑物</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平方米，账面原值</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元；处置车辆</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辆，账面原值</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元；报废报损资产</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项，账面原值</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元，实现资产处置收入</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元；出租房屋</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平方米，账面原值</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元，实现资产使用收入</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元。</w:t>
      </w:r>
    </w:p>
    <w:p w14:paraId="25CEFC1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（国有资产占有使用情况表详见附表）</w:t>
      </w:r>
    </w:p>
    <w:p w14:paraId="5B24C6C4">
      <w:pPr>
        <w:ind w:firstLine="600" w:firstLineChars="2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6A6C5BB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2024年度，单位政府采购支出总额</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元，其中：政府采购货物支出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元；政府采购工程支出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元；政府采购服务支出</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元。授予中小企业合同金额</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元，其中：授予小微企业合同金额</w:t>
      </w:r>
      <w:r>
        <w:rPr>
          <w:rFonts w:hint="eastAsia" w:ascii="仿宋" w:hAnsi="仿宋" w:eastAsia="仿宋" w:cs="仿宋"/>
          <w:color w:val="000000" w:themeColor="text1"/>
          <w:kern w:val="0"/>
          <w:sz w:val="30"/>
          <w:szCs w:val="30"/>
          <w:highlight w:val="none"/>
          <w:lang w:val="zh-CN" w:eastAsia="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p>
    <w:p w14:paraId="057AD932">
      <w:pPr>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2778171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单位绩效自评情况详见附表。</w:t>
      </w:r>
    </w:p>
    <w:p w14:paraId="342487CB">
      <w:pPr>
        <w:widowControl/>
        <w:snapToGrid w:val="0"/>
        <w:spacing w:before="100" w:after="100" w:line="360" w:lineRule="auto"/>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6CD5BA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无。</w:t>
      </w:r>
    </w:p>
    <w:p w14:paraId="1101E830">
      <w:pPr>
        <w:widowControl/>
        <w:snapToGrid w:val="0"/>
        <w:spacing w:before="100" w:after="100" w:line="360" w:lineRule="auto"/>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779FD46E">
      <w:pPr>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（一）基本支出中人员经费包括工资福利支出和对个人和家庭的补助，公用经费包括商品和服务支出、资本性支出等人员经费以外的支出。</w:t>
      </w:r>
    </w:p>
    <w:p w14:paraId="5421AA79">
      <w:pPr>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（二）机关运行经费指行政单位和参照公务员法管理的事业单位使用一般公共预算财政拨款安排的基本支出中的公用经费支出。</w:t>
      </w:r>
    </w:p>
    <w:p w14:paraId="05947C9D">
      <w:pPr>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2BFC6837">
      <w:pPr>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24CA974F">
      <w:pPr>
        <w:jc w:val="both"/>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DEADCB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6841DDE0">
      <w:pPr>
        <w:rPr>
          <w:highlight w:val="none"/>
        </w:rPr>
      </w:pPr>
    </w:p>
    <w:p w14:paraId="6B5DCD7A">
      <w:pPr>
        <w:rPr>
          <w:rFonts w:ascii="Arial" w:hAnsi="Arial" w:eastAsia="Arial" w:cs="Arial"/>
          <w:b/>
          <w:sz w:val="36"/>
        </w:rPr>
      </w:pPr>
      <w:r>
        <w:rPr>
          <w:rFonts w:ascii="Arial" w:hAnsi="Arial" w:eastAsia="Arial" w:cs="Arial"/>
          <w:b/>
          <w:sz w:val="36"/>
        </w:rPr>
        <w:t>监督索引号53042400136000601111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9E2EAA0-83C7-40B0-A4BF-8F20F9342367}"/>
  </w:font>
  <w:font w:name="黑体">
    <w:panose1 w:val="02010609060101010101"/>
    <w:charset w:val="86"/>
    <w:family w:val="auto"/>
    <w:pitch w:val="default"/>
    <w:sig w:usb0="800002BF" w:usb1="38CF7CFA" w:usb2="00000016" w:usb3="00000000" w:csb0="00040001" w:csb1="00000000"/>
    <w:embedRegular r:id="rId2" w:fontKey="{0DAB0CE4-EAED-4CE2-AD20-EC1D35001C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A0DBE9AD-EA73-4748-900B-F1D43FBC3D70}"/>
  </w:font>
  <w:font w:name="仿宋">
    <w:panose1 w:val="02010609060101010101"/>
    <w:charset w:val="86"/>
    <w:family w:val="auto"/>
    <w:pitch w:val="default"/>
    <w:sig w:usb0="800002BF" w:usb1="38CF7CFA" w:usb2="00000016" w:usb3="00000000" w:csb0="00040001" w:csb1="00000000"/>
    <w:embedRegular r:id="rId4" w:fontKey="{36A29C5F-B758-43C6-9E87-75E4D5E6B4D0}"/>
  </w:font>
  <w:font w:name="方正小标宋简体">
    <w:panose1 w:val="02000000000000000000"/>
    <w:charset w:val="86"/>
    <w:family w:val="script"/>
    <w:pitch w:val="default"/>
    <w:sig w:usb0="00000001" w:usb1="08000000" w:usb2="00000000" w:usb3="00000000" w:csb0="00040000" w:csb1="00000000"/>
    <w:embedRegular r:id="rId5" w:fontKey="{12177B54-0F62-4B5D-AA47-F800312D2F6A}"/>
  </w:font>
  <w:font w:name="楷体">
    <w:panose1 w:val="02010609060101010101"/>
    <w:charset w:val="86"/>
    <w:family w:val="modern"/>
    <w:pitch w:val="default"/>
    <w:sig w:usb0="800002BF" w:usb1="38CF7CFA" w:usb2="00000016" w:usb3="00000000" w:csb0="00040001" w:csb1="00000000"/>
    <w:embedRegular r:id="rId6" w:fontKey="{721D850B-30EB-4EEA-BB4A-164B42F85D0B}"/>
  </w:font>
  <w:font w:name="楷体_GB2312">
    <w:altName w:val="楷体"/>
    <w:panose1 w:val="02010609030101010101"/>
    <w:charset w:val="86"/>
    <w:family w:val="auto"/>
    <w:pitch w:val="default"/>
    <w:sig w:usb0="00000000" w:usb1="00000000" w:usb2="00000000" w:usb3="00000000" w:csb0="00040000" w:csb1="00000000"/>
    <w:embedRegular r:id="rId7" w:fontKey="{D85E4B56-2511-4E66-ADC7-ACB85AC620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D2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42767D">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7B42767D">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F552">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3EB7449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7B7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D071A7"/>
    <w:rsid w:val="0A403168"/>
    <w:rsid w:val="1A420819"/>
    <w:rsid w:val="2B1533B6"/>
    <w:rsid w:val="3B161330"/>
    <w:rsid w:val="53D24957"/>
    <w:rsid w:val="593B28A8"/>
    <w:rsid w:val="5B8524FF"/>
    <w:rsid w:val="606A0A6F"/>
    <w:rsid w:val="76BF02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Normal"/>
    <w:basedOn w:val="1"/>
    <w:qFormat/>
    <w:uiPriority w:val="0"/>
    <w:pPr>
      <w:jc w:val="left"/>
    </w:pPr>
    <w:rPr>
      <w:rFonts w:ascii="宋体" w:hAnsi="宋体" w:eastAsia="宋体" w:cs="宋体"/>
      <w:sz w:val="24"/>
      <w:szCs w:val="24"/>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62d6b-9453-434a-8862-ad0f6ad48275}">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768</Words>
  <Characters>796</Characters>
  <Lines>0</Lines>
  <Paragraphs>0</Paragraphs>
  <TotalTime>97</TotalTime>
  <ScaleCrop>false</ScaleCrop>
  <LinksUpToDate>false</LinksUpToDate>
  <CharactersWithSpaces>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2025-09-28T06:53:05Z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461580F9F13D4578968910706BAC5BF5_12</vt:lpwstr>
  </property>
  <property fmtid="{D5CDD505-2E9C-101B-9397-08002B2CF9AE}" pid="3" name="KSOProductBuildVer">
    <vt:lpwstr>2052-12.1.0.21915</vt:lpwstr>
  </property>
  <property fmtid="{D5CDD505-2E9C-101B-9397-08002B2CF9AE}" pid="4" name="KSOTemplateDocerSaveRecord">
    <vt:lpwstr>eyJoZGlkIjoiY2JkYWMzYjdjN2FmZDQ2NmFlMjVkNjEzYWFhYjc2YTgiLCJ1c2VySWQiOiIxNjM5NDc3NzkzIn0=</vt:lpwstr>
  </property>
</Properties>
</file>