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7D425">
      <w:pPr>
        <w:spacing w:line="343" w:lineRule="auto"/>
        <w:jc w:val="center"/>
        <w:rPr>
          <w:rFonts w:ascii="方正小标宋_GBK" w:hAnsi="方正小标宋简体" w:eastAsia="方正小标宋_GBK" w:cs="方正小标宋简体"/>
          <w:spacing w:val="15"/>
          <w:sz w:val="44"/>
          <w:szCs w:val="44"/>
          <w:lang w:eastAsia="zh-CN"/>
        </w:rPr>
      </w:pPr>
      <w:r>
        <w:rPr>
          <w:rFonts w:hint="eastAsia" w:ascii="方正小标宋_GBK" w:hAnsi="方正小标宋简体" w:eastAsia="方正小标宋_GBK" w:cs="方正小标宋简体"/>
          <w:spacing w:val="15"/>
          <w:sz w:val="44"/>
          <w:szCs w:val="44"/>
          <w:lang w:eastAsia="zh-CN"/>
        </w:rPr>
        <w:t>云南省</w:t>
      </w:r>
      <w:r>
        <w:rPr>
          <w:rFonts w:hint="eastAsia" w:ascii="方正小标宋_GBK" w:hAnsi="方正小标宋简体" w:eastAsia="方正小标宋_GBK" w:cs="方正小标宋简体"/>
          <w:sz w:val="44"/>
          <w:szCs w:val="44"/>
          <w:lang w:eastAsia="zh-CN"/>
        </w:rPr>
        <w:t>华宁县</w:t>
      </w:r>
      <w:r>
        <w:rPr>
          <w:rFonts w:hint="eastAsia" w:ascii="方正小标宋_GBK" w:hAnsi="方正小标宋简体" w:eastAsia="方正小标宋_GBK" w:cs="方正小标宋简体"/>
          <w:spacing w:val="15"/>
          <w:sz w:val="44"/>
          <w:szCs w:val="44"/>
          <w:lang w:eastAsia="zh-CN"/>
        </w:rPr>
        <w:t>烟草制品零售点</w:t>
      </w:r>
    </w:p>
    <w:p w14:paraId="596B9651">
      <w:pPr>
        <w:spacing w:line="343" w:lineRule="auto"/>
        <w:jc w:val="center"/>
        <w:rPr>
          <w:rFonts w:ascii="方正小标宋_GBK" w:hAnsi="方正小标宋简体" w:eastAsia="方正小标宋_GBK" w:cs="方正小标宋简体"/>
          <w:spacing w:val="15"/>
          <w:sz w:val="44"/>
          <w:szCs w:val="44"/>
          <w:lang w:eastAsia="zh-CN"/>
        </w:rPr>
      </w:pPr>
      <w:r>
        <w:rPr>
          <w:rFonts w:hint="eastAsia" w:ascii="方正小标宋_GBK" w:hAnsi="方正小标宋简体" w:eastAsia="方正小标宋_GBK" w:cs="方正小标宋简体"/>
          <w:spacing w:val="10"/>
          <w:sz w:val="44"/>
          <w:szCs w:val="44"/>
          <w:lang w:eastAsia="zh-CN"/>
        </w:rPr>
        <w:t>合理布局规划（</w:t>
      </w:r>
      <w:r>
        <w:rPr>
          <w:rFonts w:hint="eastAsia" w:ascii="方正小标宋_GBK" w:hAnsi="方正小标宋简体" w:eastAsia="方正小标宋_GBK" w:cs="方正小标宋简体"/>
          <w:spacing w:val="10"/>
          <w:sz w:val="44"/>
          <w:szCs w:val="44"/>
          <w:lang w:val="en-US" w:eastAsia="zh-CN"/>
        </w:rPr>
        <w:t>征求意见稿</w:t>
      </w:r>
      <w:r>
        <w:rPr>
          <w:rFonts w:hint="eastAsia" w:ascii="方正小标宋_GBK" w:hAnsi="方正小标宋简体" w:eastAsia="方正小标宋_GBK" w:cs="方正小标宋简体"/>
          <w:spacing w:val="10"/>
          <w:sz w:val="44"/>
          <w:szCs w:val="44"/>
          <w:lang w:eastAsia="zh-CN"/>
        </w:rPr>
        <w:t>）</w:t>
      </w:r>
    </w:p>
    <w:p w14:paraId="11B2452D">
      <w:pPr>
        <w:spacing w:before="100" w:line="343" w:lineRule="auto"/>
        <w:ind w:left="3550" w:firstLine="632" w:firstLineChars="200"/>
        <w:jc w:val="both"/>
        <w:outlineLvl w:val="0"/>
        <w:rPr>
          <w:rFonts w:ascii="仿宋_GB2312" w:hAnsi="黑体" w:eastAsia="仿宋_GB2312" w:cs="黑体"/>
          <w:spacing w:val="3"/>
          <w:sz w:val="31"/>
          <w:szCs w:val="31"/>
          <w:lang w:eastAsia="zh-CN"/>
        </w:rPr>
      </w:pPr>
    </w:p>
    <w:p w14:paraId="383C528B">
      <w:pPr>
        <w:spacing w:before="100" w:line="343" w:lineRule="auto"/>
        <w:jc w:val="center"/>
        <w:outlineLvl w:val="0"/>
        <w:rPr>
          <w:rFonts w:ascii="黑体" w:hAnsi="黑体" w:eastAsia="黑体" w:cs="黑体"/>
          <w:spacing w:val="3"/>
          <w:sz w:val="32"/>
          <w:szCs w:val="32"/>
          <w:lang w:eastAsia="zh-CN"/>
        </w:rPr>
      </w:pPr>
      <w:r>
        <w:rPr>
          <w:rFonts w:hint="eastAsia" w:ascii="黑体" w:hAnsi="黑体" w:eastAsia="黑体" w:cs="黑体"/>
          <w:spacing w:val="3"/>
          <w:sz w:val="32"/>
          <w:szCs w:val="32"/>
          <w:lang w:eastAsia="zh-CN"/>
        </w:rPr>
        <w:t>第一章 总则</w:t>
      </w:r>
    </w:p>
    <w:p w14:paraId="5336EC10">
      <w:pPr>
        <w:spacing w:before="100" w:line="343" w:lineRule="auto"/>
        <w:jc w:val="both"/>
        <w:outlineLvl w:val="0"/>
        <w:rPr>
          <w:rFonts w:ascii="黑体" w:hAnsi="黑体" w:eastAsia="黑体" w:cs="黑体"/>
          <w:spacing w:val="3"/>
          <w:sz w:val="32"/>
          <w:szCs w:val="32"/>
          <w:lang w:eastAsia="zh-CN"/>
        </w:rPr>
      </w:pPr>
    </w:p>
    <w:p w14:paraId="33E2DBE9">
      <w:pPr>
        <w:spacing w:before="101" w:line="343" w:lineRule="auto"/>
        <w:ind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第一条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为深入推进“放管服”改革，依法依规、科学合理制定烟草制品零售点合理布局规划，提升烟草专卖行政许可的公开性、公平性和公正性，依据《中华人民共和国行政许可法》《中华人民共和国未成年人保护法》《中华人民共和国烟草专卖法》《中华人民共和国烟草专卖法实施条例》《烟草专卖许可证管理办法》《烟草专卖许可证管理办法实施细则》等法律、法规、规章和国家烟草专卖局的有关规定，结合华宁县实际，制定本规划。</w:t>
      </w:r>
    </w:p>
    <w:p w14:paraId="05599C4F">
      <w:pPr>
        <w:spacing w:before="59" w:line="343" w:lineRule="auto"/>
        <w:ind w:left="17" w:right="154"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 xml:space="preserve">第二条 </w:t>
      </w:r>
      <w:r>
        <w:rPr>
          <w:rFonts w:hint="eastAsia" w:ascii="仿宋_GB2312" w:hAnsi="黑体" w:eastAsia="仿宋_GB2312" w:cs="黑体"/>
          <w:spacing w:val="3"/>
          <w:sz w:val="32"/>
          <w:szCs w:val="32"/>
          <w:lang w:eastAsia="zh-CN"/>
        </w:rPr>
        <w:t>本规划适用于</w:t>
      </w:r>
      <w:r>
        <w:rPr>
          <w:rFonts w:hint="eastAsia" w:ascii="仿宋_GB2312" w:hAnsi="仿宋_GB2312" w:eastAsia="仿宋_GB2312" w:cs="仿宋_GB2312"/>
          <w:spacing w:val="24"/>
          <w:sz w:val="32"/>
          <w:szCs w:val="32"/>
          <w:lang w:eastAsia="zh-CN"/>
        </w:rPr>
        <w:t>云南省华宁县</w:t>
      </w:r>
      <w:r>
        <w:rPr>
          <w:rFonts w:hint="eastAsia" w:ascii="仿宋_GB2312" w:hAnsi="黑体" w:eastAsia="仿宋_GB2312" w:cs="黑体"/>
          <w:spacing w:val="3"/>
          <w:sz w:val="32"/>
          <w:szCs w:val="32"/>
          <w:lang w:eastAsia="zh-CN"/>
        </w:rPr>
        <w:t>行政辖区范围内烟草制品零售点的布局管理。电子烟零售点布局按照《云南省电子烟零售点布局规划》执行。</w:t>
      </w:r>
    </w:p>
    <w:p w14:paraId="17A7E1A8">
      <w:pPr>
        <w:spacing w:before="55" w:line="343" w:lineRule="auto"/>
        <w:ind w:left="11" w:right="58"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第三条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本规划所称烟草制品零售点（以下简称零售点）是指依法取得烟草专卖零售许可证（以下简称零售许可证）的公民、法人或其他组织从事烟草制品零售业务的经营场所。</w:t>
      </w:r>
    </w:p>
    <w:p w14:paraId="65A1674D">
      <w:pPr>
        <w:spacing w:before="55" w:line="343" w:lineRule="auto"/>
        <w:ind w:left="11" w:right="58" w:firstLine="66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pacing w:val="5"/>
          <w:sz w:val="32"/>
          <w:szCs w:val="32"/>
          <w:lang w:eastAsia="zh-CN"/>
        </w:rPr>
        <w:t>零售点应当设置于与住所相独立的固定经营场所，经营场所与住所应当在空间上相互独立，在物理特性上应有</w:t>
      </w:r>
      <w:r>
        <w:rPr>
          <w:rFonts w:hint="eastAsia" w:ascii="仿宋_GB2312" w:hAnsi="仿宋_GB2312" w:eastAsia="仿宋_GB2312" w:cs="仿宋_GB2312"/>
          <w:spacing w:val="24"/>
          <w:sz w:val="32"/>
          <w:szCs w:val="32"/>
          <w:lang w:eastAsia="zh-CN"/>
        </w:rPr>
        <w:t>实体墙相隔离。经营场所应有指向明确并唯一的门牌、地址或者方位表述，且与营业执照登记注册的经营场所一致，并面向公众经营。</w:t>
      </w:r>
    </w:p>
    <w:p w14:paraId="2F7C5D67">
      <w:pPr>
        <w:spacing w:before="55" w:line="343" w:lineRule="auto"/>
        <w:ind w:left="11" w:right="58"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第四条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本规划遵循依法行政、科学规划、服务社会、均衡发展原则，综合辖区内人口数量、交通状况、经济发展水平、消费能力等因素，对零售点进行科学合理的规划布局。</w:t>
      </w:r>
    </w:p>
    <w:p w14:paraId="41D77353">
      <w:pPr>
        <w:spacing w:before="100" w:line="343" w:lineRule="auto"/>
        <w:outlineLvl w:val="0"/>
        <w:rPr>
          <w:rFonts w:ascii="仿宋_GB2312" w:eastAsia="仿宋_GB2312"/>
          <w:sz w:val="32"/>
          <w:szCs w:val="32"/>
          <w:lang w:eastAsia="zh-CN"/>
        </w:rPr>
      </w:pPr>
    </w:p>
    <w:p w14:paraId="7BD7A57F">
      <w:pPr>
        <w:spacing w:before="100" w:line="343" w:lineRule="auto"/>
        <w:jc w:val="center"/>
        <w:outlineLvl w:val="0"/>
        <w:rPr>
          <w:rFonts w:ascii="黑体" w:hAnsi="黑体" w:eastAsia="黑体" w:cs="黑体"/>
          <w:spacing w:val="3"/>
          <w:sz w:val="32"/>
          <w:szCs w:val="32"/>
          <w:lang w:eastAsia="zh-CN"/>
        </w:rPr>
      </w:pPr>
      <w:r>
        <w:rPr>
          <w:rFonts w:hint="eastAsia" w:ascii="黑体" w:hAnsi="黑体" w:eastAsia="黑体" w:cs="黑体"/>
          <w:spacing w:val="3"/>
          <w:sz w:val="32"/>
          <w:szCs w:val="32"/>
          <w:lang w:eastAsia="zh-CN"/>
        </w:rPr>
        <w:t xml:space="preserve">第二章 </w:t>
      </w:r>
      <w:r>
        <w:rPr>
          <w:rFonts w:hint="eastAsia" w:ascii="黑体" w:hAnsi="黑体" w:eastAsia="黑体" w:cs="黑体"/>
          <w:spacing w:val="3"/>
          <w:sz w:val="32"/>
          <w:szCs w:val="32"/>
          <w:lang w:val="en-US" w:eastAsia="zh-CN"/>
        </w:rPr>
        <w:t>雪茄烟专营外</w:t>
      </w:r>
      <w:r>
        <w:rPr>
          <w:rFonts w:hint="eastAsia" w:ascii="黑体" w:hAnsi="黑体" w:eastAsia="黑体" w:cs="黑体"/>
          <w:spacing w:val="3"/>
          <w:sz w:val="32"/>
          <w:szCs w:val="32"/>
          <w:lang w:eastAsia="zh-CN"/>
        </w:rPr>
        <w:t>零售点布局标准</w:t>
      </w:r>
    </w:p>
    <w:p w14:paraId="54659D11">
      <w:pPr>
        <w:spacing w:before="100" w:line="343" w:lineRule="auto"/>
        <w:jc w:val="both"/>
        <w:outlineLvl w:val="0"/>
        <w:rPr>
          <w:rFonts w:ascii="黑体" w:hAnsi="黑体" w:eastAsia="黑体" w:cs="黑体"/>
          <w:spacing w:val="3"/>
          <w:sz w:val="32"/>
          <w:szCs w:val="32"/>
          <w:lang w:eastAsia="zh-CN"/>
        </w:rPr>
      </w:pPr>
    </w:p>
    <w:p w14:paraId="7AA59201">
      <w:pPr>
        <w:spacing w:before="100" w:line="343" w:lineRule="auto"/>
        <w:ind w:firstLine="675"/>
        <w:jc w:val="both"/>
        <w:outlineLvl w:val="0"/>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 xml:space="preserve">第五条 </w:t>
      </w:r>
      <w:r>
        <w:rPr>
          <w:rFonts w:hint="eastAsia" w:ascii="仿宋_GB2312" w:hAnsi="仿宋_GB2312" w:eastAsia="仿宋_GB2312" w:cs="仿宋_GB2312"/>
          <w:spacing w:val="24"/>
          <w:sz w:val="32"/>
          <w:szCs w:val="32"/>
          <w:lang w:eastAsia="zh-CN"/>
        </w:rPr>
        <w:t>本章适用于经营范围除“仅为雪茄烟本店零售”以外的卷烟、雪茄烟、消费类烟丝的零售点布局管理。</w:t>
      </w:r>
    </w:p>
    <w:p w14:paraId="79F9C735">
      <w:pPr>
        <w:spacing w:before="100" w:line="343" w:lineRule="auto"/>
        <w:ind w:firstLine="675"/>
        <w:jc w:val="both"/>
        <w:outlineLvl w:val="0"/>
        <w:rPr>
          <w:rFonts w:ascii="黑体" w:hAnsi="黑体" w:eastAsia="黑体" w:cs="黑体"/>
          <w:spacing w:val="3"/>
          <w:sz w:val="32"/>
          <w:szCs w:val="32"/>
          <w:lang w:eastAsia="zh-CN"/>
        </w:rPr>
      </w:pPr>
      <w:r>
        <w:rPr>
          <w:rFonts w:hint="eastAsia" w:ascii="仿宋_GB2312" w:hAnsi="仿宋_GB2312" w:eastAsia="仿宋_GB2312" w:cs="仿宋_GB2312"/>
          <w:b/>
          <w:spacing w:val="24"/>
          <w:sz w:val="32"/>
          <w:szCs w:val="32"/>
          <w:lang w:eastAsia="zh-CN"/>
        </w:rPr>
        <w:t>第六条</w:t>
      </w:r>
      <w:r>
        <w:rPr>
          <w:rFonts w:hint="eastAsia" w:ascii="仿宋_GB2312" w:hAnsi="仿宋_GB2312" w:eastAsia="仿宋_GB2312" w:cs="仿宋_GB2312"/>
          <w:spacing w:val="24"/>
          <w:sz w:val="32"/>
          <w:szCs w:val="32"/>
          <w:lang w:eastAsia="zh-CN"/>
        </w:rPr>
        <w:t xml:space="preserve"> 零售点布局采用数量限制、距离限制、数量限制与距离限制相结合以及不予设置烟草制品零售点等布局标准。</w:t>
      </w:r>
    </w:p>
    <w:p w14:paraId="2168A01D">
      <w:pPr>
        <w:spacing w:before="60" w:line="343" w:lineRule="auto"/>
        <w:ind w:left="15" w:right="95"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 xml:space="preserve">第七条 </w:t>
      </w:r>
      <w:r>
        <w:rPr>
          <w:rFonts w:hint="eastAsia" w:ascii="仿宋_GB2312" w:hAnsi="仿宋_GB2312" w:eastAsia="仿宋_GB2312" w:cs="仿宋_GB2312"/>
          <w:spacing w:val="24"/>
          <w:sz w:val="32"/>
          <w:szCs w:val="32"/>
          <w:lang w:eastAsia="zh-CN"/>
        </w:rPr>
        <w:t>根据地域面积、人口数量、交通状况、经济发展水平、居民消费能力、消费购买习惯等因素，合理确定区域零售点规划数，并划定单元网格。单元网格零售点规划数是指单元网格内可设置零售点的数量。总量规划数是指华宁县辖区范围内所有单元网格零售点规划数之和。</w:t>
      </w:r>
    </w:p>
    <w:p w14:paraId="45D340B1">
      <w:pPr>
        <w:spacing w:before="52" w:line="343" w:lineRule="auto"/>
        <w:ind w:left="17" w:right="95"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除本章规定的特殊区域外，单元网格内零售点数量达到规划数时，该单元网格不予新设零售点。</w:t>
      </w:r>
    </w:p>
    <w:p w14:paraId="430865E0">
      <w:pPr>
        <w:spacing w:before="101" w:line="343" w:lineRule="auto"/>
        <w:ind w:right="95"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 xml:space="preserve">第八条 </w:t>
      </w:r>
      <w:r>
        <w:rPr>
          <w:rFonts w:hint="eastAsia" w:ascii="仿宋_GB2312" w:hAnsi="仿宋_GB2312" w:eastAsia="仿宋_GB2312" w:cs="仿宋_GB2312"/>
          <w:spacing w:val="24"/>
          <w:sz w:val="32"/>
          <w:szCs w:val="32"/>
          <w:lang w:eastAsia="zh-CN"/>
        </w:rPr>
        <w:t>根据零售市场状态、交通状况、人口热度、消费购买习惯等因素，合理确定零售点间距。零售点间距是指申请人拟从事烟草制品零售业务的经营场所与最近的烟草制品零售点之间的距离。测量的总体原则为两个零售点“门边到门边”可安全步行的最短距离。测量规则及标准详见《云南省华宁县烟草制品零售点间距测量规则及标准》（附件1）。</w:t>
      </w:r>
    </w:p>
    <w:p w14:paraId="0095656C">
      <w:pPr>
        <w:spacing w:before="57" w:line="343" w:lineRule="auto"/>
        <w:ind w:left="11"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 xml:space="preserve">第九条 </w:t>
      </w:r>
      <w:r>
        <w:rPr>
          <w:rFonts w:hint="eastAsia" w:ascii="仿宋_GB2312" w:hAnsi="仿宋_GB2312" w:eastAsia="仿宋_GB2312" w:cs="仿宋_GB2312"/>
          <w:spacing w:val="24"/>
          <w:sz w:val="32"/>
          <w:szCs w:val="32"/>
          <w:lang w:eastAsia="zh-CN"/>
        </w:rPr>
        <w:t>火车站、汽车站等相对封闭的内部等候区，可设置1个零售点，不受单元网格规划数及总量规划数限制。</w:t>
      </w:r>
    </w:p>
    <w:p w14:paraId="11D2E8E4">
      <w:pPr>
        <w:spacing w:before="63" w:line="343" w:lineRule="auto"/>
        <w:ind w:left="9" w:right="116"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第十条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部队、监狱、看守所、戒毒所等封闭式特殊区域，可设置1个零售点，不受单元网格规划数及总量规划数限制。</w:t>
      </w:r>
    </w:p>
    <w:p w14:paraId="3356162D">
      <w:pPr>
        <w:spacing w:before="55" w:line="343" w:lineRule="auto"/>
        <w:ind w:right="35" w:firstLine="736" w:firstLineChars="200"/>
        <w:jc w:val="both"/>
        <w:rPr>
          <w:rFonts w:hint="eastAsia"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高速公路单侧加油站（含服务区），可设置1个零售点，不受单元网格规划数及总量规划数限制。</w:t>
      </w:r>
    </w:p>
    <w:p w14:paraId="0178E418">
      <w:pPr>
        <w:spacing w:before="55" w:line="343" w:lineRule="auto"/>
        <w:ind w:right="35" w:firstLine="655" w:firstLineChars="200"/>
        <w:jc w:val="both"/>
        <w:rPr>
          <w:rFonts w:hint="eastAsia" w:ascii="仿宋_GB2312" w:hAnsi="仿宋_GB2312" w:eastAsia="仿宋_GB2312" w:cs="仿宋_GB2312"/>
          <w:spacing w:val="24"/>
          <w:sz w:val="32"/>
          <w:szCs w:val="32"/>
          <w:lang w:eastAsia="zh-CN"/>
        </w:rPr>
      </w:pPr>
      <w:r>
        <w:rPr>
          <w:rFonts w:hint="eastAsia" w:ascii="仿宋_GB2312" w:hAnsi="黑体" w:eastAsia="仿宋_GB2312" w:cs="黑体"/>
          <w:b/>
          <w:color w:val="FF0000"/>
          <w:spacing w:val="3"/>
          <w:sz w:val="32"/>
          <w:szCs w:val="32"/>
          <w:lang w:val="en-US" w:eastAsia="zh-CN"/>
        </w:rPr>
        <w:t>第十一条</w:t>
      </w:r>
      <w:r>
        <w:rPr>
          <w:rFonts w:hint="eastAsia" w:ascii="仿宋_GB2312" w:hAnsi="仿宋_GB2312" w:eastAsia="仿宋_GB2312" w:cs="仿宋_GB2312"/>
          <w:color w:val="FF0000"/>
          <w:spacing w:val="24"/>
          <w:sz w:val="32"/>
          <w:szCs w:val="32"/>
          <w:lang w:val="en-US" w:eastAsia="zh-CN"/>
        </w:rPr>
        <w:t xml:space="preserve"> </w:t>
      </w:r>
      <w:r>
        <w:rPr>
          <w:rFonts w:hint="eastAsia" w:ascii="仿宋_GB2312" w:hAnsi="仿宋_GB2312" w:eastAsia="仿宋_GB2312" w:cs="仿宋_GB2312"/>
          <w:color w:val="FF0000"/>
          <w:spacing w:val="24"/>
          <w:sz w:val="32"/>
          <w:szCs w:val="32"/>
          <w:lang w:eastAsia="zh-CN"/>
        </w:rPr>
        <w:t>经营场所经营面积（不包括仓库、车库、休息室、办公场所等辅助设施面积）达到2</w:t>
      </w:r>
      <w:r>
        <w:rPr>
          <w:rFonts w:hint="eastAsia" w:ascii="仿宋_GB2312" w:hAnsi="仿宋_GB2312" w:eastAsia="仿宋_GB2312" w:cs="仿宋_GB2312"/>
          <w:color w:val="FF0000"/>
          <w:spacing w:val="24"/>
          <w:sz w:val="32"/>
          <w:szCs w:val="32"/>
          <w:lang w:val="en-US" w:eastAsia="zh-CN"/>
        </w:rPr>
        <w:t>00平方米以上</w:t>
      </w:r>
      <w:r>
        <w:rPr>
          <w:rFonts w:hint="eastAsia" w:ascii="仿宋_GB2312" w:hAnsi="仿宋_GB2312" w:eastAsia="仿宋_GB2312" w:cs="仿宋_GB2312"/>
          <w:color w:val="FF0000"/>
          <w:spacing w:val="24"/>
          <w:sz w:val="32"/>
          <w:szCs w:val="32"/>
          <w:lang w:eastAsia="zh-CN"/>
        </w:rPr>
        <w:t>的商场、超市、便利店或烟草专业店。可单独设置1个零售点，不受</w:t>
      </w:r>
      <w:r>
        <w:rPr>
          <w:rFonts w:hint="eastAsia" w:ascii="仿宋_GB2312" w:hAnsi="仿宋_GB2312" w:eastAsia="仿宋_GB2312" w:cs="仿宋_GB2312"/>
          <w:color w:val="FF0000"/>
          <w:spacing w:val="24"/>
          <w:sz w:val="32"/>
          <w:szCs w:val="32"/>
          <w:lang w:val="en-US" w:eastAsia="zh-CN"/>
        </w:rPr>
        <w:t>本</w:t>
      </w:r>
      <w:r>
        <w:rPr>
          <w:rFonts w:hint="eastAsia" w:ascii="仿宋_GB2312" w:hAnsi="仿宋_GB2312" w:eastAsia="仿宋_GB2312" w:cs="仿宋_GB2312"/>
          <w:color w:val="FF0000"/>
          <w:spacing w:val="24"/>
          <w:sz w:val="32"/>
          <w:szCs w:val="32"/>
          <w:lang w:eastAsia="zh-CN"/>
        </w:rPr>
        <w:t>单元网格规划数</w:t>
      </w:r>
      <w:r>
        <w:rPr>
          <w:rFonts w:hint="eastAsia" w:ascii="仿宋_GB2312" w:hAnsi="仿宋_GB2312" w:eastAsia="仿宋_GB2312" w:cs="仿宋_GB2312"/>
          <w:color w:val="FF0000"/>
          <w:spacing w:val="24"/>
          <w:sz w:val="32"/>
          <w:szCs w:val="32"/>
          <w:lang w:val="en-US" w:eastAsia="zh-CN"/>
        </w:rPr>
        <w:t>和</w:t>
      </w:r>
      <w:r>
        <w:rPr>
          <w:rFonts w:hint="eastAsia" w:ascii="仿宋_GB2312" w:hAnsi="仿宋_GB2312" w:eastAsia="仿宋_GB2312" w:cs="仿宋_GB2312"/>
          <w:color w:val="FF0000"/>
          <w:spacing w:val="24"/>
          <w:sz w:val="32"/>
          <w:szCs w:val="32"/>
          <w:lang w:eastAsia="zh-CN"/>
        </w:rPr>
        <w:t>本单元网格间距标准限制。</w:t>
      </w:r>
    </w:p>
    <w:p w14:paraId="4F090F2F">
      <w:pPr>
        <w:spacing w:before="55" w:line="343" w:lineRule="auto"/>
        <w:ind w:right="35" w:firstLine="655" w:firstLineChars="200"/>
        <w:jc w:val="both"/>
        <w:rPr>
          <w:rFonts w:hint="eastAsia" w:ascii="仿宋_GB2312" w:hAnsi="仿宋_GB2312" w:eastAsia="仿宋_GB2312" w:cs="仿宋_GB2312"/>
          <w:color w:val="FF0000"/>
          <w:spacing w:val="24"/>
          <w:sz w:val="32"/>
          <w:szCs w:val="32"/>
          <w:lang w:eastAsia="zh-CN"/>
        </w:rPr>
      </w:pPr>
      <w:r>
        <w:rPr>
          <w:rFonts w:hint="eastAsia" w:ascii="仿宋_GB2312" w:hAnsi="黑体" w:eastAsia="仿宋_GB2312" w:cs="黑体"/>
          <w:b/>
          <w:color w:val="FF0000"/>
          <w:spacing w:val="3"/>
          <w:sz w:val="32"/>
          <w:szCs w:val="32"/>
          <w:lang w:val="en-US" w:eastAsia="zh-CN"/>
        </w:rPr>
        <w:t>第十二条</w:t>
      </w:r>
      <w:r>
        <w:rPr>
          <w:rFonts w:hint="eastAsia" w:ascii="仿宋_GB2312" w:hAnsi="仿宋_GB2312" w:eastAsia="仿宋_GB2312" w:cs="仿宋_GB2312"/>
          <w:color w:val="FF0000"/>
          <w:spacing w:val="24"/>
          <w:sz w:val="32"/>
          <w:szCs w:val="32"/>
          <w:lang w:val="en-US" w:eastAsia="zh-CN"/>
        </w:rPr>
        <w:t xml:space="preserve"> </w:t>
      </w:r>
      <w:r>
        <w:rPr>
          <w:rFonts w:hint="eastAsia" w:ascii="仿宋_GB2312" w:hAnsi="仿宋_GB2312" w:eastAsia="仿宋_GB2312" w:cs="仿宋_GB2312"/>
          <w:color w:val="FF0000"/>
          <w:spacing w:val="24"/>
          <w:sz w:val="32"/>
          <w:szCs w:val="32"/>
          <w:lang w:eastAsia="zh-CN"/>
        </w:rPr>
        <w:t>商用办公楼宇公共楼层已形成实际商品展卖场所的，每栋楼宇可设置1个零售点，不受</w:t>
      </w:r>
      <w:r>
        <w:rPr>
          <w:rFonts w:hint="eastAsia" w:ascii="仿宋_GB2312" w:hAnsi="仿宋_GB2312" w:eastAsia="仿宋_GB2312" w:cs="仿宋_GB2312"/>
          <w:color w:val="FF0000"/>
          <w:spacing w:val="24"/>
          <w:sz w:val="32"/>
          <w:szCs w:val="32"/>
          <w:lang w:val="en-US" w:eastAsia="zh-CN"/>
        </w:rPr>
        <w:t>本</w:t>
      </w:r>
      <w:r>
        <w:rPr>
          <w:rFonts w:hint="eastAsia" w:ascii="仿宋_GB2312" w:hAnsi="仿宋_GB2312" w:eastAsia="仿宋_GB2312" w:cs="仿宋_GB2312"/>
          <w:color w:val="FF0000"/>
          <w:spacing w:val="24"/>
          <w:sz w:val="32"/>
          <w:szCs w:val="32"/>
          <w:lang w:eastAsia="zh-CN"/>
        </w:rPr>
        <w:t>单元网格规划数</w:t>
      </w:r>
      <w:r>
        <w:rPr>
          <w:rFonts w:hint="eastAsia" w:ascii="仿宋_GB2312" w:hAnsi="仿宋_GB2312" w:eastAsia="仿宋_GB2312" w:cs="仿宋_GB2312"/>
          <w:color w:val="FF0000"/>
          <w:spacing w:val="24"/>
          <w:sz w:val="32"/>
          <w:szCs w:val="32"/>
          <w:lang w:val="en-US" w:eastAsia="zh-CN"/>
        </w:rPr>
        <w:t>和</w:t>
      </w:r>
      <w:r>
        <w:rPr>
          <w:rFonts w:hint="eastAsia" w:ascii="仿宋_GB2312" w:hAnsi="仿宋_GB2312" w:eastAsia="仿宋_GB2312" w:cs="仿宋_GB2312"/>
          <w:color w:val="FF0000"/>
          <w:spacing w:val="24"/>
          <w:sz w:val="32"/>
          <w:szCs w:val="32"/>
          <w:lang w:eastAsia="zh-CN"/>
        </w:rPr>
        <w:t>本单元网格间距标准限制，非公共楼层不予设置零售点。</w:t>
      </w:r>
    </w:p>
    <w:p w14:paraId="12C3F3D4">
      <w:pPr>
        <w:spacing w:before="55" w:line="343" w:lineRule="auto"/>
        <w:ind w:left="13" w:right="0" w:firstLine="655" w:firstLineChars="200"/>
        <w:jc w:val="both"/>
        <w:rPr>
          <w:rFonts w:hint="eastAsia" w:ascii="仿宋_GB2312" w:hAnsi="仿宋_GB2312" w:eastAsia="仿宋_GB2312" w:cs="仿宋_GB2312"/>
          <w:color w:val="FF0000"/>
          <w:spacing w:val="24"/>
          <w:sz w:val="32"/>
          <w:szCs w:val="32"/>
          <w:lang w:eastAsia="zh-CN"/>
        </w:rPr>
      </w:pPr>
      <w:r>
        <w:rPr>
          <w:rFonts w:hint="eastAsia" w:ascii="仿宋_GB2312" w:hAnsi="黑体" w:eastAsia="仿宋_GB2312" w:cs="黑体"/>
          <w:b/>
          <w:color w:val="FF0000"/>
          <w:spacing w:val="3"/>
          <w:sz w:val="32"/>
          <w:szCs w:val="32"/>
          <w:lang w:val="en-US" w:eastAsia="zh-CN"/>
        </w:rPr>
        <w:t>第十三条</w:t>
      </w:r>
      <w:r>
        <w:rPr>
          <w:rFonts w:hint="eastAsia" w:ascii="仿宋_GB2312" w:hAnsi="仿宋_GB2312" w:eastAsia="仿宋_GB2312" w:cs="仿宋_GB2312"/>
          <w:color w:val="FF0000"/>
          <w:spacing w:val="24"/>
          <w:sz w:val="32"/>
          <w:szCs w:val="32"/>
          <w:lang w:val="en-US" w:eastAsia="zh-CN"/>
        </w:rPr>
        <w:t xml:space="preserve"> </w:t>
      </w:r>
      <w:r>
        <w:rPr>
          <w:rFonts w:hint="eastAsia" w:ascii="仿宋_GB2312" w:hAnsi="仿宋_GB2312" w:eastAsia="仿宋_GB2312" w:cs="仿宋_GB2312"/>
          <w:color w:val="FF0000"/>
          <w:spacing w:val="24"/>
          <w:sz w:val="32"/>
          <w:szCs w:val="32"/>
          <w:lang w:eastAsia="zh-CN"/>
        </w:rPr>
        <w:t>农村行政村按本村常住人口布局设置零售点。原则上200人以上可设置1个零售点；400人以上可设置2个零售点，以此类推。常住人口以</w:t>
      </w:r>
      <w:r>
        <w:rPr>
          <w:rFonts w:hint="eastAsia" w:ascii="仿宋_GB2312" w:hAnsi="仿宋_GB2312" w:eastAsia="仿宋_GB2312" w:cs="仿宋_GB2312"/>
          <w:color w:val="FF0000"/>
          <w:spacing w:val="24"/>
          <w:sz w:val="32"/>
          <w:szCs w:val="32"/>
          <w:lang w:val="en-US" w:eastAsia="zh-CN"/>
        </w:rPr>
        <w:t>公安局</w:t>
      </w:r>
      <w:r>
        <w:rPr>
          <w:rFonts w:hint="eastAsia" w:ascii="仿宋_GB2312" w:hAnsi="仿宋_GB2312" w:eastAsia="仿宋_GB2312" w:cs="仿宋_GB2312"/>
          <w:color w:val="FF0000"/>
          <w:spacing w:val="24"/>
          <w:sz w:val="32"/>
          <w:szCs w:val="32"/>
          <w:lang w:eastAsia="zh-CN"/>
        </w:rPr>
        <w:t>提供的上一年度数据为准。</w:t>
      </w:r>
    </w:p>
    <w:p w14:paraId="30EB2151">
      <w:pPr>
        <w:spacing w:before="55" w:line="343" w:lineRule="auto"/>
        <w:ind w:left="13" w:right="0" w:firstLine="736" w:firstLineChars="200"/>
        <w:jc w:val="both"/>
        <w:rPr>
          <w:rFonts w:hint="default" w:ascii="仿宋_GB2312" w:hAnsi="仿宋_GB2312" w:eastAsia="仿宋_GB2312" w:cs="仿宋_GB2312"/>
          <w:color w:val="FF0000"/>
          <w:spacing w:val="24"/>
          <w:sz w:val="32"/>
          <w:szCs w:val="32"/>
          <w:lang w:val="en-US" w:eastAsia="zh-CN"/>
        </w:rPr>
      </w:pPr>
      <w:r>
        <w:rPr>
          <w:rFonts w:hint="eastAsia" w:ascii="仿宋_GB2312" w:hAnsi="仿宋_GB2312" w:eastAsia="仿宋_GB2312" w:cs="仿宋_GB2312"/>
          <w:color w:val="FF0000"/>
          <w:spacing w:val="24"/>
          <w:sz w:val="32"/>
          <w:szCs w:val="32"/>
          <w:lang w:val="en-US" w:eastAsia="zh-CN"/>
        </w:rPr>
        <w:t>国道、省道、乡镇公路两侧除城区、集镇段外，按所在农村行政村的人口设置零售点。</w:t>
      </w:r>
    </w:p>
    <w:p w14:paraId="0819B6E8">
      <w:pPr>
        <w:widowControl w:val="0"/>
        <w:numPr>
          <w:ilvl w:val="0"/>
          <w:numId w:val="0"/>
        </w:numPr>
        <w:kinsoku/>
        <w:autoSpaceDE/>
        <w:autoSpaceDN/>
        <w:adjustRightInd/>
        <w:snapToGrid/>
        <w:spacing w:before="0" w:line="336" w:lineRule="auto"/>
        <w:ind w:right="0" w:firstLine="655" w:firstLineChars="200"/>
        <w:jc w:val="left"/>
        <w:textAlignment w:val="auto"/>
        <w:rPr>
          <w:rFonts w:hint="eastAsia" w:ascii="仿宋_GB2312" w:hAnsi="仿宋_GB2312" w:eastAsia="仿宋_GB2312" w:cs="仿宋_GB2312"/>
          <w:spacing w:val="24"/>
          <w:sz w:val="32"/>
          <w:szCs w:val="32"/>
          <w:lang w:val="en-US" w:eastAsia="zh-CN"/>
        </w:rPr>
      </w:pPr>
      <w:r>
        <w:rPr>
          <w:rFonts w:hint="eastAsia" w:ascii="仿宋_GB2312" w:hAnsi="黑体" w:eastAsia="仿宋_GB2312" w:cs="黑体"/>
          <w:b/>
          <w:bCs w:val="0"/>
          <w:i w:val="0"/>
          <w:caps w:val="0"/>
          <w:color w:val="FF0000"/>
          <w:spacing w:val="3"/>
          <w:sz w:val="32"/>
          <w:szCs w:val="32"/>
          <w:shd w:val="clear" w:fill="auto"/>
          <w:lang w:val="en-US" w:eastAsia="zh-CN"/>
        </w:rPr>
        <w:t>第十四条</w:t>
      </w:r>
      <w:r>
        <w:rPr>
          <w:rFonts w:hint="eastAsia" w:ascii="仿宋_GB2312" w:hAnsi="仿宋_GB2312" w:eastAsia="仿宋_GB2312" w:cs="仿宋_GB2312"/>
          <w:b w:val="0"/>
          <w:bCs w:val="0"/>
          <w:i w:val="0"/>
          <w:caps w:val="0"/>
          <w:color w:val="FF0000"/>
          <w:spacing w:val="0"/>
          <w:sz w:val="32"/>
          <w:szCs w:val="32"/>
          <w:shd w:val="clear" w:fill="FFFFFF"/>
          <w:lang w:val="en-US" w:eastAsia="zh-CN"/>
        </w:rPr>
        <w:t xml:space="preserve"> </w:t>
      </w:r>
      <w:r>
        <w:rPr>
          <w:rFonts w:hint="eastAsia" w:ascii="仿宋_GB2312" w:hAnsi="仿宋_GB2312" w:eastAsia="仿宋_GB2312" w:cs="仿宋_GB2312"/>
          <w:b w:val="0"/>
          <w:bCs w:val="0"/>
          <w:i w:val="0"/>
          <w:caps w:val="0"/>
          <w:color w:val="FF0000"/>
          <w:spacing w:val="24"/>
          <w:sz w:val="32"/>
          <w:szCs w:val="32"/>
          <w:shd w:val="clear" w:fill="auto"/>
          <w:lang w:val="en-US" w:eastAsia="zh-CN"/>
        </w:rPr>
        <w:t>人口较为集中、相对独立的综合性商（农）贸市场或区域，根据该区域内固定商铺数量，每10户设置1个零售点，且零售点间距不低于15米，设置总数最多不超过10户。若该区域内固定商铺数量不足10户，且无零售点的，可设置一个零售点；内外相通的临街铺面需同时达到内部数量＋距离限制和外围区域距离限制条件。</w:t>
      </w:r>
    </w:p>
    <w:p w14:paraId="3BB7F125">
      <w:pPr>
        <w:spacing w:before="55" w:line="343" w:lineRule="auto"/>
        <w:ind w:left="13"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第十</w:t>
      </w:r>
      <w:r>
        <w:rPr>
          <w:rFonts w:hint="eastAsia" w:ascii="仿宋_GB2312" w:hAnsi="黑体" w:eastAsia="仿宋_GB2312" w:cs="黑体"/>
          <w:b/>
          <w:spacing w:val="3"/>
          <w:sz w:val="32"/>
          <w:szCs w:val="32"/>
          <w:lang w:val="en-US" w:eastAsia="zh-CN"/>
        </w:rPr>
        <w:t>五</w:t>
      </w:r>
      <w:r>
        <w:rPr>
          <w:rFonts w:hint="eastAsia" w:ascii="仿宋_GB2312" w:hAnsi="黑体" w:eastAsia="仿宋_GB2312" w:cs="黑体"/>
          <w:b/>
          <w:spacing w:val="3"/>
          <w:sz w:val="32"/>
          <w:szCs w:val="32"/>
          <w:lang w:eastAsia="zh-CN"/>
        </w:rPr>
        <w:t>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本县零售点合理布局规划数及规划区域、单元网格等情况详见《云南省华宁县烟草制品雪茄烟专营外零售点合理布局公示表》（附件2）及《云南省华宁县烟草制品雪茄烟专营外零售点合理布局网格示意图》（附件3）。</w:t>
      </w:r>
    </w:p>
    <w:p w14:paraId="1AAAE3BF">
      <w:pPr>
        <w:spacing w:before="100" w:line="343" w:lineRule="auto"/>
        <w:jc w:val="center"/>
        <w:outlineLvl w:val="0"/>
        <w:rPr>
          <w:rFonts w:ascii="黑体" w:hAnsi="黑体" w:eastAsia="黑体" w:cs="黑体"/>
          <w:spacing w:val="3"/>
          <w:sz w:val="32"/>
          <w:szCs w:val="32"/>
          <w:lang w:eastAsia="zh-CN"/>
        </w:rPr>
      </w:pPr>
      <w:r>
        <w:rPr>
          <w:rFonts w:hint="eastAsia" w:ascii="黑体" w:hAnsi="黑体" w:eastAsia="黑体" w:cs="黑体"/>
          <w:spacing w:val="3"/>
          <w:sz w:val="32"/>
          <w:szCs w:val="32"/>
          <w:lang w:eastAsia="zh-CN"/>
        </w:rPr>
        <w:t>第三章</w:t>
      </w:r>
      <w:r>
        <w:rPr>
          <w:rFonts w:ascii="黑体" w:hAnsi="黑体" w:eastAsia="黑体" w:cs="黑体"/>
          <w:spacing w:val="3"/>
          <w:sz w:val="32"/>
          <w:szCs w:val="32"/>
          <w:lang w:eastAsia="zh-CN"/>
        </w:rPr>
        <w:t xml:space="preserve"> </w:t>
      </w:r>
      <w:r>
        <w:rPr>
          <w:rFonts w:hint="eastAsia" w:ascii="黑体" w:hAnsi="黑体" w:eastAsia="黑体" w:cs="黑体"/>
          <w:spacing w:val="3"/>
          <w:sz w:val="32"/>
          <w:szCs w:val="32"/>
          <w:lang w:eastAsia="zh-CN"/>
        </w:rPr>
        <w:t>雪茄烟专营零售点布局标准</w:t>
      </w:r>
    </w:p>
    <w:p w14:paraId="28EFDEEB">
      <w:pPr>
        <w:spacing w:before="55" w:line="343" w:lineRule="auto"/>
        <w:ind w:left="13" w:firstLine="736" w:firstLineChars="200"/>
        <w:jc w:val="both"/>
        <w:rPr>
          <w:rFonts w:ascii="仿宋_GB2312" w:hAnsi="仿宋_GB2312" w:eastAsia="仿宋_GB2312" w:cs="仿宋_GB2312"/>
          <w:spacing w:val="24"/>
          <w:sz w:val="32"/>
          <w:szCs w:val="32"/>
          <w:lang w:eastAsia="zh-CN"/>
        </w:rPr>
      </w:pPr>
    </w:p>
    <w:p w14:paraId="23C31246">
      <w:pPr>
        <w:spacing w:before="55" w:line="343" w:lineRule="auto"/>
        <w:ind w:left="13"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第十</w:t>
      </w:r>
      <w:r>
        <w:rPr>
          <w:rFonts w:hint="eastAsia" w:ascii="仿宋_GB2312" w:hAnsi="黑体" w:eastAsia="仿宋_GB2312" w:cs="黑体"/>
          <w:b/>
          <w:spacing w:val="3"/>
          <w:sz w:val="32"/>
          <w:szCs w:val="32"/>
          <w:lang w:val="en-US" w:eastAsia="zh-CN"/>
        </w:rPr>
        <w:t>六</w:t>
      </w:r>
      <w:r>
        <w:rPr>
          <w:rFonts w:hint="eastAsia" w:ascii="仿宋_GB2312" w:hAnsi="黑体" w:eastAsia="仿宋_GB2312" w:cs="黑体"/>
          <w:b/>
          <w:spacing w:val="3"/>
          <w:sz w:val="32"/>
          <w:szCs w:val="32"/>
          <w:lang w:eastAsia="zh-CN"/>
        </w:rPr>
        <w:t>条</w:t>
      </w:r>
      <w:r>
        <w:rPr>
          <w:rFonts w:hint="eastAsia" w:ascii="仿宋_GB2312" w:hAnsi="仿宋_GB2312" w:eastAsia="仿宋_GB2312" w:cs="仿宋_GB2312"/>
          <w:spacing w:val="24"/>
          <w:sz w:val="32"/>
          <w:szCs w:val="32"/>
          <w:lang w:eastAsia="zh-CN"/>
        </w:rPr>
        <w:t xml:space="preserve"> 本章适用于经营范围仅为雪茄烟本店零售的零售点布局管理。</w:t>
      </w:r>
    </w:p>
    <w:p w14:paraId="0DA0C5A0">
      <w:pPr>
        <w:spacing w:before="55" w:line="343" w:lineRule="auto"/>
        <w:ind w:left="13"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第十</w:t>
      </w:r>
      <w:r>
        <w:rPr>
          <w:rFonts w:hint="eastAsia" w:ascii="仿宋_GB2312" w:hAnsi="黑体" w:eastAsia="仿宋_GB2312" w:cs="黑体"/>
          <w:b/>
          <w:spacing w:val="3"/>
          <w:sz w:val="32"/>
          <w:szCs w:val="32"/>
          <w:lang w:val="en-US" w:eastAsia="zh-CN"/>
        </w:rPr>
        <w:t>七</w:t>
      </w:r>
      <w:r>
        <w:rPr>
          <w:rFonts w:hint="eastAsia" w:ascii="仿宋_GB2312" w:hAnsi="黑体" w:eastAsia="仿宋_GB2312" w:cs="黑体"/>
          <w:b/>
          <w:spacing w:val="3"/>
          <w:sz w:val="32"/>
          <w:szCs w:val="32"/>
          <w:lang w:eastAsia="zh-CN"/>
        </w:rPr>
        <w:t>条</w:t>
      </w:r>
      <w:r>
        <w:rPr>
          <w:rFonts w:hint="eastAsia" w:ascii="仿宋_GB2312" w:hAnsi="仿宋_GB2312" w:eastAsia="仿宋_GB2312" w:cs="仿宋_GB2312"/>
          <w:spacing w:val="24"/>
          <w:sz w:val="32"/>
          <w:szCs w:val="32"/>
          <w:lang w:eastAsia="zh-CN"/>
        </w:rPr>
        <w:t xml:space="preserve"> 雪茄烟专营零售点数量实行总量控制、动态调整模式，且不受其他烟草制品（</w:t>
      </w:r>
      <w:r>
        <w:rPr>
          <w:rFonts w:hint="eastAsia" w:ascii="仿宋_GB2312" w:hAnsi="仿宋_GB2312" w:eastAsia="仿宋_GB2312" w:cs="仿宋_GB2312"/>
          <w:spacing w:val="24"/>
          <w:sz w:val="32"/>
          <w:szCs w:val="32"/>
          <w:lang w:val="en-US" w:eastAsia="zh-CN"/>
        </w:rPr>
        <w:t>含电子烟</w:t>
      </w:r>
      <w:r>
        <w:rPr>
          <w:rFonts w:hint="eastAsia" w:ascii="仿宋_GB2312" w:hAnsi="仿宋_GB2312" w:eastAsia="仿宋_GB2312" w:cs="仿宋_GB2312"/>
          <w:spacing w:val="24"/>
          <w:sz w:val="32"/>
          <w:szCs w:val="32"/>
          <w:lang w:eastAsia="zh-CN"/>
        </w:rPr>
        <w:t>）零售点距离限制，规划数详见《云南省华宁县雪茄烟专营零售点合理布局公示表》（附件4）。</w:t>
      </w:r>
    </w:p>
    <w:p w14:paraId="6BCA3575">
      <w:pPr>
        <w:spacing w:before="55" w:line="343" w:lineRule="auto"/>
        <w:ind w:left="13"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第十</w:t>
      </w:r>
      <w:r>
        <w:rPr>
          <w:rFonts w:hint="eastAsia" w:ascii="仿宋_GB2312" w:hAnsi="黑体" w:eastAsia="仿宋_GB2312" w:cs="黑体"/>
          <w:b/>
          <w:spacing w:val="3"/>
          <w:sz w:val="32"/>
          <w:szCs w:val="32"/>
          <w:lang w:val="en-US" w:eastAsia="zh-CN"/>
        </w:rPr>
        <w:t>八</w:t>
      </w:r>
      <w:r>
        <w:rPr>
          <w:rFonts w:hint="eastAsia" w:ascii="仿宋_GB2312" w:hAnsi="黑体" w:eastAsia="仿宋_GB2312" w:cs="黑体"/>
          <w:b/>
          <w:spacing w:val="3"/>
          <w:sz w:val="32"/>
          <w:szCs w:val="32"/>
          <w:lang w:eastAsia="zh-CN"/>
        </w:rPr>
        <w:t>条</w:t>
      </w:r>
      <w:r>
        <w:rPr>
          <w:rFonts w:hint="eastAsia" w:ascii="仿宋_GB2312" w:hAnsi="仿宋_GB2312" w:eastAsia="仿宋_GB2312" w:cs="仿宋_GB2312"/>
          <w:spacing w:val="24"/>
          <w:sz w:val="32"/>
          <w:szCs w:val="32"/>
          <w:lang w:eastAsia="zh-CN"/>
        </w:rPr>
        <w:t xml:space="preserve"> 取得雪茄烟本店零售许可的经营主体如需变更烟草专卖零售许可</w:t>
      </w:r>
      <w:r>
        <w:rPr>
          <w:rFonts w:hint="eastAsia" w:ascii="仿宋_GB2312" w:hAnsi="仿宋_GB2312" w:eastAsia="仿宋_GB2312" w:cs="仿宋_GB2312"/>
          <w:spacing w:val="24"/>
          <w:sz w:val="32"/>
          <w:szCs w:val="32"/>
          <w:lang w:val="en-US" w:eastAsia="zh-CN"/>
        </w:rPr>
        <w:t>范围</w:t>
      </w:r>
      <w:r>
        <w:rPr>
          <w:rFonts w:hint="eastAsia" w:ascii="仿宋_GB2312" w:hAnsi="仿宋_GB2312" w:eastAsia="仿宋_GB2312" w:cs="仿宋_GB2312"/>
          <w:spacing w:val="24"/>
          <w:sz w:val="32"/>
          <w:szCs w:val="32"/>
          <w:lang w:eastAsia="zh-CN"/>
        </w:rPr>
        <w:t>的，必须满足本规划及《云南省电子烟零售点布局规划》相关条件并按照有关规定办理。</w:t>
      </w:r>
    </w:p>
    <w:p w14:paraId="1BECB895">
      <w:pPr>
        <w:spacing w:before="100" w:line="343" w:lineRule="auto"/>
        <w:jc w:val="center"/>
        <w:outlineLvl w:val="0"/>
        <w:rPr>
          <w:rFonts w:ascii="仿宋_GB2312" w:hAnsi="仿宋_GB2312" w:eastAsia="仿宋_GB2312" w:cs="仿宋_GB2312"/>
          <w:spacing w:val="24"/>
          <w:sz w:val="32"/>
          <w:szCs w:val="32"/>
          <w:lang w:eastAsia="zh-CN"/>
        </w:rPr>
      </w:pPr>
    </w:p>
    <w:p w14:paraId="7E73181C">
      <w:pPr>
        <w:spacing w:before="100" w:line="343" w:lineRule="auto"/>
        <w:jc w:val="center"/>
        <w:outlineLvl w:val="0"/>
        <w:rPr>
          <w:rFonts w:ascii="黑体" w:hAnsi="黑体" w:eastAsia="黑体" w:cs="黑体"/>
          <w:spacing w:val="3"/>
          <w:sz w:val="32"/>
          <w:szCs w:val="32"/>
          <w:lang w:eastAsia="zh-CN"/>
        </w:rPr>
      </w:pPr>
      <w:r>
        <w:rPr>
          <w:rFonts w:hint="eastAsia" w:ascii="黑体" w:hAnsi="黑体" w:eastAsia="黑体" w:cs="黑体"/>
          <w:spacing w:val="3"/>
          <w:sz w:val="32"/>
          <w:szCs w:val="32"/>
          <w:lang w:eastAsia="zh-CN"/>
        </w:rPr>
        <w:t>第四章</w:t>
      </w:r>
      <w:r>
        <w:rPr>
          <w:rFonts w:ascii="黑体" w:hAnsi="黑体" w:eastAsia="黑体" w:cs="黑体"/>
          <w:spacing w:val="3"/>
          <w:sz w:val="32"/>
          <w:szCs w:val="32"/>
          <w:lang w:eastAsia="zh-CN"/>
        </w:rPr>
        <w:t xml:space="preserve"> </w:t>
      </w:r>
      <w:r>
        <w:rPr>
          <w:rFonts w:hint="eastAsia" w:ascii="黑体" w:hAnsi="黑体" w:eastAsia="黑体" w:cs="黑体"/>
          <w:spacing w:val="3"/>
          <w:sz w:val="32"/>
          <w:szCs w:val="32"/>
          <w:lang w:eastAsia="zh-CN"/>
        </w:rPr>
        <w:t>放宽及限制情形</w:t>
      </w:r>
    </w:p>
    <w:p w14:paraId="2070D774">
      <w:pPr>
        <w:spacing w:before="55" w:line="343" w:lineRule="auto"/>
        <w:ind w:left="13" w:firstLine="736" w:firstLineChars="200"/>
        <w:jc w:val="both"/>
        <w:rPr>
          <w:rFonts w:ascii="仿宋_GB2312" w:hAnsi="仿宋_GB2312" w:eastAsia="仿宋_GB2312" w:cs="仿宋_GB2312"/>
          <w:spacing w:val="24"/>
          <w:sz w:val="32"/>
          <w:szCs w:val="32"/>
          <w:lang w:eastAsia="zh-CN"/>
        </w:rPr>
      </w:pPr>
    </w:p>
    <w:p w14:paraId="355A9750">
      <w:pPr>
        <w:spacing w:before="63" w:line="343" w:lineRule="auto"/>
        <w:ind w:left="12" w:right="63"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第十</w:t>
      </w:r>
      <w:r>
        <w:rPr>
          <w:rFonts w:hint="eastAsia" w:ascii="仿宋_GB2312" w:hAnsi="黑体" w:eastAsia="仿宋_GB2312" w:cs="黑体"/>
          <w:b/>
          <w:spacing w:val="3"/>
          <w:sz w:val="32"/>
          <w:szCs w:val="32"/>
          <w:lang w:val="en-US" w:eastAsia="zh-CN"/>
        </w:rPr>
        <w:t>九</w:t>
      </w:r>
      <w:r>
        <w:rPr>
          <w:rFonts w:hint="eastAsia" w:ascii="仿宋_GB2312" w:hAnsi="黑体" w:eastAsia="仿宋_GB2312" w:cs="黑体"/>
          <w:b/>
          <w:spacing w:val="3"/>
          <w:sz w:val="32"/>
          <w:szCs w:val="32"/>
          <w:lang w:eastAsia="zh-CN"/>
        </w:rPr>
        <w:t>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具有下列情形之一的，不予发放烟草专卖零售许可证：</w:t>
      </w:r>
    </w:p>
    <w:p w14:paraId="6F6BB3D9">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（一）申请人为无民事行为能力人或者限制</w:t>
      </w:r>
      <w:r>
        <w:rPr>
          <w:rFonts w:hint="eastAsia" w:ascii="仿宋_GB2312" w:hAnsi="仿宋_GB2312" w:eastAsia="仿宋_GB2312" w:cs="仿宋_GB2312"/>
          <w:spacing w:val="24"/>
          <w:sz w:val="32"/>
          <w:szCs w:val="32"/>
          <w:lang w:val="en-US" w:eastAsia="zh-CN"/>
        </w:rPr>
        <w:t>民事</w:t>
      </w:r>
      <w:r>
        <w:rPr>
          <w:rFonts w:hint="eastAsia" w:ascii="仿宋_GB2312" w:hAnsi="仿宋_GB2312" w:eastAsia="仿宋_GB2312" w:cs="仿宋_GB2312"/>
          <w:spacing w:val="24"/>
          <w:sz w:val="32"/>
          <w:szCs w:val="32"/>
          <w:lang w:eastAsia="zh-CN"/>
        </w:rPr>
        <w:t>行为能力人的；</w:t>
      </w:r>
    </w:p>
    <w:p w14:paraId="11DF793B">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（二）申请人隐瞒有关情况或提供虚假材料的；因隐瞒有关情况或者提供虚假材料，烟草专卖局作出不予受理或者不予发证决定后，申请人一年内再次提出申请的；</w:t>
      </w:r>
    </w:p>
    <w:p w14:paraId="453A8767">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14:paraId="6499AEC8">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（四）外商投资的商业企业或者个体工商户，但有外资成分以提供住宿、餐饮、休闲、娱乐为主要经营的宾馆、酒店等属于娱乐服务类的企业除外；</w:t>
      </w:r>
    </w:p>
    <w:p w14:paraId="708A5CE1">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（五）无固定经营场所的：包括但不限于流动的摊、点、车、棚、简易板房、活动板房、临时占道的建筑等；</w:t>
      </w:r>
    </w:p>
    <w:p w14:paraId="071A1782">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（六）经营场所与住所不相独立的：包括但不限于经营场所为与住所可连通通行的客厅、餐厅、卧室、阳台、地下室、车库、储藏室等或居民楼内公用通道、楼梯间等；</w:t>
      </w:r>
    </w:p>
    <w:p w14:paraId="0F047BC5">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（七）经营场所已经办理了仍在有效期内的烟草专卖零售许可证的；经营场所位于党政机关内部的；经营场所基于安全因素不适宜经营卷烟的；</w:t>
      </w:r>
    </w:p>
    <w:p w14:paraId="3A0CE81E">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（八）县政府所在地中心区域中小学校、幼儿园学生正常出入的校门口（含通道）60米以内，乡镇及乡镇以下区域中小学校、幼儿园学生正常出入的校门口（含通道）40米以内；</w:t>
      </w:r>
    </w:p>
    <w:p w14:paraId="1C319F8B">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（九）利用自动售货机或者其他自动售货形式，销售或者变相销售烟草制品的，或者通过信息网络销售烟草专卖品的；</w:t>
      </w:r>
    </w:p>
    <w:p w14:paraId="6E677F89">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（十）经营业态存在容易诱导未成年人关注、购买、吸食卷烟或其他不利于未成年人保护的；经营业态专业性较强，且与烟草制品零售业务没有直接或间接互补营销关系的；</w:t>
      </w:r>
    </w:p>
    <w:p w14:paraId="3B68B462">
      <w:pPr>
        <w:spacing w:before="55" w:line="343" w:lineRule="auto"/>
        <w:ind w:left="1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（十一）法律、法规、规章、规范性文件等规定的其他不予许可的情形。</w:t>
      </w:r>
    </w:p>
    <w:p w14:paraId="3BACD727">
      <w:pPr>
        <w:spacing w:before="63" w:line="343" w:lineRule="auto"/>
        <w:ind w:left="12" w:right="63"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w:t>
      </w:r>
      <w:r>
        <w:rPr>
          <w:rFonts w:hint="eastAsia" w:ascii="仿宋_GB2312" w:hAnsi="黑体" w:eastAsia="仿宋_GB2312" w:cs="黑体"/>
          <w:b/>
          <w:spacing w:val="3"/>
          <w:sz w:val="32"/>
          <w:szCs w:val="32"/>
          <w:lang w:val="en-US" w:eastAsia="zh-CN"/>
        </w:rPr>
        <w:t>二十</w:t>
      </w:r>
      <w:r>
        <w:rPr>
          <w:rFonts w:hint="eastAsia" w:ascii="仿宋_GB2312" w:hAnsi="黑体" w:eastAsia="仿宋_GB2312" w:cs="黑体"/>
          <w:b/>
          <w:spacing w:val="3"/>
          <w:sz w:val="32"/>
          <w:szCs w:val="32"/>
          <w:lang w:eastAsia="zh-CN"/>
        </w:rPr>
        <w:t xml:space="preserve">条 </w:t>
      </w:r>
      <w:r>
        <w:rPr>
          <w:rFonts w:hint="eastAsia" w:ascii="仿宋_GB2312" w:hAnsi="仿宋_GB2312" w:eastAsia="仿宋_GB2312" w:cs="仿宋_GB2312"/>
          <w:spacing w:val="24"/>
          <w:sz w:val="32"/>
          <w:szCs w:val="32"/>
          <w:lang w:eastAsia="zh-CN"/>
        </w:rPr>
        <w:t>优抚对象、社会弱势群体等特殊群体申请</w:t>
      </w:r>
      <w:r>
        <w:rPr>
          <w:rFonts w:hint="eastAsia" w:ascii="仿宋_GB2312" w:hAnsi="仿宋_GB2312" w:eastAsia="仿宋_GB2312" w:cs="仿宋_GB2312"/>
          <w:spacing w:val="24"/>
          <w:sz w:val="32"/>
          <w:szCs w:val="32"/>
          <w:lang w:val="en-US" w:eastAsia="zh-CN"/>
        </w:rPr>
        <w:t>烟草专卖</w:t>
      </w:r>
      <w:r>
        <w:rPr>
          <w:rFonts w:hint="eastAsia" w:ascii="仿宋_GB2312" w:hAnsi="仿宋_GB2312" w:eastAsia="仿宋_GB2312" w:cs="仿宋_GB2312"/>
          <w:spacing w:val="24"/>
          <w:sz w:val="32"/>
          <w:szCs w:val="32"/>
          <w:lang w:eastAsia="zh-CN"/>
        </w:rPr>
        <w:t>零售许可证的，受所在单元网格规划数限制，零售点间距可放宽至本单元网格间距标准的80%执行。本规定政策，同一特殊群体申请人在云南省内仅适用一次。</w:t>
      </w:r>
    </w:p>
    <w:p w14:paraId="4ECD451C">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优抚对象、社会弱势群体是指：</w:t>
      </w:r>
    </w:p>
    <w:p w14:paraId="302BA961">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1.烈士家属、因公牺牲军人家属</w:t>
      </w:r>
      <w:r>
        <w:rPr>
          <w:rFonts w:hint="eastAsia" w:ascii="仿宋_GB2312" w:hAnsi="仿宋_GB2312" w:eastAsia="仿宋_GB2312" w:cs="仿宋_GB2312"/>
          <w:color w:val="FF0000"/>
          <w:sz w:val="32"/>
          <w:szCs w:val="32"/>
          <w:lang w:val="en-US" w:eastAsia="zh-CN"/>
        </w:rPr>
        <w:t>、病故军人遗属</w:t>
      </w:r>
      <w:r>
        <w:rPr>
          <w:rFonts w:hint="eastAsia" w:ascii="仿宋_GB2312" w:hAnsi="仿宋_GB2312" w:eastAsia="仿宋_GB2312" w:cs="仿宋_GB2312"/>
          <w:spacing w:val="24"/>
          <w:sz w:val="32"/>
          <w:szCs w:val="32"/>
          <w:lang w:eastAsia="zh-CN"/>
        </w:rPr>
        <w:t>；见义勇为牺牲人员家属。（本条中的家属包括父母、子女、配偶。）</w:t>
      </w:r>
    </w:p>
    <w:p w14:paraId="160DCB27">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2.符合以下条件之一，具有从事烟草专卖零售经营业务相应能力，且具有完全民事行为能力的残疾人：</w:t>
      </w:r>
    </w:p>
    <w:p w14:paraId="2A3753A3">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视力残疾：一级、二级；</w:t>
      </w:r>
    </w:p>
    <w:p w14:paraId="27905E19">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听力残疾：一级、二级；</w:t>
      </w:r>
    </w:p>
    <w:p w14:paraId="68769C4D">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言语残疾：一级、二级；</w:t>
      </w:r>
    </w:p>
    <w:p w14:paraId="29573128">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肢体残疾：一级、二级。</w:t>
      </w:r>
    </w:p>
    <w:p w14:paraId="110596B0">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3.国家明文给予政策扶持，确实具有需要扶持照顾的其他特殊情况的优抚对象，经属地烟草专卖局集体研究并向上级烟草专卖局报备，可以放宽办证条件。</w:t>
      </w:r>
    </w:p>
    <w:p w14:paraId="186F1A8B">
      <w:pPr>
        <w:spacing w:before="63" w:line="343" w:lineRule="auto"/>
        <w:ind w:left="12" w:right="63"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申请人应提交合法有效的证明文件。</w:t>
      </w:r>
    </w:p>
    <w:p w14:paraId="5A3A8470">
      <w:pPr>
        <w:spacing w:before="50" w:line="343" w:lineRule="auto"/>
        <w:ind w:left="7"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w:t>
      </w:r>
      <w:r>
        <w:rPr>
          <w:rFonts w:hint="eastAsia" w:ascii="仿宋_GB2312" w:hAnsi="黑体" w:eastAsia="仿宋_GB2312" w:cs="黑体"/>
          <w:b/>
          <w:spacing w:val="3"/>
          <w:sz w:val="32"/>
          <w:szCs w:val="32"/>
          <w:lang w:val="en-US" w:eastAsia="zh-CN"/>
        </w:rPr>
        <w:t>二十一</w:t>
      </w:r>
      <w:r>
        <w:rPr>
          <w:rFonts w:hint="eastAsia" w:ascii="仿宋_GB2312" w:hAnsi="黑体" w:eastAsia="仿宋_GB2312" w:cs="黑体"/>
          <w:b/>
          <w:spacing w:val="3"/>
          <w:sz w:val="32"/>
          <w:szCs w:val="32"/>
          <w:lang w:eastAsia="zh-CN"/>
        </w:rPr>
        <w:t>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因道路规划、城市建设等客观原因，造成持证人无法在原核定地址经营之日起三十日内，持证人申请变更到本单元网格内新址经营的，不受所在单元网格规划数限制，零售点间距可放宽至本单元网格间距标准的30%执行。</w:t>
      </w:r>
    </w:p>
    <w:p w14:paraId="11F7A2AB">
      <w:pPr>
        <w:spacing w:before="37" w:line="343" w:lineRule="auto"/>
        <w:ind w:right="144"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申请变更到本县其他单元网格的，受所在单元网格规划数限制，零售点间距可放宽至本单元网格间距标准的80%执行。</w:t>
      </w:r>
    </w:p>
    <w:p w14:paraId="1F1FD83C">
      <w:pPr>
        <w:spacing w:before="37" w:line="343" w:lineRule="auto"/>
        <w:ind w:left="11" w:right="49"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w:t>
      </w:r>
      <w:r>
        <w:rPr>
          <w:rFonts w:hint="eastAsia" w:ascii="仿宋_GB2312" w:hAnsi="黑体" w:eastAsia="仿宋_GB2312" w:cs="黑体"/>
          <w:b/>
          <w:spacing w:val="3"/>
          <w:sz w:val="32"/>
          <w:szCs w:val="32"/>
          <w:lang w:val="en-US" w:eastAsia="zh-CN"/>
        </w:rPr>
        <w:t>二十二</w:t>
      </w:r>
      <w:r>
        <w:rPr>
          <w:rFonts w:hint="eastAsia" w:ascii="仿宋_GB2312" w:hAnsi="黑体" w:eastAsia="仿宋_GB2312" w:cs="黑体"/>
          <w:b/>
          <w:spacing w:val="3"/>
          <w:sz w:val="32"/>
          <w:szCs w:val="32"/>
          <w:lang w:eastAsia="zh-CN"/>
        </w:rPr>
        <w:t>条</w:t>
      </w:r>
      <w:r>
        <w:rPr>
          <w:rFonts w:hint="eastAsia" w:ascii="仿宋_GB2312" w:hAnsi="黑体" w:eastAsia="仿宋_GB2312" w:cs="黑体"/>
          <w:spacing w:val="3"/>
          <w:sz w:val="32"/>
          <w:szCs w:val="32"/>
          <w:lang w:eastAsia="zh-CN"/>
        </w:rPr>
        <w:t xml:space="preserve"> </w:t>
      </w:r>
      <w:r>
        <w:rPr>
          <w:rFonts w:hint="eastAsia" w:ascii="仿宋_GB2312" w:hAnsi="仿宋_GB2312" w:eastAsia="仿宋_GB2312" w:cs="仿宋_GB2312"/>
          <w:spacing w:val="24"/>
          <w:sz w:val="32"/>
          <w:szCs w:val="32"/>
          <w:lang w:eastAsia="zh-CN"/>
        </w:rPr>
        <w:t>因中小学</w:t>
      </w:r>
      <w:r>
        <w:rPr>
          <w:rFonts w:hint="eastAsia" w:ascii="仿宋_GB2312" w:hAnsi="仿宋_GB2312" w:eastAsia="仿宋_GB2312" w:cs="仿宋_GB2312"/>
          <w:spacing w:val="24"/>
          <w:sz w:val="32"/>
          <w:szCs w:val="32"/>
          <w:lang w:val="en-US" w:eastAsia="zh-CN"/>
        </w:rPr>
        <w:t>校</w:t>
      </w:r>
      <w:r>
        <w:rPr>
          <w:rFonts w:hint="eastAsia" w:ascii="仿宋_GB2312" w:hAnsi="仿宋_GB2312" w:eastAsia="仿宋_GB2312" w:cs="仿宋_GB2312"/>
          <w:spacing w:val="24"/>
          <w:sz w:val="32"/>
          <w:szCs w:val="32"/>
          <w:lang w:eastAsia="zh-CN"/>
        </w:rPr>
        <w:t>及幼儿园新建、改扩建等客观原因，造成持证人无法在原核定地址经营之日起三十日内，持证人申请歇业并在原单元网格内新址申请新办的，不受所在单元网格规划数限制，零售点间距可放宽至本单元网格间距标准的30%执行。</w:t>
      </w:r>
    </w:p>
    <w:p w14:paraId="2DD236AE">
      <w:pPr>
        <w:spacing w:before="39" w:line="343" w:lineRule="auto"/>
        <w:ind w:left="17" w:right="118" w:firstLine="736" w:firstLineChars="200"/>
        <w:jc w:val="both"/>
        <w:rPr>
          <w:rFonts w:hint="eastAsia"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在本县其他单元网格申请新办的，受所在单元网格规划数限制，间距标准可放宽至本单元网格间距标准的80%执行。</w:t>
      </w:r>
    </w:p>
    <w:p w14:paraId="6EC0C72B">
      <w:pPr>
        <w:spacing w:before="39" w:line="343" w:lineRule="auto"/>
        <w:ind w:left="17" w:right="118" w:firstLine="655" w:firstLineChars="200"/>
        <w:jc w:val="both"/>
        <w:rPr>
          <w:rFonts w:hint="eastAsia" w:ascii="仿宋_GB2312" w:hAnsi="仿宋_GB2312" w:eastAsia="仿宋_GB2312" w:cs="仿宋_GB2312"/>
          <w:color w:val="FF0000"/>
          <w:spacing w:val="24"/>
          <w:sz w:val="32"/>
          <w:szCs w:val="32"/>
          <w:lang w:eastAsia="zh-CN"/>
        </w:rPr>
      </w:pPr>
      <w:r>
        <w:rPr>
          <w:rFonts w:hint="eastAsia" w:ascii="仿宋_GB2312" w:hAnsi="黑体" w:eastAsia="仿宋_GB2312" w:cs="黑体"/>
          <w:b/>
          <w:color w:val="FF0000"/>
          <w:spacing w:val="3"/>
          <w:sz w:val="32"/>
          <w:szCs w:val="32"/>
          <w:lang w:val="en-US" w:eastAsia="zh-CN"/>
        </w:rPr>
        <w:t>第二十三条</w:t>
      </w:r>
      <w:r>
        <w:rPr>
          <w:rFonts w:hint="eastAsia" w:ascii="仿宋_GB2312" w:hAnsi="仿宋_GB2312" w:eastAsia="仿宋_GB2312" w:cs="仿宋_GB2312"/>
          <w:b w:val="0"/>
          <w:color w:val="FF0000"/>
          <w:spacing w:val="24"/>
          <w:sz w:val="32"/>
          <w:szCs w:val="32"/>
          <w:lang w:val="en-US" w:eastAsia="zh-CN"/>
        </w:rPr>
        <w:t xml:space="preserve"> </w:t>
      </w:r>
      <w:r>
        <w:rPr>
          <w:rFonts w:hint="eastAsia" w:ascii="仿宋_GB2312" w:hAnsi="仿宋_GB2312" w:eastAsia="仿宋_GB2312" w:cs="仿宋_GB2312"/>
          <w:color w:val="FF0000"/>
          <w:spacing w:val="24"/>
          <w:sz w:val="32"/>
          <w:szCs w:val="32"/>
          <w:lang w:eastAsia="zh-CN"/>
        </w:rPr>
        <w:t>本县烟草专卖零售许可证发证范围以云南省华宁县烟草专卖局管辖范围确定，不受政府各类行政功能区的划分限制；持证人因道路规划、城市建设等客观原因，无法在原核定经营地址经营，申请变更至原发证机关管辖范围内其他经营地址的，无论新经营地址是否跨越政府划定的各类行政功能区域，均应当依法予以受理。</w:t>
      </w:r>
    </w:p>
    <w:p w14:paraId="5BEC370D">
      <w:pPr>
        <w:spacing w:before="39" w:line="343" w:lineRule="auto"/>
        <w:ind w:left="17" w:right="118" w:firstLine="655" w:firstLineChars="200"/>
        <w:jc w:val="both"/>
        <w:rPr>
          <w:rFonts w:hint="default" w:ascii="仿宋_GB2312" w:hAnsi="仿宋_GB2312" w:eastAsia="仿宋_GB2312" w:cs="仿宋_GB2312"/>
          <w:color w:val="FF0000"/>
          <w:spacing w:val="24"/>
          <w:sz w:val="32"/>
          <w:szCs w:val="32"/>
          <w:lang w:val="en-US" w:eastAsia="zh-CN"/>
        </w:rPr>
      </w:pPr>
      <w:r>
        <w:rPr>
          <w:rFonts w:hint="eastAsia" w:ascii="仿宋_GB2312" w:hAnsi="黑体" w:eastAsia="仿宋_GB2312" w:cs="黑体"/>
          <w:b/>
          <w:color w:val="FF0000"/>
          <w:spacing w:val="3"/>
          <w:sz w:val="32"/>
          <w:szCs w:val="32"/>
          <w:lang w:val="en-US" w:eastAsia="zh-CN"/>
        </w:rPr>
        <w:t>第二十四条</w:t>
      </w:r>
      <w:r>
        <w:rPr>
          <w:rFonts w:hint="eastAsia" w:ascii="仿宋_GB2312" w:hAnsi="仿宋_GB2312" w:eastAsia="仿宋_GB2312" w:cs="仿宋_GB2312"/>
          <w:color w:val="FF0000"/>
          <w:spacing w:val="24"/>
          <w:sz w:val="32"/>
          <w:szCs w:val="32"/>
          <w:lang w:val="en-US" w:eastAsia="zh-CN"/>
        </w:rPr>
        <w:t xml:space="preserve"> 在原发证机关辖区范围内连续经营5年以上，且最近连续3年无涉烟违法违规记录的持证户，因租赁期满、租金上涨等客观原因不能在原核定地址经营，经营主体未发生改变，在办理许可证歇业后6个月内，持证人申请在原单元网格新址上新办零售许可证的，不受所在单元网格规划数限制，零售点间距可放宽</w:t>
      </w:r>
      <w:r>
        <w:rPr>
          <w:rFonts w:hint="eastAsia" w:ascii="仿宋_GB2312" w:hAnsi="仿宋_GB2312" w:eastAsia="仿宋_GB2312" w:cs="仿宋_GB2312"/>
          <w:color w:val="FF0000"/>
          <w:spacing w:val="24"/>
          <w:sz w:val="32"/>
          <w:szCs w:val="32"/>
          <w:lang w:eastAsia="zh-CN"/>
        </w:rPr>
        <w:t>至本单元网格间距标准的30%</w:t>
      </w:r>
      <w:r>
        <w:rPr>
          <w:rFonts w:hint="eastAsia" w:ascii="仿宋_GB2312" w:hAnsi="仿宋_GB2312" w:eastAsia="仿宋_GB2312" w:cs="仿宋_GB2312"/>
          <w:color w:val="FF0000"/>
          <w:spacing w:val="24"/>
          <w:sz w:val="32"/>
          <w:szCs w:val="32"/>
          <w:lang w:val="en-US" w:eastAsia="zh-CN"/>
        </w:rPr>
        <w:t>执行。</w:t>
      </w:r>
    </w:p>
    <w:p w14:paraId="2C067534">
      <w:pPr>
        <w:spacing w:before="101" w:line="343" w:lineRule="auto"/>
        <w:ind w:left="2" w:right="115" w:firstLine="736" w:firstLineChars="200"/>
        <w:jc w:val="both"/>
        <w:rPr>
          <w:rFonts w:ascii="仿宋_GB2312" w:hAnsi="仿宋_GB2312" w:eastAsia="仿宋_GB2312" w:cs="仿宋_GB2312"/>
          <w:spacing w:val="24"/>
          <w:sz w:val="32"/>
          <w:szCs w:val="32"/>
          <w:lang w:eastAsia="zh-CN"/>
        </w:rPr>
      </w:pPr>
    </w:p>
    <w:p w14:paraId="652D8065">
      <w:pPr>
        <w:spacing w:before="100" w:line="343" w:lineRule="auto"/>
        <w:jc w:val="center"/>
        <w:outlineLvl w:val="0"/>
        <w:rPr>
          <w:rFonts w:ascii="黑体" w:hAnsi="黑体" w:eastAsia="黑体" w:cs="黑体"/>
          <w:spacing w:val="3"/>
          <w:sz w:val="32"/>
          <w:szCs w:val="32"/>
          <w:lang w:eastAsia="zh-CN"/>
        </w:rPr>
      </w:pPr>
      <w:r>
        <w:rPr>
          <w:rFonts w:hint="eastAsia" w:ascii="黑体" w:hAnsi="黑体" w:eastAsia="黑体" w:cs="黑体"/>
          <w:spacing w:val="3"/>
          <w:sz w:val="32"/>
          <w:szCs w:val="32"/>
          <w:lang w:eastAsia="zh-CN"/>
        </w:rPr>
        <w:t>第五章 附则</w:t>
      </w:r>
    </w:p>
    <w:p w14:paraId="68D4E7F7">
      <w:pPr>
        <w:spacing w:before="100" w:line="343" w:lineRule="auto"/>
        <w:jc w:val="both"/>
        <w:outlineLvl w:val="0"/>
        <w:rPr>
          <w:rFonts w:ascii="黑体" w:hAnsi="黑体" w:eastAsia="黑体" w:cs="黑体"/>
          <w:spacing w:val="3"/>
          <w:sz w:val="32"/>
          <w:szCs w:val="32"/>
          <w:lang w:eastAsia="zh-CN"/>
        </w:rPr>
      </w:pPr>
    </w:p>
    <w:p w14:paraId="76A00BCE">
      <w:pPr>
        <w:spacing w:before="101" w:line="343" w:lineRule="auto"/>
        <w:ind w:left="2" w:right="115" w:firstLine="655" w:firstLineChars="200"/>
        <w:jc w:val="both"/>
        <w:rPr>
          <w:rFonts w:ascii="仿宋_GB2312" w:hAnsi="黑体" w:eastAsia="仿宋_GB2312" w:cs="黑体"/>
          <w:spacing w:val="3"/>
          <w:sz w:val="32"/>
          <w:szCs w:val="32"/>
          <w:lang w:eastAsia="zh-CN"/>
        </w:rPr>
      </w:pPr>
      <w:r>
        <w:rPr>
          <w:rFonts w:hint="eastAsia" w:ascii="仿宋_GB2312" w:hAnsi="黑体" w:eastAsia="仿宋_GB2312" w:cs="黑体"/>
          <w:b/>
          <w:color w:val="auto"/>
          <w:spacing w:val="3"/>
          <w:sz w:val="32"/>
          <w:szCs w:val="32"/>
          <w:lang w:eastAsia="zh-CN"/>
        </w:rPr>
        <w:t>第</w:t>
      </w:r>
      <w:r>
        <w:rPr>
          <w:rFonts w:hint="eastAsia" w:ascii="仿宋_GB2312" w:hAnsi="黑体" w:eastAsia="仿宋_GB2312" w:cs="黑体"/>
          <w:b/>
          <w:color w:val="auto"/>
          <w:spacing w:val="3"/>
          <w:sz w:val="32"/>
          <w:szCs w:val="32"/>
          <w:lang w:val="en-US" w:eastAsia="zh-CN"/>
        </w:rPr>
        <w:t>二十五</w:t>
      </w:r>
      <w:r>
        <w:rPr>
          <w:rFonts w:hint="eastAsia" w:ascii="仿宋_GB2312" w:hAnsi="黑体" w:eastAsia="仿宋_GB2312" w:cs="黑体"/>
          <w:b/>
          <w:color w:val="auto"/>
          <w:spacing w:val="3"/>
          <w:sz w:val="32"/>
          <w:szCs w:val="32"/>
          <w:lang w:eastAsia="zh-CN"/>
        </w:rPr>
        <w:t xml:space="preserve">条 </w:t>
      </w:r>
      <w:r>
        <w:rPr>
          <w:rFonts w:hint="eastAsia" w:ascii="仿宋_GB2312" w:hAnsi="仿宋_GB2312" w:eastAsia="仿宋_GB2312" w:cs="仿宋_GB2312"/>
          <w:spacing w:val="24"/>
          <w:sz w:val="32"/>
          <w:szCs w:val="32"/>
          <w:lang w:eastAsia="zh-CN"/>
        </w:rPr>
        <w:t>本规划实施后，如遇相关法律、法规、规章及规范性文件调整的，根据最新规定进行调整，及时报当地本级人民政府法制部门备案后公布实施。</w:t>
      </w:r>
    </w:p>
    <w:p w14:paraId="67FCE776">
      <w:pPr>
        <w:spacing w:before="101" w:line="343" w:lineRule="auto"/>
        <w:ind w:left="2" w:right="115"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color w:val="auto"/>
          <w:spacing w:val="3"/>
          <w:sz w:val="32"/>
          <w:szCs w:val="32"/>
          <w:lang w:eastAsia="zh-CN"/>
        </w:rPr>
        <w:t>第二十</w:t>
      </w:r>
      <w:r>
        <w:rPr>
          <w:rFonts w:hint="eastAsia" w:ascii="仿宋_GB2312" w:hAnsi="黑体" w:eastAsia="仿宋_GB2312" w:cs="黑体"/>
          <w:b/>
          <w:color w:val="auto"/>
          <w:spacing w:val="3"/>
          <w:sz w:val="32"/>
          <w:szCs w:val="32"/>
          <w:lang w:val="en-US" w:eastAsia="zh-CN"/>
        </w:rPr>
        <w:t>六</w:t>
      </w:r>
      <w:r>
        <w:rPr>
          <w:rFonts w:hint="eastAsia" w:ascii="仿宋_GB2312" w:hAnsi="黑体" w:eastAsia="仿宋_GB2312" w:cs="黑体"/>
          <w:b/>
          <w:color w:val="auto"/>
          <w:spacing w:val="3"/>
          <w:sz w:val="32"/>
          <w:szCs w:val="32"/>
          <w:lang w:eastAsia="zh-CN"/>
        </w:rPr>
        <w:t xml:space="preserve">条 </w:t>
      </w:r>
      <w:r>
        <w:rPr>
          <w:rFonts w:hint="eastAsia" w:ascii="仿宋_GB2312" w:hAnsi="仿宋_GB2312" w:eastAsia="仿宋_GB2312" w:cs="仿宋_GB2312"/>
          <w:spacing w:val="7"/>
          <w:sz w:val="32"/>
          <w:szCs w:val="32"/>
          <w:lang w:eastAsia="zh-CN"/>
        </w:rPr>
        <w:t>本</w:t>
      </w:r>
      <w:r>
        <w:rPr>
          <w:rFonts w:hint="eastAsia" w:ascii="仿宋_GB2312" w:hAnsi="仿宋_GB2312" w:eastAsia="仿宋_GB2312" w:cs="仿宋_GB2312"/>
          <w:spacing w:val="24"/>
          <w:sz w:val="32"/>
          <w:szCs w:val="32"/>
          <w:lang w:eastAsia="zh-CN"/>
        </w:rPr>
        <w:t>县零售点合理布局实行定期评价、动态管理。每季度根据本地经济发展、城乡建设、市场形势等变化情况进行调整并公示后实施。动态调整规则详见《云南省华宁县烟草制品零售点合理布局规划数动态调整管理制度》（附件5）。</w:t>
      </w:r>
    </w:p>
    <w:p w14:paraId="29DDB40B">
      <w:pPr>
        <w:spacing w:before="66" w:line="343" w:lineRule="auto"/>
        <w:ind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第二十</w:t>
      </w:r>
      <w:r>
        <w:rPr>
          <w:rFonts w:hint="eastAsia" w:ascii="仿宋_GB2312" w:hAnsi="黑体" w:eastAsia="仿宋_GB2312" w:cs="黑体"/>
          <w:b/>
          <w:spacing w:val="3"/>
          <w:sz w:val="32"/>
          <w:szCs w:val="32"/>
          <w:lang w:val="en-US" w:eastAsia="zh-CN"/>
        </w:rPr>
        <w:t>七</w:t>
      </w:r>
      <w:r>
        <w:rPr>
          <w:rFonts w:hint="eastAsia" w:ascii="仿宋_GB2312" w:hAnsi="黑体" w:eastAsia="仿宋_GB2312" w:cs="黑体"/>
          <w:b/>
          <w:spacing w:val="3"/>
          <w:sz w:val="32"/>
          <w:szCs w:val="32"/>
          <w:lang w:eastAsia="zh-CN"/>
        </w:rPr>
        <w:t xml:space="preserve">条 </w:t>
      </w:r>
      <w:r>
        <w:rPr>
          <w:rFonts w:hint="eastAsia" w:ascii="仿宋_GB2312" w:hAnsi="仿宋_GB2312" w:eastAsia="仿宋_GB2312" w:cs="仿宋_GB2312"/>
          <w:spacing w:val="24"/>
          <w:sz w:val="32"/>
          <w:szCs w:val="32"/>
          <w:lang w:eastAsia="zh-CN"/>
        </w:rPr>
        <w:t>对暂不符合本布局规划条件的申请人，实行排队轮候制度。排队轮候制度详见《云南省华宁县烟草制品零售点排队轮候制度》（附件6）。</w:t>
      </w:r>
    </w:p>
    <w:p w14:paraId="613C9B31">
      <w:pPr>
        <w:spacing w:before="101" w:line="343" w:lineRule="auto"/>
        <w:ind w:left="2" w:right="115" w:firstLine="736" w:firstLineChars="200"/>
        <w:jc w:val="both"/>
        <w:rPr>
          <w:rFonts w:ascii="仿宋_GB2312" w:hAnsi="仿宋_GB2312" w:eastAsia="仿宋_GB2312" w:cs="仿宋_GB2312"/>
          <w:spacing w:val="24"/>
          <w:sz w:val="32"/>
          <w:szCs w:val="32"/>
          <w:lang w:eastAsia="zh-CN"/>
        </w:rPr>
      </w:pPr>
      <w:r>
        <w:rPr>
          <w:rFonts w:hint="eastAsia" w:ascii="仿宋_GB2312" w:hAnsi="仿宋_GB2312" w:eastAsia="仿宋_GB2312" w:cs="仿宋_GB2312"/>
          <w:spacing w:val="24"/>
          <w:sz w:val="32"/>
          <w:szCs w:val="32"/>
          <w:lang w:eastAsia="zh-CN"/>
        </w:rPr>
        <w:t>符合第</w:t>
      </w:r>
      <w:r>
        <w:rPr>
          <w:rFonts w:hint="eastAsia" w:ascii="仿宋_GB2312" w:hAnsi="仿宋_GB2312" w:eastAsia="仿宋_GB2312" w:cs="仿宋_GB2312"/>
          <w:spacing w:val="24"/>
          <w:sz w:val="32"/>
          <w:szCs w:val="32"/>
          <w:lang w:val="en-US" w:eastAsia="zh-CN"/>
        </w:rPr>
        <w:t>二十一</w:t>
      </w:r>
      <w:r>
        <w:rPr>
          <w:rFonts w:hint="eastAsia" w:ascii="仿宋_GB2312" w:hAnsi="仿宋_GB2312" w:eastAsia="仿宋_GB2312" w:cs="仿宋_GB2312"/>
          <w:spacing w:val="24"/>
          <w:sz w:val="32"/>
          <w:szCs w:val="32"/>
          <w:lang w:eastAsia="zh-CN"/>
        </w:rPr>
        <w:t>条、第</w:t>
      </w:r>
      <w:r>
        <w:rPr>
          <w:rFonts w:hint="eastAsia" w:ascii="仿宋_GB2312" w:hAnsi="仿宋_GB2312" w:eastAsia="仿宋_GB2312" w:cs="仿宋_GB2312"/>
          <w:spacing w:val="24"/>
          <w:sz w:val="32"/>
          <w:szCs w:val="32"/>
          <w:lang w:val="en-US" w:eastAsia="zh-CN"/>
        </w:rPr>
        <w:t>二十二</w:t>
      </w:r>
      <w:r>
        <w:rPr>
          <w:rFonts w:hint="eastAsia" w:ascii="仿宋_GB2312" w:hAnsi="仿宋_GB2312" w:eastAsia="仿宋_GB2312" w:cs="仿宋_GB2312"/>
          <w:spacing w:val="24"/>
          <w:sz w:val="32"/>
          <w:szCs w:val="32"/>
          <w:lang w:eastAsia="zh-CN"/>
        </w:rPr>
        <w:t>条情形且不受单元网格规划数限制的，申请人不实行排队轮候制度。</w:t>
      </w:r>
    </w:p>
    <w:p w14:paraId="6FE502EE">
      <w:pPr>
        <w:spacing w:before="66" w:line="343" w:lineRule="auto"/>
        <w:ind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第二十</w:t>
      </w:r>
      <w:r>
        <w:rPr>
          <w:rFonts w:hint="eastAsia" w:ascii="仿宋_GB2312" w:hAnsi="黑体" w:eastAsia="仿宋_GB2312" w:cs="黑体"/>
          <w:b/>
          <w:spacing w:val="3"/>
          <w:sz w:val="32"/>
          <w:szCs w:val="32"/>
          <w:lang w:val="en-US" w:eastAsia="zh-CN"/>
        </w:rPr>
        <w:t>八</w:t>
      </w:r>
      <w:r>
        <w:rPr>
          <w:rFonts w:hint="eastAsia" w:ascii="仿宋_GB2312" w:hAnsi="黑体" w:eastAsia="仿宋_GB2312" w:cs="黑体"/>
          <w:b/>
          <w:spacing w:val="3"/>
          <w:sz w:val="32"/>
          <w:szCs w:val="32"/>
          <w:lang w:eastAsia="zh-CN"/>
        </w:rPr>
        <w:t xml:space="preserve">条 </w:t>
      </w:r>
      <w:r>
        <w:rPr>
          <w:rFonts w:hint="eastAsia" w:ascii="仿宋_GB2312" w:hAnsi="仿宋_GB2312" w:eastAsia="仿宋_GB2312" w:cs="仿宋_GB2312"/>
          <w:spacing w:val="24"/>
          <w:sz w:val="32"/>
          <w:szCs w:val="32"/>
          <w:lang w:eastAsia="zh-CN"/>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14:paraId="6B43C77F">
      <w:pPr>
        <w:pStyle w:val="2"/>
        <w:spacing w:line="343" w:lineRule="auto"/>
        <w:ind w:firstLine="655" w:firstLineChars="200"/>
        <w:jc w:val="both"/>
        <w:rPr>
          <w:rFonts w:ascii="仿宋_GB2312" w:eastAsia="仿宋_GB2312"/>
          <w:sz w:val="32"/>
          <w:szCs w:val="32"/>
          <w:lang w:eastAsia="zh-CN"/>
        </w:rPr>
      </w:pPr>
      <w:r>
        <w:rPr>
          <w:rFonts w:hint="eastAsia" w:ascii="仿宋_GB2312" w:hAnsi="黑体" w:eastAsia="仿宋_GB2312" w:cs="黑体"/>
          <w:b/>
          <w:spacing w:val="3"/>
          <w:sz w:val="32"/>
          <w:szCs w:val="32"/>
          <w:lang w:eastAsia="zh-CN"/>
        </w:rPr>
        <w:t>第二十</w:t>
      </w:r>
      <w:r>
        <w:rPr>
          <w:rFonts w:hint="eastAsia" w:ascii="仿宋_GB2312" w:hAnsi="黑体" w:eastAsia="仿宋_GB2312" w:cs="黑体"/>
          <w:b/>
          <w:spacing w:val="3"/>
          <w:sz w:val="32"/>
          <w:szCs w:val="32"/>
          <w:lang w:val="en-US" w:eastAsia="zh-CN"/>
        </w:rPr>
        <w:t>九</w:t>
      </w:r>
      <w:r>
        <w:rPr>
          <w:rFonts w:hint="eastAsia" w:ascii="仿宋_GB2312" w:hAnsi="黑体" w:eastAsia="仿宋_GB2312" w:cs="黑体"/>
          <w:b/>
          <w:spacing w:val="3"/>
          <w:sz w:val="32"/>
          <w:szCs w:val="32"/>
          <w:lang w:eastAsia="zh-CN"/>
        </w:rPr>
        <w:t xml:space="preserve">条 </w:t>
      </w:r>
      <w:r>
        <w:rPr>
          <w:rFonts w:hint="eastAsia" w:ascii="仿宋_GB2312" w:hAnsi="仿宋_GB2312" w:eastAsia="仿宋_GB2312" w:cs="仿宋_GB2312"/>
          <w:spacing w:val="24"/>
          <w:sz w:val="32"/>
          <w:szCs w:val="32"/>
          <w:lang w:eastAsia="zh-CN"/>
        </w:rPr>
        <w:t>本规划中“以上”“不低于”“不超过”“以内”等，如无特殊说明均包括本数。</w:t>
      </w:r>
    </w:p>
    <w:p w14:paraId="3B29E6F2">
      <w:pPr>
        <w:spacing w:before="101" w:line="343" w:lineRule="auto"/>
        <w:ind w:left="2" w:right="2" w:firstLine="655" w:firstLineChars="200"/>
        <w:jc w:val="both"/>
        <w:rPr>
          <w:rFonts w:ascii="仿宋_GB2312" w:hAnsi="仿宋_GB2312" w:eastAsia="仿宋_GB2312" w:cs="仿宋_GB2312"/>
          <w:color w:val="auto"/>
          <w:spacing w:val="24"/>
          <w:sz w:val="32"/>
          <w:szCs w:val="32"/>
          <w:lang w:eastAsia="zh-CN"/>
        </w:rPr>
      </w:pPr>
      <w:r>
        <w:rPr>
          <w:rFonts w:hint="eastAsia" w:ascii="仿宋_GB2312" w:hAnsi="黑体" w:eastAsia="仿宋_GB2312" w:cs="黑体"/>
          <w:b/>
          <w:spacing w:val="3"/>
          <w:sz w:val="32"/>
          <w:szCs w:val="32"/>
          <w:lang w:eastAsia="zh-CN"/>
        </w:rPr>
        <w:t>第</w:t>
      </w:r>
      <w:r>
        <w:rPr>
          <w:rFonts w:hint="eastAsia" w:ascii="仿宋_GB2312" w:hAnsi="黑体" w:eastAsia="仿宋_GB2312" w:cs="黑体"/>
          <w:b/>
          <w:spacing w:val="3"/>
          <w:sz w:val="32"/>
          <w:szCs w:val="32"/>
          <w:lang w:val="en-US" w:eastAsia="zh-CN"/>
        </w:rPr>
        <w:t>三十</w:t>
      </w:r>
      <w:r>
        <w:rPr>
          <w:rFonts w:hint="eastAsia" w:ascii="仿宋_GB2312" w:hAnsi="黑体" w:eastAsia="仿宋_GB2312" w:cs="黑体"/>
          <w:b/>
          <w:spacing w:val="3"/>
          <w:sz w:val="32"/>
          <w:szCs w:val="32"/>
          <w:lang w:eastAsia="zh-CN"/>
        </w:rPr>
        <w:t xml:space="preserve">条 </w:t>
      </w:r>
      <w:r>
        <w:rPr>
          <w:rFonts w:hint="eastAsia" w:ascii="仿宋_GB2312" w:hAnsi="仿宋_GB2312" w:eastAsia="仿宋_GB2312" w:cs="仿宋_GB2312"/>
          <w:spacing w:val="24"/>
          <w:sz w:val="32"/>
          <w:szCs w:val="32"/>
          <w:lang w:eastAsia="zh-CN"/>
        </w:rPr>
        <w:t>本规划中按照年、月、日计算期间的，开始的当日不计入，自下一日开始计算。</w:t>
      </w:r>
    </w:p>
    <w:p w14:paraId="58E18644">
      <w:pPr>
        <w:spacing w:before="56" w:line="343" w:lineRule="auto"/>
        <w:ind w:left="17" w:right="84" w:firstLine="655" w:firstLineChars="200"/>
        <w:jc w:val="both"/>
        <w:rPr>
          <w:rFonts w:ascii="仿宋_GB2312" w:hAnsi="仿宋_GB2312" w:eastAsia="仿宋_GB2312" w:cs="仿宋_GB2312"/>
          <w:spacing w:val="24"/>
          <w:sz w:val="32"/>
          <w:szCs w:val="32"/>
          <w:lang w:eastAsia="zh-CN"/>
        </w:rPr>
      </w:pPr>
      <w:r>
        <w:rPr>
          <w:rFonts w:hint="eastAsia" w:ascii="仿宋_GB2312" w:hAnsi="黑体" w:eastAsia="仿宋_GB2312" w:cs="黑体"/>
          <w:b/>
          <w:spacing w:val="3"/>
          <w:sz w:val="32"/>
          <w:szCs w:val="32"/>
          <w:lang w:eastAsia="zh-CN"/>
        </w:rPr>
        <w:t>第</w:t>
      </w:r>
      <w:r>
        <w:rPr>
          <w:rFonts w:hint="eastAsia" w:ascii="仿宋_GB2312" w:hAnsi="黑体" w:eastAsia="仿宋_GB2312" w:cs="黑体"/>
          <w:b/>
          <w:spacing w:val="3"/>
          <w:sz w:val="32"/>
          <w:szCs w:val="32"/>
          <w:lang w:val="en-US" w:eastAsia="zh-CN"/>
        </w:rPr>
        <w:t>三十一</w:t>
      </w:r>
      <w:r>
        <w:rPr>
          <w:rFonts w:hint="eastAsia" w:ascii="仿宋_GB2312" w:hAnsi="黑体" w:eastAsia="仿宋_GB2312" w:cs="黑体"/>
          <w:b/>
          <w:spacing w:val="3"/>
          <w:sz w:val="32"/>
          <w:szCs w:val="32"/>
          <w:lang w:eastAsia="zh-CN"/>
        </w:rPr>
        <w:t xml:space="preserve">条 </w:t>
      </w:r>
      <w:r>
        <w:rPr>
          <w:rFonts w:hint="eastAsia" w:ascii="仿宋_GB2312" w:hAnsi="仿宋_GB2312" w:eastAsia="仿宋_GB2312" w:cs="仿宋_GB2312"/>
          <w:spacing w:val="24"/>
          <w:sz w:val="32"/>
          <w:szCs w:val="32"/>
          <w:lang w:eastAsia="zh-CN"/>
        </w:rPr>
        <w:t>本规划由云南省华宁县烟草专卖</w:t>
      </w:r>
      <w:r>
        <w:rPr>
          <w:rFonts w:hint="eastAsia" w:ascii="仿宋_GB2312" w:hAnsi="仿宋_GB2312" w:eastAsia="仿宋_GB2312" w:cs="仿宋_GB2312"/>
          <w:spacing w:val="24"/>
          <w:sz w:val="32"/>
          <w:szCs w:val="32"/>
          <w:lang w:val="en-US" w:eastAsia="zh-CN"/>
        </w:rPr>
        <w:t>局</w:t>
      </w:r>
      <w:r>
        <w:rPr>
          <w:rFonts w:hint="eastAsia" w:ascii="仿宋_GB2312" w:hAnsi="仿宋_GB2312" w:eastAsia="仿宋_GB2312" w:cs="仿宋_GB2312"/>
          <w:spacing w:val="24"/>
          <w:sz w:val="32"/>
          <w:szCs w:val="32"/>
          <w:lang w:eastAsia="zh-CN"/>
        </w:rPr>
        <w:t>负责解释。</w:t>
      </w:r>
    </w:p>
    <w:p w14:paraId="187CACED">
      <w:pPr>
        <w:spacing w:before="67" w:line="343" w:lineRule="auto"/>
        <w:ind w:left="13" w:right="22" w:firstLine="655" w:firstLineChars="200"/>
        <w:jc w:val="both"/>
        <w:rPr>
          <w:rFonts w:ascii="仿宋_GB2312" w:hAnsi="仿宋_GB2312" w:eastAsia="仿宋_GB2312" w:cs="仿宋_GB2312"/>
          <w:spacing w:val="5"/>
          <w:sz w:val="32"/>
          <w:szCs w:val="32"/>
          <w:lang w:eastAsia="zh-CN"/>
        </w:rPr>
      </w:pPr>
      <w:r>
        <w:rPr>
          <w:rFonts w:hint="eastAsia" w:ascii="仿宋_GB2312" w:hAnsi="黑体" w:eastAsia="仿宋_GB2312" w:cs="黑体"/>
          <w:b/>
          <w:spacing w:val="3"/>
          <w:sz w:val="32"/>
          <w:szCs w:val="32"/>
          <w:lang w:eastAsia="zh-CN"/>
        </w:rPr>
        <w:t>第</w:t>
      </w:r>
      <w:r>
        <w:rPr>
          <w:rFonts w:hint="eastAsia" w:ascii="仿宋_GB2312" w:hAnsi="黑体" w:eastAsia="仿宋_GB2312" w:cs="黑体"/>
          <w:b/>
          <w:spacing w:val="3"/>
          <w:sz w:val="32"/>
          <w:szCs w:val="32"/>
          <w:lang w:val="en-US" w:eastAsia="zh-CN"/>
        </w:rPr>
        <w:t>三十二</w:t>
      </w:r>
      <w:r>
        <w:rPr>
          <w:rFonts w:hint="eastAsia" w:ascii="仿宋_GB2312" w:hAnsi="黑体" w:eastAsia="仿宋_GB2312" w:cs="黑体"/>
          <w:b/>
          <w:spacing w:val="3"/>
          <w:sz w:val="32"/>
          <w:szCs w:val="32"/>
          <w:lang w:eastAsia="zh-CN"/>
        </w:rPr>
        <w:t xml:space="preserve">条 </w:t>
      </w:r>
      <w:r>
        <w:rPr>
          <w:rFonts w:hint="eastAsia" w:ascii="仿宋_GB2312" w:hAnsi="仿宋_GB2312" w:eastAsia="仿宋_GB2312" w:cs="仿宋_GB2312"/>
          <w:spacing w:val="24"/>
          <w:sz w:val="32"/>
          <w:szCs w:val="32"/>
          <w:lang w:eastAsia="zh-CN"/>
        </w:rPr>
        <w:t>本规划</w:t>
      </w:r>
      <w:r>
        <w:rPr>
          <w:rFonts w:hint="eastAsia" w:ascii="仿宋_GB2312" w:hAnsi="仿宋_GB2312" w:eastAsia="仿宋_GB2312" w:cs="仿宋_GB2312"/>
          <w:spacing w:val="24"/>
          <w:sz w:val="32"/>
          <w:szCs w:val="32"/>
          <w:lang w:val="en-US" w:eastAsia="zh-CN"/>
        </w:rPr>
        <w:t>自XXXX年XX月XX日</w:t>
      </w:r>
      <w:r>
        <w:rPr>
          <w:rFonts w:hint="eastAsia" w:ascii="仿宋_GB2312" w:hAnsi="仿宋_GB2312" w:eastAsia="仿宋_GB2312" w:cs="仿宋_GB2312"/>
          <w:spacing w:val="24"/>
          <w:sz w:val="32"/>
          <w:szCs w:val="32"/>
          <w:lang w:eastAsia="zh-CN"/>
        </w:rPr>
        <w:t>施行。202</w:t>
      </w:r>
      <w:r>
        <w:rPr>
          <w:rFonts w:hint="eastAsia" w:ascii="仿宋_GB2312" w:hAnsi="仿宋_GB2312" w:eastAsia="仿宋_GB2312" w:cs="仿宋_GB2312"/>
          <w:spacing w:val="24"/>
          <w:sz w:val="32"/>
          <w:szCs w:val="32"/>
          <w:lang w:val="en-US" w:eastAsia="zh-CN"/>
        </w:rPr>
        <w:t>5</w:t>
      </w:r>
      <w:r>
        <w:rPr>
          <w:rFonts w:hint="eastAsia" w:ascii="仿宋_GB2312" w:hAnsi="仿宋_GB2312" w:eastAsia="仿宋_GB2312" w:cs="仿宋_GB2312"/>
          <w:spacing w:val="24"/>
          <w:sz w:val="32"/>
          <w:szCs w:val="32"/>
          <w:lang w:eastAsia="zh-CN"/>
        </w:rPr>
        <w:t>年</w:t>
      </w:r>
      <w:r>
        <w:rPr>
          <w:rFonts w:hint="eastAsia" w:ascii="仿宋_GB2312" w:hAnsi="仿宋_GB2312" w:eastAsia="仿宋_GB2312" w:cs="仿宋_GB2312"/>
          <w:spacing w:val="24"/>
          <w:sz w:val="32"/>
          <w:szCs w:val="32"/>
          <w:lang w:val="en-US" w:eastAsia="zh-CN"/>
        </w:rPr>
        <w:t>11</w:t>
      </w:r>
      <w:r>
        <w:rPr>
          <w:rFonts w:hint="eastAsia" w:ascii="仿宋_GB2312" w:hAnsi="仿宋_GB2312" w:eastAsia="仿宋_GB2312" w:cs="仿宋_GB2312"/>
          <w:spacing w:val="24"/>
          <w:sz w:val="32"/>
          <w:szCs w:val="32"/>
          <w:lang w:eastAsia="zh-CN"/>
        </w:rPr>
        <w:t>月</w:t>
      </w:r>
      <w:r>
        <w:rPr>
          <w:rFonts w:hint="eastAsia" w:ascii="仿宋_GB2312" w:hAnsi="仿宋_GB2312" w:eastAsia="仿宋_GB2312" w:cs="仿宋_GB2312"/>
          <w:spacing w:val="24"/>
          <w:sz w:val="32"/>
          <w:szCs w:val="32"/>
          <w:lang w:val="en-US" w:eastAsia="zh-CN"/>
        </w:rPr>
        <w:t>1</w:t>
      </w:r>
      <w:r>
        <w:rPr>
          <w:rFonts w:hint="eastAsia" w:ascii="仿宋_GB2312" w:hAnsi="仿宋_GB2312" w:eastAsia="仿宋_GB2312" w:cs="仿宋_GB2312"/>
          <w:spacing w:val="24"/>
          <w:sz w:val="32"/>
          <w:szCs w:val="32"/>
          <w:lang w:eastAsia="zh-CN"/>
        </w:rPr>
        <w:t>日实施的《云南省华宁县烟草制品零售点合理布局规划》（华烟专〔202</w:t>
      </w:r>
      <w:r>
        <w:rPr>
          <w:rFonts w:hint="eastAsia" w:ascii="仿宋_GB2312" w:hAnsi="仿宋_GB2312" w:eastAsia="仿宋_GB2312" w:cs="仿宋_GB2312"/>
          <w:spacing w:val="24"/>
          <w:sz w:val="32"/>
          <w:szCs w:val="32"/>
          <w:lang w:val="en-US" w:eastAsia="zh-CN"/>
        </w:rPr>
        <w:t>5</w:t>
      </w:r>
      <w:r>
        <w:rPr>
          <w:rFonts w:hint="eastAsia" w:ascii="仿宋_GB2312" w:hAnsi="仿宋_GB2312" w:eastAsia="仿宋_GB2312" w:cs="仿宋_GB2312"/>
          <w:spacing w:val="24"/>
          <w:sz w:val="32"/>
          <w:szCs w:val="32"/>
          <w:lang w:eastAsia="zh-CN"/>
        </w:rPr>
        <w:t>〕</w:t>
      </w:r>
      <w:r>
        <w:rPr>
          <w:rFonts w:hint="eastAsia" w:ascii="仿宋_GB2312" w:hAnsi="仿宋_GB2312" w:eastAsia="仿宋_GB2312" w:cs="仿宋_GB2312"/>
          <w:spacing w:val="24"/>
          <w:sz w:val="32"/>
          <w:szCs w:val="32"/>
          <w:lang w:val="en-US" w:eastAsia="zh-CN"/>
        </w:rPr>
        <w:t>11</w:t>
      </w:r>
      <w:r>
        <w:rPr>
          <w:rFonts w:hint="eastAsia" w:ascii="仿宋_GB2312" w:hAnsi="仿宋_GB2312" w:eastAsia="仿宋_GB2312" w:cs="仿宋_GB2312"/>
          <w:spacing w:val="24"/>
          <w:sz w:val="32"/>
          <w:szCs w:val="32"/>
          <w:lang w:eastAsia="zh-CN"/>
        </w:rPr>
        <w:t>号）同时废止。</w:t>
      </w:r>
    </w:p>
    <w:p w14:paraId="161508D9">
      <w:pPr>
        <w:spacing w:before="101" w:line="343" w:lineRule="auto"/>
        <w:ind w:left="1732" w:leftChars="338" w:hanging="1022" w:hangingChars="299"/>
        <w:jc w:val="both"/>
        <w:rPr>
          <w:rFonts w:hint="eastAsia" w:ascii="仿宋_GB2312" w:hAnsi="仿宋_GB2312" w:eastAsia="仿宋_GB2312" w:cs="仿宋_GB2312"/>
          <w:spacing w:val="11"/>
          <w:sz w:val="32"/>
          <w:szCs w:val="32"/>
          <w:lang w:eastAsia="zh-CN"/>
        </w:rPr>
      </w:pPr>
    </w:p>
    <w:p w14:paraId="0E8B74A5">
      <w:pPr>
        <w:spacing w:before="101" w:line="343" w:lineRule="auto"/>
        <w:ind w:left="1732" w:leftChars="338" w:hanging="1022" w:hangingChars="299"/>
        <w:jc w:val="both"/>
        <w:rPr>
          <w:rFonts w:ascii="仿宋_GB2312" w:hAnsi="仿宋_GB2312" w:eastAsia="仿宋_GB2312" w:cs="仿宋_GB2312"/>
          <w:sz w:val="32"/>
          <w:szCs w:val="32"/>
          <w:lang w:eastAsia="zh-CN"/>
        </w:rPr>
      </w:pPr>
      <w:r>
        <w:rPr>
          <w:rFonts w:hint="eastAsia" w:ascii="仿宋_GB2312" w:hAnsi="仿宋_GB2312" w:eastAsia="仿宋_GB2312" w:cs="仿宋_GB2312"/>
          <w:spacing w:val="11"/>
          <w:sz w:val="32"/>
          <w:szCs w:val="32"/>
          <w:lang w:eastAsia="zh-CN"/>
        </w:rPr>
        <w:t>附件：</w:t>
      </w:r>
      <w:r>
        <w:rPr>
          <w:rFonts w:hint="eastAsia" w:ascii="仿宋_GB2312" w:hAnsi="Times New Roman" w:eastAsia="仿宋_GB2312" w:cs="Times New Roman"/>
          <w:spacing w:val="11"/>
          <w:sz w:val="32"/>
          <w:szCs w:val="32"/>
          <w:lang w:eastAsia="zh-CN"/>
        </w:rPr>
        <w:t>1.</w:t>
      </w:r>
      <w:r>
        <w:rPr>
          <w:rFonts w:hint="eastAsia" w:ascii="仿宋_GB2312" w:hAnsi="仿宋_GB2312" w:eastAsia="仿宋_GB2312" w:cs="仿宋_GB2312"/>
          <w:spacing w:val="11"/>
          <w:sz w:val="32"/>
          <w:szCs w:val="32"/>
          <w:lang w:eastAsia="zh-CN"/>
        </w:rPr>
        <w:t>云南省</w:t>
      </w:r>
      <w:r>
        <w:rPr>
          <w:rFonts w:hint="eastAsia" w:ascii="仿宋_GB2312" w:hAnsi="Times New Roman" w:eastAsia="仿宋_GB2312" w:cs="Times New Roman"/>
          <w:sz w:val="32"/>
          <w:szCs w:val="32"/>
          <w:lang w:eastAsia="zh-CN"/>
        </w:rPr>
        <w:t>华宁县</w:t>
      </w:r>
      <w:r>
        <w:rPr>
          <w:rFonts w:hint="eastAsia" w:ascii="仿宋_GB2312" w:hAnsi="仿宋_GB2312" w:eastAsia="仿宋_GB2312" w:cs="仿宋_GB2312"/>
          <w:spacing w:val="11"/>
          <w:sz w:val="32"/>
          <w:szCs w:val="32"/>
          <w:lang w:eastAsia="zh-CN"/>
        </w:rPr>
        <w:t>烟草制品零售点</w:t>
      </w:r>
      <w:r>
        <w:rPr>
          <w:rFonts w:hint="eastAsia" w:ascii="仿宋_GB2312" w:hAnsi="仿宋_GB2312" w:eastAsia="仿宋_GB2312" w:cs="仿宋_GB2312"/>
          <w:spacing w:val="10"/>
          <w:sz w:val="32"/>
          <w:szCs w:val="32"/>
          <w:lang w:eastAsia="zh-CN"/>
        </w:rPr>
        <w:t>间距测量</w:t>
      </w:r>
      <w:r>
        <w:rPr>
          <w:rFonts w:hint="eastAsia" w:ascii="仿宋_GB2312" w:hAnsi="仿宋_GB2312" w:eastAsia="仿宋_GB2312" w:cs="仿宋_GB2312"/>
          <w:spacing w:val="5"/>
          <w:sz w:val="32"/>
          <w:szCs w:val="32"/>
          <w:lang w:eastAsia="zh-CN"/>
        </w:rPr>
        <w:t>规则及标准</w:t>
      </w:r>
    </w:p>
    <w:p w14:paraId="3A4F5244">
      <w:pPr>
        <w:spacing w:before="52" w:line="343" w:lineRule="auto"/>
        <w:ind w:left="1701" w:leftChars="810" w:right="2"/>
        <w:jc w:val="both"/>
        <w:rPr>
          <w:rFonts w:ascii="仿宋_GB2312" w:hAnsi="Times New Roman" w:eastAsia="仿宋_GB2312" w:cs="Times New Roman"/>
          <w:spacing w:val="11"/>
          <w:sz w:val="32"/>
          <w:szCs w:val="32"/>
          <w:lang w:eastAsia="zh-CN"/>
        </w:rPr>
      </w:pPr>
      <w:r>
        <w:rPr>
          <w:rFonts w:hint="eastAsia" w:ascii="仿宋_GB2312" w:hAnsi="Times New Roman" w:eastAsia="仿宋_GB2312" w:cs="Times New Roman"/>
          <w:spacing w:val="11"/>
          <w:sz w:val="32"/>
          <w:szCs w:val="32"/>
          <w:lang w:eastAsia="zh-CN"/>
        </w:rPr>
        <w:t>2.云南省华宁县烟草制品雪茄烟专营外零售点合理布局公示表</w:t>
      </w:r>
    </w:p>
    <w:p w14:paraId="5F053375">
      <w:pPr>
        <w:spacing w:before="50" w:line="343" w:lineRule="auto"/>
        <w:ind w:left="1701" w:leftChars="810" w:right="2"/>
        <w:jc w:val="both"/>
        <w:rPr>
          <w:rFonts w:ascii="仿宋_GB2312" w:hAnsi="仿宋_GB2312" w:eastAsia="仿宋_GB2312" w:cs="仿宋_GB2312"/>
          <w:sz w:val="32"/>
          <w:szCs w:val="32"/>
          <w:lang w:eastAsia="zh-CN"/>
        </w:rPr>
      </w:pPr>
      <w:r>
        <w:rPr>
          <w:rFonts w:hint="eastAsia" w:ascii="仿宋_GB2312" w:hAnsi="Times New Roman" w:eastAsia="仿宋_GB2312" w:cs="Times New Roman"/>
          <w:spacing w:val="12"/>
          <w:sz w:val="32"/>
          <w:szCs w:val="32"/>
          <w:lang w:eastAsia="zh-CN"/>
        </w:rPr>
        <w:t>3.</w:t>
      </w:r>
      <w:r>
        <w:rPr>
          <w:rFonts w:hint="eastAsia" w:ascii="仿宋_GB2312" w:hAnsi="仿宋_GB2312" w:eastAsia="仿宋_GB2312" w:cs="仿宋_GB2312"/>
          <w:spacing w:val="12"/>
          <w:sz w:val="32"/>
          <w:szCs w:val="32"/>
          <w:lang w:eastAsia="zh-CN"/>
        </w:rPr>
        <w:t>云南省</w:t>
      </w:r>
      <w:r>
        <w:rPr>
          <w:rFonts w:hint="eastAsia" w:ascii="仿宋_GB2312" w:hAnsi="Times New Roman" w:eastAsia="仿宋_GB2312" w:cs="Times New Roman"/>
          <w:sz w:val="32"/>
          <w:szCs w:val="32"/>
          <w:lang w:eastAsia="zh-CN"/>
        </w:rPr>
        <w:t>华宁县</w:t>
      </w:r>
      <w:r>
        <w:rPr>
          <w:rFonts w:hint="eastAsia" w:ascii="仿宋_GB2312" w:hAnsi="仿宋_GB2312" w:eastAsia="仿宋_GB2312" w:cs="仿宋_GB2312"/>
          <w:spacing w:val="12"/>
          <w:sz w:val="32"/>
          <w:szCs w:val="32"/>
          <w:lang w:eastAsia="zh-CN"/>
        </w:rPr>
        <w:t>烟草制品雪茄烟专营外零售点合理布局</w:t>
      </w:r>
      <w:r>
        <w:rPr>
          <w:rFonts w:hint="eastAsia" w:ascii="仿宋_GB2312" w:hAnsi="仿宋_GB2312" w:eastAsia="仿宋_GB2312" w:cs="仿宋_GB2312"/>
          <w:spacing w:val="6"/>
          <w:sz w:val="32"/>
          <w:szCs w:val="32"/>
          <w:lang w:eastAsia="zh-CN"/>
        </w:rPr>
        <w:t>规划网格示意图</w:t>
      </w:r>
    </w:p>
    <w:p w14:paraId="6FE34919">
      <w:pPr>
        <w:spacing w:before="101" w:line="343" w:lineRule="auto"/>
        <w:ind w:left="1701" w:leftChars="810"/>
        <w:jc w:val="both"/>
        <w:rPr>
          <w:rFonts w:ascii="仿宋_GB2312" w:hAnsi="Times New Roman" w:eastAsia="仿宋_GB2312" w:cs="Times New Roman"/>
          <w:spacing w:val="12"/>
          <w:sz w:val="32"/>
          <w:szCs w:val="32"/>
          <w:lang w:eastAsia="zh-CN"/>
        </w:rPr>
      </w:pPr>
      <w:r>
        <w:rPr>
          <w:rFonts w:hint="eastAsia" w:ascii="仿宋_GB2312" w:hAnsi="Times New Roman" w:eastAsia="仿宋_GB2312" w:cs="Times New Roman"/>
          <w:spacing w:val="12"/>
          <w:sz w:val="32"/>
          <w:szCs w:val="32"/>
          <w:lang w:eastAsia="zh-CN"/>
        </w:rPr>
        <w:t>4.</w:t>
      </w:r>
      <w:r>
        <w:rPr>
          <w:rFonts w:hint="eastAsia"/>
          <w:lang w:eastAsia="zh-CN"/>
        </w:rPr>
        <w:t xml:space="preserve"> </w:t>
      </w:r>
      <w:r>
        <w:rPr>
          <w:rFonts w:hint="eastAsia" w:ascii="仿宋_GB2312" w:hAnsi="Times New Roman" w:eastAsia="仿宋_GB2312" w:cs="Times New Roman"/>
          <w:spacing w:val="12"/>
          <w:sz w:val="32"/>
          <w:szCs w:val="32"/>
          <w:lang w:eastAsia="zh-CN"/>
        </w:rPr>
        <w:t>云南省华宁县雪茄烟专营零售点合理布局公示表</w:t>
      </w:r>
    </w:p>
    <w:p w14:paraId="1E888B49">
      <w:pPr>
        <w:spacing w:before="101" w:line="343" w:lineRule="auto"/>
        <w:ind w:left="1701" w:leftChars="810"/>
        <w:jc w:val="both"/>
        <w:rPr>
          <w:rFonts w:ascii="仿宋_GB2312" w:hAnsi="仿宋_GB2312" w:eastAsia="仿宋_GB2312" w:cs="仿宋_GB2312"/>
          <w:sz w:val="32"/>
          <w:szCs w:val="32"/>
          <w:lang w:eastAsia="zh-CN"/>
        </w:rPr>
      </w:pPr>
      <w:r>
        <w:rPr>
          <w:rFonts w:hint="eastAsia" w:ascii="仿宋_GB2312" w:hAnsi="仿宋_GB2312" w:eastAsia="仿宋_GB2312" w:cs="仿宋_GB2312"/>
          <w:spacing w:val="12"/>
          <w:sz w:val="32"/>
          <w:szCs w:val="32"/>
          <w:lang w:eastAsia="zh-CN"/>
        </w:rPr>
        <w:t>5.云南省</w:t>
      </w:r>
      <w:r>
        <w:rPr>
          <w:rFonts w:hint="eastAsia" w:ascii="仿宋_GB2312" w:hAnsi="Times New Roman" w:eastAsia="仿宋_GB2312" w:cs="Times New Roman"/>
          <w:sz w:val="32"/>
          <w:szCs w:val="32"/>
          <w:lang w:eastAsia="zh-CN"/>
        </w:rPr>
        <w:t>华宁县</w:t>
      </w:r>
      <w:r>
        <w:rPr>
          <w:rFonts w:hint="eastAsia" w:ascii="仿宋_GB2312" w:hAnsi="仿宋_GB2312" w:eastAsia="仿宋_GB2312" w:cs="仿宋_GB2312"/>
          <w:spacing w:val="12"/>
          <w:sz w:val="32"/>
          <w:szCs w:val="32"/>
          <w:lang w:eastAsia="zh-CN"/>
        </w:rPr>
        <w:t>烟草制品零售点合理布局</w:t>
      </w:r>
      <w:r>
        <w:rPr>
          <w:rFonts w:hint="eastAsia" w:ascii="仿宋_GB2312" w:hAnsi="仿宋_GB2312" w:eastAsia="仿宋_GB2312" w:cs="仿宋_GB2312"/>
          <w:spacing w:val="7"/>
          <w:sz w:val="32"/>
          <w:szCs w:val="32"/>
          <w:lang w:eastAsia="zh-CN"/>
        </w:rPr>
        <w:t>规划数动态调整管理制度</w:t>
      </w:r>
    </w:p>
    <w:p w14:paraId="69A8FEDE">
      <w:pPr>
        <w:spacing w:before="55" w:line="343" w:lineRule="auto"/>
        <w:ind w:left="1558" w:leftChars="742" w:firstLine="143"/>
        <w:jc w:val="both"/>
        <w:rPr>
          <w:rFonts w:hint="eastAsia" w:ascii="仿宋_GB2312" w:hAnsi="仿宋_GB2312" w:eastAsia="仿宋_GB2312" w:cs="仿宋_GB2312"/>
          <w:spacing w:val="-2"/>
          <w:sz w:val="32"/>
          <w:szCs w:val="32"/>
          <w:lang w:eastAsia="zh-CN"/>
        </w:rPr>
      </w:pPr>
      <w:r>
        <w:rPr>
          <w:rFonts w:hint="eastAsia" w:ascii="仿宋_GB2312" w:hAnsi="Times New Roman" w:eastAsia="仿宋_GB2312" w:cs="Times New Roman"/>
          <w:spacing w:val="12"/>
          <w:sz w:val="32"/>
          <w:szCs w:val="32"/>
          <w:lang w:eastAsia="zh-CN"/>
        </w:rPr>
        <w:t>6.</w:t>
      </w:r>
      <w:r>
        <w:rPr>
          <w:rFonts w:hint="eastAsia" w:ascii="仿宋_GB2312" w:hAnsi="仿宋_GB2312" w:eastAsia="仿宋_GB2312" w:cs="仿宋_GB2312"/>
          <w:spacing w:val="12"/>
          <w:sz w:val="32"/>
          <w:szCs w:val="32"/>
          <w:lang w:eastAsia="zh-CN"/>
        </w:rPr>
        <w:t>云南省</w:t>
      </w:r>
      <w:r>
        <w:rPr>
          <w:rFonts w:hint="eastAsia" w:ascii="仿宋_GB2312" w:hAnsi="Times New Roman" w:eastAsia="仿宋_GB2312" w:cs="Times New Roman"/>
          <w:sz w:val="32"/>
          <w:szCs w:val="32"/>
          <w:lang w:eastAsia="zh-CN"/>
        </w:rPr>
        <w:t>华宁县</w:t>
      </w:r>
      <w:r>
        <w:rPr>
          <w:rFonts w:hint="eastAsia" w:ascii="仿宋_GB2312" w:hAnsi="仿宋_GB2312" w:eastAsia="仿宋_GB2312" w:cs="仿宋_GB2312"/>
          <w:spacing w:val="12"/>
          <w:sz w:val="32"/>
          <w:szCs w:val="32"/>
          <w:lang w:eastAsia="zh-CN"/>
        </w:rPr>
        <w:t>烟草制品零售点排</w:t>
      </w:r>
      <w:r>
        <w:rPr>
          <w:rFonts w:hint="eastAsia" w:ascii="仿宋_GB2312" w:hAnsi="仿宋_GB2312" w:eastAsia="仿宋_GB2312" w:cs="仿宋_GB2312"/>
          <w:spacing w:val="11"/>
          <w:sz w:val="32"/>
          <w:szCs w:val="32"/>
          <w:lang w:eastAsia="zh-CN"/>
        </w:rPr>
        <w:t>队轮候</w:t>
      </w:r>
      <w:r>
        <w:rPr>
          <w:rFonts w:hint="eastAsia" w:ascii="仿宋_GB2312" w:hAnsi="仿宋_GB2312" w:eastAsia="仿宋_GB2312" w:cs="仿宋_GB2312"/>
          <w:spacing w:val="-2"/>
          <w:sz w:val="32"/>
          <w:szCs w:val="32"/>
          <w:lang w:eastAsia="zh-CN"/>
        </w:rPr>
        <w:t>制度</w:t>
      </w:r>
    </w:p>
    <w:p w14:paraId="07736FED">
      <w:pPr>
        <w:spacing w:before="55" w:line="343" w:lineRule="auto"/>
        <w:ind w:left="1558" w:leftChars="742" w:firstLine="143"/>
        <w:jc w:val="both"/>
        <w:rPr>
          <w:rFonts w:hint="eastAsia" w:ascii="仿宋_GB2312" w:hAnsi="仿宋_GB2312" w:eastAsia="仿宋_GB2312" w:cs="仿宋_GB2312"/>
          <w:spacing w:val="-2"/>
          <w:sz w:val="32"/>
          <w:szCs w:val="32"/>
          <w:lang w:eastAsia="zh-CN"/>
        </w:rPr>
      </w:pPr>
    </w:p>
    <w:p w14:paraId="7A50E4B4">
      <w:pPr>
        <w:spacing w:before="55" w:line="343" w:lineRule="auto"/>
        <w:ind w:left="1558" w:leftChars="742" w:firstLine="143"/>
        <w:jc w:val="both"/>
        <w:rPr>
          <w:rFonts w:hint="eastAsia" w:ascii="仿宋_GB2312" w:hAnsi="仿宋_GB2312" w:eastAsia="仿宋_GB2312" w:cs="仿宋_GB2312"/>
          <w:spacing w:val="-2"/>
          <w:sz w:val="32"/>
          <w:szCs w:val="32"/>
          <w:lang w:eastAsia="zh-CN"/>
        </w:rPr>
      </w:pPr>
    </w:p>
    <w:p w14:paraId="4D2C2F5D">
      <w:pPr>
        <w:spacing w:before="55" w:line="343" w:lineRule="auto"/>
        <w:ind w:left="1558" w:leftChars="742" w:firstLine="143"/>
        <w:jc w:val="both"/>
        <w:rPr>
          <w:rFonts w:hint="eastAsia" w:ascii="仿宋_GB2312" w:hAnsi="仿宋_GB2312" w:eastAsia="仿宋_GB2312" w:cs="仿宋_GB2312"/>
          <w:spacing w:val="-2"/>
          <w:sz w:val="32"/>
          <w:szCs w:val="32"/>
          <w:lang w:eastAsia="zh-CN"/>
        </w:rPr>
      </w:pPr>
    </w:p>
    <w:p w14:paraId="693215BA">
      <w:pPr>
        <w:spacing w:before="55" w:line="343" w:lineRule="auto"/>
        <w:ind w:left="1558" w:leftChars="742" w:firstLine="143"/>
        <w:jc w:val="both"/>
        <w:rPr>
          <w:rFonts w:hint="eastAsia" w:ascii="仿宋_GB2312" w:hAnsi="仿宋_GB2312" w:eastAsia="仿宋_GB2312" w:cs="仿宋_GB2312"/>
          <w:spacing w:val="-2"/>
          <w:sz w:val="32"/>
          <w:szCs w:val="32"/>
          <w:lang w:eastAsia="zh-CN"/>
        </w:rPr>
      </w:pPr>
    </w:p>
    <w:p w14:paraId="6C57FE29">
      <w:pPr>
        <w:spacing w:before="55" w:line="343" w:lineRule="auto"/>
        <w:jc w:val="both"/>
        <w:rPr>
          <w:rFonts w:hint="eastAsia" w:ascii="仿宋_GB2312" w:hAnsi="仿宋_GB2312" w:eastAsia="仿宋_GB2312" w:cs="仿宋_GB2312"/>
          <w:spacing w:val="-2"/>
          <w:sz w:val="32"/>
          <w:szCs w:val="32"/>
          <w:lang w:eastAsia="zh-CN"/>
        </w:rPr>
      </w:pPr>
    </w:p>
    <w:p w14:paraId="3867036E">
      <w:pPr>
        <w:widowControl/>
        <w:spacing w:before="86" w:line="360" w:lineRule="auto"/>
        <w:jc w:val="left"/>
        <w:rPr>
          <w:rFonts w:ascii="黑体" w:hAnsi="黑体" w:eastAsia="黑体" w:cs="黑体"/>
          <w:spacing w:val="10"/>
          <w:sz w:val="32"/>
          <w:szCs w:val="32"/>
        </w:rPr>
      </w:pPr>
      <w:r>
        <w:rPr>
          <w:rFonts w:hint="eastAsia" w:ascii="黑体" w:hAnsi="黑体" w:eastAsia="黑体" w:cs="黑体"/>
          <w:spacing w:val="10"/>
          <w:sz w:val="32"/>
          <w:szCs w:val="32"/>
        </w:rPr>
        <w:t>附件1</w:t>
      </w:r>
    </w:p>
    <w:p w14:paraId="1A20DA1A">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云南省华宁县烟草制品零售点</w:t>
      </w:r>
    </w:p>
    <w:p w14:paraId="0A6524E7">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间距测量规则及标准</w:t>
      </w:r>
    </w:p>
    <w:p w14:paraId="5CC305A6"/>
    <w:p w14:paraId="5C6A9C54">
      <w:pPr>
        <w:widowControl/>
        <w:tabs>
          <w:tab w:val="left" w:pos="2723"/>
        </w:tabs>
        <w:adjustRightInd w:val="0"/>
        <w:snapToGrid w:val="0"/>
        <w:spacing w:before="86"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根据云南省华宁县辖区实际情况，现明确《云南省华宁县烟草制品零售点合理布局规划》第</w:t>
      </w:r>
      <w:r>
        <w:rPr>
          <w:rFonts w:hint="eastAsia" w:ascii="仿宋_GB2312" w:hAnsi="仿宋_GB2312" w:eastAsia="仿宋_GB2312" w:cs="仿宋_GB2312"/>
          <w:spacing w:val="10"/>
          <w:sz w:val="32"/>
          <w:szCs w:val="32"/>
          <w:lang w:val="en-US" w:eastAsia="zh-CN"/>
        </w:rPr>
        <w:t>八</w:t>
      </w:r>
      <w:r>
        <w:rPr>
          <w:rFonts w:hint="eastAsia" w:ascii="仿宋_GB2312" w:hAnsi="仿宋_GB2312" w:eastAsia="仿宋_GB2312" w:cs="仿宋_GB2312"/>
          <w:spacing w:val="10"/>
          <w:sz w:val="32"/>
          <w:szCs w:val="32"/>
        </w:rPr>
        <w:t>条中有关的“零售点间距”测量规则及标准如下：</w:t>
      </w:r>
    </w:p>
    <w:p w14:paraId="5DD1221E">
      <w:pPr>
        <w:widowControl/>
        <w:adjustRightInd w:val="0"/>
        <w:snapToGrid w:val="0"/>
        <w:spacing w:before="86" w:line="336"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一、测量规则</w:t>
      </w:r>
    </w:p>
    <w:p w14:paraId="275B08FE">
      <w:pPr>
        <w:adjustRightInd w:val="0"/>
        <w:snapToGrid w:val="0"/>
        <w:spacing w:line="336" w:lineRule="auto"/>
        <w:ind w:firstLine="640" w:firstLineChars="200"/>
        <w:rPr>
          <w:rFonts w:ascii="仿宋_GB2312" w:eastAsia="仿宋_GB2312"/>
          <w:sz w:val="32"/>
          <w:szCs w:val="32"/>
        </w:rPr>
      </w:pPr>
      <w:r>
        <w:rPr>
          <w:rFonts w:hint="eastAsia" w:ascii="仿宋_GB2312" w:eastAsia="仿宋_GB2312"/>
          <w:sz w:val="32"/>
          <w:szCs w:val="32"/>
        </w:rPr>
        <w:t>（一）现场核查零售点间距的测量以“可安全步行最短距离”为总体原则，其他未穷尽列举的情形均参照本原则测量。</w:t>
      </w:r>
    </w:p>
    <w:p w14:paraId="3ABABE3A">
      <w:pPr>
        <w:adjustRightInd w:val="0"/>
        <w:snapToGrid w:val="0"/>
        <w:spacing w:line="336" w:lineRule="auto"/>
        <w:ind w:firstLine="640" w:firstLineChars="200"/>
        <w:rPr>
          <w:rFonts w:ascii="仿宋_GB2312" w:eastAsia="仿宋_GB2312"/>
          <w:sz w:val="32"/>
          <w:szCs w:val="32"/>
        </w:rPr>
      </w:pPr>
      <w:r>
        <w:rPr>
          <w:rFonts w:hint="eastAsia" w:ascii="仿宋_GB2312" w:eastAsia="仿宋_GB2312"/>
          <w:sz w:val="32"/>
          <w:szCs w:val="32"/>
        </w:rPr>
        <w:t>（二）应当使用符合国家距离测量标准的测量工具。</w:t>
      </w:r>
    </w:p>
    <w:p w14:paraId="3AA42183">
      <w:pPr>
        <w:adjustRightInd w:val="0"/>
        <w:snapToGrid w:val="0"/>
        <w:spacing w:line="336" w:lineRule="auto"/>
        <w:ind w:firstLine="640" w:firstLineChars="200"/>
        <w:rPr>
          <w:rFonts w:ascii="仿宋_GB2312" w:eastAsia="仿宋_GB2312"/>
          <w:sz w:val="32"/>
          <w:szCs w:val="32"/>
        </w:rPr>
      </w:pPr>
      <w:r>
        <w:rPr>
          <w:rFonts w:hint="eastAsia" w:ascii="仿宋_GB2312" w:eastAsia="仿宋_GB2312"/>
          <w:sz w:val="32"/>
          <w:szCs w:val="32"/>
        </w:rPr>
        <w:t>（三）“零售点间距”是指申请点与参照零售点（周边已设最近的零售点）之间按“门边到门边”原则进行测量。测量数据精确到小数点后一位，如“30.0米”或“100.0米”。</w:t>
      </w:r>
    </w:p>
    <w:p w14:paraId="7BA57D0F">
      <w:pPr>
        <w:adjustRightInd w:val="0"/>
        <w:snapToGrid w:val="0"/>
        <w:spacing w:line="336" w:lineRule="auto"/>
        <w:ind w:firstLine="640" w:firstLineChars="200"/>
        <w:rPr>
          <w:rFonts w:ascii="仿宋_GB2312" w:eastAsia="仿宋_GB2312"/>
          <w:sz w:val="32"/>
          <w:szCs w:val="32"/>
        </w:rPr>
      </w:pPr>
      <w:r>
        <w:rPr>
          <w:rFonts w:hint="eastAsia" w:ascii="仿宋_GB2312" w:eastAsia="仿宋_GB2312"/>
          <w:sz w:val="32"/>
          <w:szCs w:val="32"/>
        </w:rPr>
        <w: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34277AC8">
      <w:pPr>
        <w:adjustRightInd w:val="0"/>
        <w:snapToGrid w:val="0"/>
        <w:spacing w:line="336" w:lineRule="auto"/>
        <w:ind w:firstLine="640" w:firstLineChars="200"/>
        <w:rPr>
          <w:rFonts w:ascii="仿宋_GB2312" w:eastAsia="仿宋_GB2312"/>
          <w:sz w:val="32"/>
          <w:szCs w:val="32"/>
        </w:rPr>
      </w:pPr>
      <w:r>
        <w:rPr>
          <w:rFonts w:hint="eastAsia" w:ascii="仿宋_GB2312" w:eastAsia="仿宋_GB2312"/>
          <w:sz w:val="32"/>
          <w:szCs w:val="32"/>
        </w:rPr>
        <w: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t>
      </w:r>
    </w:p>
    <w:p w14:paraId="699E0E50">
      <w:pPr>
        <w:adjustRightInd w:val="0"/>
        <w:snapToGrid w:val="0"/>
        <w:spacing w:line="336" w:lineRule="auto"/>
        <w:ind w:firstLine="640" w:firstLineChars="200"/>
        <w:rPr>
          <w:rFonts w:ascii="仿宋_GB2312" w:eastAsia="仿宋_GB2312"/>
          <w:sz w:val="32"/>
          <w:szCs w:val="32"/>
        </w:rPr>
      </w:pPr>
      <w:r>
        <w:rPr>
          <w:rFonts w:hint="eastAsia" w:ascii="仿宋_GB2312" w:eastAsia="仿宋_GB2312"/>
          <w:sz w:val="32"/>
          <w:szCs w:val="32"/>
        </w:rPr>
        <w:t>（六）政府有关部门在街道或道路中设置的行人隔离带（栏）、绿化带等视为障碍物，测量时应当按道路交通规则绕行。</w:t>
      </w:r>
    </w:p>
    <w:p w14:paraId="6F981416">
      <w:pPr>
        <w:adjustRightInd w:val="0"/>
        <w:snapToGrid w:val="0"/>
        <w:spacing w:line="336" w:lineRule="auto"/>
        <w:ind w:firstLine="640" w:firstLineChars="200"/>
        <w:rPr>
          <w:rFonts w:ascii="仿宋_GB2312" w:eastAsia="仿宋_GB2312"/>
          <w:sz w:val="32"/>
          <w:szCs w:val="32"/>
        </w:rPr>
      </w:pPr>
      <w:r>
        <w:rPr>
          <w:rFonts w:hint="eastAsia" w:ascii="仿宋_GB2312" w:eastAsia="仿宋_GB2312"/>
          <w:sz w:val="32"/>
          <w:szCs w:val="32"/>
        </w:rPr>
        <w:t>（七）不视为障碍物的情形：在通行道路上临时设置的安全设施；临时放置的建筑材料、物品、车辆等；擅自设立、建造的建筑物、构筑物或其他物体等；以及因施工影响通行的围挡设施。</w:t>
      </w:r>
    </w:p>
    <w:p w14:paraId="384787F4">
      <w:pPr>
        <w:widowControl/>
        <w:adjustRightInd w:val="0"/>
        <w:snapToGrid w:val="0"/>
        <w:spacing w:before="86" w:line="336" w:lineRule="auto"/>
        <w:ind w:firstLine="640" w:firstLineChars="200"/>
        <w:jc w:val="left"/>
        <w:rPr>
          <w:rFonts w:ascii="黑体" w:hAnsi="黑体" w:eastAsia="黑体" w:cs="黑体"/>
          <w:sz w:val="32"/>
          <w:szCs w:val="32"/>
        </w:rPr>
      </w:pPr>
      <w:r>
        <w:rPr>
          <w:rFonts w:hint="eastAsia" w:ascii="黑体" w:hAnsi="黑体" w:eastAsia="黑体" w:cs="黑体"/>
          <w:sz w:val="32"/>
          <w:szCs w:val="32"/>
        </w:rPr>
        <w:t>二、测量标准</w:t>
      </w:r>
    </w:p>
    <w:p w14:paraId="2B376E23">
      <w:pPr>
        <w:pStyle w:val="2"/>
        <w:adjustRightInd w:val="0"/>
        <w:snapToGrid w:val="0"/>
        <w:spacing w:after="0" w:line="336"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（一）店面同一侧无障碍物距离测量示意图，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间距。（如图1）</w:t>
      </w:r>
    </w:p>
    <w:p w14:paraId="08890E08">
      <w:pPr>
        <w:pStyle w:val="2"/>
        <w:spacing w:after="0" w:line="360" w:lineRule="auto"/>
        <w:ind w:right="2"/>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970020" cy="1748155"/>
            <wp:effectExtent l="0" t="0" r="11430"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6"/>
                    <a:stretch>
                      <a:fillRect/>
                    </a:stretch>
                  </pic:blipFill>
                  <pic:spPr>
                    <a:xfrm>
                      <a:off x="0" y="0"/>
                      <a:ext cx="3970020" cy="1748155"/>
                    </a:xfrm>
                    <a:prstGeom prst="rect">
                      <a:avLst/>
                    </a:prstGeom>
                  </pic:spPr>
                </pic:pic>
              </a:graphicData>
            </a:graphic>
          </wp:inline>
        </w:drawing>
      </w:r>
    </w:p>
    <w:p w14:paraId="0CEC102B">
      <w:pPr>
        <w:pStyle w:val="2"/>
        <w:spacing w:after="0" w:line="360" w:lineRule="auto"/>
        <w:ind w:right="2"/>
        <w:jc w:val="center"/>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图1</w:t>
      </w:r>
    </w:p>
    <w:p w14:paraId="17BC284B">
      <w:pPr>
        <w:pStyle w:val="2"/>
        <w:spacing w:after="0" w:line="360" w:lineRule="auto"/>
        <w:ind w:right="2"/>
        <w:jc w:val="center"/>
        <w:rPr>
          <w:rFonts w:hint="eastAsia" w:ascii="仿宋_GB2312" w:hAnsi="仿宋_GB2312" w:eastAsia="仿宋_GB2312" w:cs="仿宋_GB2312"/>
          <w:spacing w:val="10"/>
          <w:sz w:val="32"/>
          <w:szCs w:val="32"/>
        </w:rPr>
      </w:pPr>
    </w:p>
    <w:p w14:paraId="5734EB21">
      <w:pPr>
        <w:pStyle w:val="2"/>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（二）店面同一侧有障碍物距离测量示意图，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间距=a+b+c+d+e。（如图2）</w:t>
      </w:r>
    </w:p>
    <w:p w14:paraId="242D42F5">
      <w:pPr>
        <w:pStyle w:val="2"/>
        <w:spacing w:after="0" w:line="360" w:lineRule="auto"/>
        <w:ind w:right="2"/>
        <w:jc w:val="both"/>
        <w:rPr>
          <w:rFonts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drawing>
          <wp:inline distT="0" distB="0" distL="114300" distR="114300">
            <wp:extent cx="5228590" cy="1883410"/>
            <wp:effectExtent l="0" t="0" r="10160" b="254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7"/>
                    <a:stretch>
                      <a:fillRect/>
                    </a:stretch>
                  </pic:blipFill>
                  <pic:spPr>
                    <a:xfrm>
                      <a:off x="0" y="0"/>
                      <a:ext cx="5240217" cy="1887838"/>
                    </a:xfrm>
                    <a:prstGeom prst="rect">
                      <a:avLst/>
                    </a:prstGeom>
                  </pic:spPr>
                </pic:pic>
              </a:graphicData>
            </a:graphic>
          </wp:inline>
        </w:drawing>
      </w:r>
    </w:p>
    <w:p w14:paraId="776E6F0B">
      <w:pPr>
        <w:pStyle w:val="2"/>
        <w:spacing w:after="0" w:line="360" w:lineRule="auto"/>
        <w:ind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图2</w:t>
      </w:r>
    </w:p>
    <w:p w14:paraId="62A6E21E">
      <w:pPr>
        <w:pStyle w:val="2"/>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（三）申请点与参照零售点</w:t>
      </w:r>
      <w:r>
        <w:rPr>
          <w:rFonts w:hint="eastAsia" w:ascii="仿宋_GB2312" w:hAnsi="仿宋_GB2312" w:eastAsia="仿宋_GB2312" w:cs="仿宋_GB2312"/>
          <w:spacing w:val="10"/>
          <w:sz w:val="32"/>
          <w:szCs w:val="32"/>
        </w:rPr>
        <w:t>异侧无障碍物，且道路无隔离带（包括无任何禁止通行交通标志的路段或有可通行的单虚线）和斑马线情形，可安全步行的。</w:t>
      </w:r>
    </w:p>
    <w:p w14:paraId="50415676">
      <w:pPr>
        <w:pStyle w:val="2"/>
        <w:spacing w:after="0" w:line="360" w:lineRule="auto"/>
        <w:ind w:right="2" w:firstLine="68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1</w:t>
      </w:r>
      <w:r>
        <w:rPr>
          <w:rFonts w:ascii="仿宋_GB2312" w:hAnsi="仿宋_GB2312" w:eastAsia="仿宋_GB2312" w:cs="仿宋_GB2312"/>
          <w:spacing w:val="10"/>
          <w:sz w:val="32"/>
          <w:szCs w:val="32"/>
        </w:rPr>
        <w:t>.</w:t>
      </w:r>
      <w:r>
        <w:rPr>
          <w:rFonts w:hint="eastAsia" w:ascii="仿宋_GB2312" w:hAnsi="仿宋_GB2312" w:eastAsia="仿宋_GB2312" w:cs="仿宋_GB2312"/>
          <w:spacing w:val="10"/>
          <w:sz w:val="32"/>
          <w:szCs w:val="32"/>
        </w:rPr>
        <w:t>申请点与参照零售点对称的，间距=a（如图3.1）</w:t>
      </w:r>
    </w:p>
    <w:p w14:paraId="759EDD08">
      <w:pPr>
        <w:pStyle w:val="2"/>
        <w:spacing w:after="0" w:line="360" w:lineRule="auto"/>
        <w:ind w:right="3"/>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drawing>
          <wp:inline distT="0" distB="0" distL="114300" distR="114300">
            <wp:extent cx="4934585" cy="2446020"/>
            <wp:effectExtent l="0" t="0" r="18415" b="11430"/>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8"/>
                    <a:stretch>
                      <a:fillRect/>
                    </a:stretch>
                  </pic:blipFill>
                  <pic:spPr>
                    <a:xfrm>
                      <a:off x="0" y="0"/>
                      <a:ext cx="4934585" cy="2446020"/>
                    </a:xfrm>
                    <a:prstGeom prst="rect">
                      <a:avLst/>
                    </a:prstGeom>
                  </pic:spPr>
                </pic:pic>
              </a:graphicData>
            </a:graphic>
          </wp:inline>
        </w:drawing>
      </w:r>
    </w:p>
    <w:p w14:paraId="6A9278E2">
      <w:pPr>
        <w:pStyle w:val="2"/>
        <w:spacing w:after="0" w:line="360" w:lineRule="auto"/>
        <w:ind w:right="3"/>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图3.1</w:t>
      </w:r>
    </w:p>
    <w:p w14:paraId="10347568">
      <w:pPr>
        <w:pStyle w:val="2"/>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pacing w:val="10"/>
          <w:sz w:val="32"/>
          <w:szCs w:val="32"/>
        </w:rPr>
        <w:t>申请点与参照零售点不对称的，间距=b（如图3.2）</w:t>
      </w:r>
    </w:p>
    <w:p w14:paraId="4788E18F">
      <w:pPr>
        <w:pStyle w:val="2"/>
        <w:spacing w:after="0" w:line="360" w:lineRule="auto"/>
        <w:ind w:right="2"/>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5015865" cy="2638425"/>
            <wp:effectExtent l="0" t="0" r="13335" b="9525"/>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9"/>
                    <a:stretch>
                      <a:fillRect/>
                    </a:stretch>
                  </pic:blipFill>
                  <pic:spPr>
                    <a:xfrm>
                      <a:off x="0" y="0"/>
                      <a:ext cx="5015865" cy="2638425"/>
                    </a:xfrm>
                    <a:prstGeom prst="rect">
                      <a:avLst/>
                    </a:prstGeom>
                  </pic:spPr>
                </pic:pic>
              </a:graphicData>
            </a:graphic>
          </wp:inline>
        </w:drawing>
      </w:r>
    </w:p>
    <w:p w14:paraId="69420F6D">
      <w:pPr>
        <w:pStyle w:val="2"/>
        <w:spacing w:after="0" w:line="360" w:lineRule="auto"/>
        <w:ind w:left="420" w:leftChars="200" w:right="2" w:firstLine="68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图3.2</w:t>
      </w:r>
      <w:r>
        <w:rPr>
          <w:rFonts w:hint="eastAsia" w:ascii="仿宋_GB2312" w:hAnsi="仿宋_GB2312" w:eastAsia="仿宋_GB2312" w:cs="仿宋_GB2312"/>
          <w:sz w:val="32"/>
          <w:szCs w:val="32"/>
          <w:lang w:bidi="ug-CN"/>
        </w:rPr>
        <w:tab/>
      </w:r>
    </w:p>
    <w:p w14:paraId="2656B8B1">
      <w:pPr>
        <w:pStyle w:val="2"/>
        <w:spacing w:after="0" w:line="36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（四）申请点与参照零售点</w:t>
      </w:r>
      <w:r>
        <w:rPr>
          <w:rFonts w:hint="eastAsia" w:ascii="仿宋_GB2312" w:hAnsi="仿宋_GB2312" w:eastAsia="仿宋_GB2312" w:cs="仿宋_GB2312"/>
          <w:spacing w:val="10"/>
          <w:sz w:val="32"/>
          <w:szCs w:val="32"/>
        </w:rPr>
        <w:t>异侧存在障碍物的，测量按直角分段绕过障碍物测量，分段距离之和即为申请人的经营场所与最近零售点的经营场所间的距离。间距=a+b+c（如图4）</w:t>
      </w:r>
    </w:p>
    <w:p w14:paraId="67F82DF3">
      <w:pPr>
        <w:pStyle w:val="2"/>
        <w:tabs>
          <w:tab w:val="left" w:pos="8197"/>
        </w:tabs>
        <w:spacing w:after="0" w:line="360" w:lineRule="auto"/>
        <w:ind w:right="3"/>
        <w:jc w:val="both"/>
        <w:rPr>
          <w:rFonts w:ascii="仿宋_GB2312" w:hAnsi="仿宋_GB2312" w:eastAsia="仿宋_GB2312" w:cs="仿宋_GB2312"/>
          <w:sz w:val="32"/>
          <w:szCs w:val="32"/>
          <w:lang w:bidi="ug-CN"/>
        </w:rPr>
      </w:pPr>
      <w:r>
        <w:rPr>
          <w:rFonts w:hint="eastAsia" w:ascii="仿宋_GB2312" w:hAnsi="仿宋_GB2312" w:eastAsia="仿宋_GB2312" w:cs="仿宋_GB2312"/>
          <w:sz w:val="32"/>
          <w:szCs w:val="32"/>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10"/>
                    <a:stretch>
                      <a:fillRect/>
                    </a:stretch>
                  </pic:blipFill>
                  <pic:spPr>
                    <a:xfrm>
                      <a:off x="0" y="0"/>
                      <a:ext cx="5194300" cy="2531745"/>
                    </a:xfrm>
                    <a:prstGeom prst="rect">
                      <a:avLst/>
                    </a:prstGeom>
                  </pic:spPr>
                </pic:pic>
              </a:graphicData>
            </a:graphic>
          </wp:inline>
        </w:drawing>
      </w:r>
    </w:p>
    <w:p w14:paraId="3707A057">
      <w:pPr>
        <w:pStyle w:val="2"/>
        <w:tabs>
          <w:tab w:val="left" w:pos="8197"/>
        </w:tabs>
        <w:spacing w:after="0" w:line="360" w:lineRule="auto"/>
        <w:ind w:right="3" w:firstLine="640" w:firstLineChars="200"/>
        <w:jc w:val="center"/>
        <w:rPr>
          <w:rFonts w:ascii="仿宋_GB2312" w:hAnsi="仿宋_GB2312" w:eastAsia="仿宋_GB2312" w:cs="仿宋_GB2312"/>
          <w:sz w:val="32"/>
          <w:szCs w:val="32"/>
          <w:lang w:bidi="ug-CN"/>
        </w:rPr>
      </w:pPr>
      <w:r>
        <w:rPr>
          <w:rFonts w:hint="eastAsia" w:ascii="仿宋_GB2312" w:hAnsi="仿宋_GB2312" w:eastAsia="仿宋_GB2312" w:cs="仿宋_GB2312"/>
          <w:sz w:val="32"/>
          <w:szCs w:val="32"/>
          <w:lang w:bidi="ug-CN"/>
        </w:rPr>
        <w:t>图4</w:t>
      </w:r>
    </w:p>
    <w:p w14:paraId="3A9EF403">
      <w:pPr>
        <w:pStyle w:val="2"/>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（五）店面背靠背距离测量示意图，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间距=a+b+c。（如图5）</w:t>
      </w:r>
    </w:p>
    <w:p w14:paraId="7F03D8B9">
      <w:pPr>
        <w:pStyle w:val="2"/>
        <w:spacing w:after="0" w:line="360" w:lineRule="auto"/>
        <w:ind w:right="3" w:firstLine="420" w:firstLineChars="200"/>
        <w:jc w:val="center"/>
        <w:rPr>
          <w:rFonts w:ascii="仿宋_GB2312" w:hAnsi="仿宋_GB2312" w:eastAsia="仿宋_GB2312" w:cs="仿宋_GB2312"/>
          <w:spacing w:val="10"/>
          <w:sz w:val="32"/>
          <w:szCs w:val="32"/>
        </w:rPr>
      </w:pPr>
      <w:r>
        <w:drawing>
          <wp:inline distT="0" distB="0" distL="114300" distR="114300">
            <wp:extent cx="3772535" cy="1860550"/>
            <wp:effectExtent l="0" t="0" r="1841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p>
    <w:p w14:paraId="519E35E7">
      <w:pPr>
        <w:pStyle w:val="2"/>
        <w:spacing w:after="0" w:line="360" w:lineRule="auto"/>
        <w:ind w:right="3" w:firstLine="680" w:firstLineChars="200"/>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图5</w:t>
      </w:r>
    </w:p>
    <w:p w14:paraId="3D86D322">
      <w:pPr>
        <w:pStyle w:val="2"/>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（六）店面隔着街道转角的，分别计算沿街店面的两边距离再相加，</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间距=a+b。（如图6）</w:t>
      </w:r>
    </w:p>
    <w:p w14:paraId="785E8E9F">
      <w:pPr>
        <w:pStyle w:val="2"/>
        <w:spacing w:after="0" w:line="360" w:lineRule="auto"/>
        <w:ind w:right="64"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768850" cy="2709545"/>
            <wp:effectExtent l="0" t="0" r="12700" b="14605"/>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2"/>
                    <a:srcRect t="17596"/>
                    <a:stretch>
                      <a:fillRect/>
                    </a:stretch>
                  </pic:blipFill>
                  <pic:spPr>
                    <a:xfrm>
                      <a:off x="0" y="0"/>
                      <a:ext cx="4768850" cy="2709545"/>
                    </a:xfrm>
                    <a:prstGeom prst="rect">
                      <a:avLst/>
                    </a:prstGeom>
                  </pic:spPr>
                </pic:pic>
              </a:graphicData>
            </a:graphic>
          </wp:inline>
        </w:drawing>
      </w:r>
    </w:p>
    <w:p w14:paraId="5E9270B5">
      <w:pPr>
        <w:pStyle w:val="2"/>
        <w:spacing w:after="0" w:line="360" w:lineRule="auto"/>
        <w:ind w:right="64"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图6</w:t>
      </w:r>
    </w:p>
    <w:p w14:paraId="32FAAED7">
      <w:pPr>
        <w:pStyle w:val="2"/>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（七）十字路口</w:t>
      </w:r>
    </w:p>
    <w:p w14:paraId="561234D6">
      <w:pPr>
        <w:pStyle w:val="2"/>
        <w:spacing w:after="0" w:line="360" w:lineRule="auto"/>
        <w:ind w:right="64"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申请点与参照零售点在十字路口中轴线同一半侧的道路对侧的，可参照道路对侧情况进行测量，按申请点门边至零售点门边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测量。具体测量办法视有无交通信号灯、人行横道或过街设施的路段以及障碍物情况而定。（如图7.1）</w:t>
      </w:r>
    </w:p>
    <w:p w14:paraId="1381E191">
      <w:pPr>
        <w:pStyle w:val="2"/>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3"/>
                    <a:stretch>
                      <a:fillRect/>
                    </a:stretch>
                  </pic:blipFill>
                  <pic:spPr>
                    <a:xfrm>
                      <a:off x="0" y="0"/>
                      <a:ext cx="3064510" cy="2741930"/>
                    </a:xfrm>
                    <a:prstGeom prst="rect">
                      <a:avLst/>
                    </a:prstGeom>
                  </pic:spPr>
                </pic:pic>
              </a:graphicData>
            </a:graphic>
          </wp:inline>
        </w:drawing>
      </w:r>
    </w:p>
    <w:p w14:paraId="78B739C2">
      <w:pPr>
        <w:pStyle w:val="2"/>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图7.1</w:t>
      </w:r>
    </w:p>
    <w:p w14:paraId="282FCFA0">
      <w:pPr>
        <w:pStyle w:val="2"/>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十字路口对角（有交通信号灯、人行横道或过街设施）</w:t>
      </w:r>
    </w:p>
    <w:p w14:paraId="4D3CE240">
      <w:pPr>
        <w:pStyle w:val="2"/>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测量。（如图7.2中存在a、b两条线路，取其中一条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33C082C6">
      <w:pPr>
        <w:pStyle w:val="2"/>
        <w:spacing w:after="0" w:line="360" w:lineRule="auto"/>
        <w:ind w:right="64"/>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490470" cy="2160905"/>
            <wp:effectExtent l="0" t="0" r="5080" b="10795"/>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4"/>
                    <a:stretch>
                      <a:fillRect/>
                    </a:stretch>
                  </pic:blipFill>
                  <pic:spPr>
                    <a:xfrm>
                      <a:off x="0" y="0"/>
                      <a:ext cx="2490470" cy="2160905"/>
                    </a:xfrm>
                    <a:prstGeom prst="rect">
                      <a:avLst/>
                    </a:prstGeom>
                  </pic:spPr>
                </pic:pic>
              </a:graphicData>
            </a:graphic>
          </wp:inline>
        </w:drawing>
      </w:r>
    </w:p>
    <w:p w14:paraId="7B65B161">
      <w:pPr>
        <w:pStyle w:val="2"/>
        <w:spacing w:after="0" w:line="360" w:lineRule="auto"/>
        <w:ind w:left="420" w:leftChars="200" w:right="64"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图7.2</w:t>
      </w:r>
    </w:p>
    <w:p w14:paraId="0F7824B2">
      <w:pPr>
        <w:pStyle w:val="2"/>
        <w:adjustRightInd w:val="0"/>
        <w:snapToGrid w:val="0"/>
        <w:spacing w:after="0" w:line="33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十字路口对角（无交通信号灯、人行横道或过街设施）</w:t>
      </w:r>
    </w:p>
    <w:p w14:paraId="0F247B43">
      <w:pPr>
        <w:pStyle w:val="2"/>
        <w:adjustRightInd w:val="0"/>
        <w:snapToGrid w:val="0"/>
        <w:spacing w:after="0"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测量。（图7.3）</w:t>
      </w:r>
    </w:p>
    <w:p w14:paraId="05996E78">
      <w:pPr>
        <w:pStyle w:val="2"/>
        <w:spacing w:after="0" w:line="360" w:lineRule="auto"/>
        <w:ind w:right="64"/>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5"/>
                    <a:stretch>
                      <a:fillRect/>
                    </a:stretch>
                  </pic:blipFill>
                  <pic:spPr>
                    <a:xfrm>
                      <a:off x="0" y="0"/>
                      <a:ext cx="2703830" cy="2475865"/>
                    </a:xfrm>
                    <a:prstGeom prst="rect">
                      <a:avLst/>
                    </a:prstGeom>
                  </pic:spPr>
                </pic:pic>
              </a:graphicData>
            </a:graphic>
          </wp:inline>
        </w:drawing>
      </w:r>
    </w:p>
    <w:p w14:paraId="6A2F9CC0">
      <w:pPr>
        <w:pStyle w:val="2"/>
        <w:spacing w:after="0" w:line="360" w:lineRule="auto"/>
        <w:ind w:right="64"/>
        <w:jc w:val="center"/>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图7.3</w:t>
      </w:r>
    </w:p>
    <w:p w14:paraId="3F9D6391">
      <w:pPr>
        <w:pStyle w:val="2"/>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（八）中小学校、幼儿园的测量起始点为学校正常出入的校门口。有多个进出通道口的，选择距离零售点最短的进出通道口的门边，作为测量起始点。</w:t>
      </w:r>
    </w:p>
    <w:p w14:paraId="14018825">
      <w:pPr>
        <w:pStyle w:val="2"/>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申请点与中小学校、幼儿园通道口之间距离测量示意图。（如图8）</w:t>
      </w:r>
    </w:p>
    <w:p w14:paraId="19D0BE73">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822575" cy="2128520"/>
            <wp:effectExtent l="0" t="0" r="15875" b="508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6"/>
                    <a:stretch>
                      <a:fillRect/>
                    </a:stretch>
                  </pic:blipFill>
                  <pic:spPr>
                    <a:xfrm>
                      <a:off x="0" y="0"/>
                      <a:ext cx="2844973" cy="2145560"/>
                    </a:xfrm>
                    <a:prstGeom prst="rect">
                      <a:avLst/>
                    </a:prstGeom>
                  </pic:spPr>
                </pic:pic>
              </a:graphicData>
            </a:graphic>
          </wp:inline>
        </w:drawing>
      </w:r>
    </w:p>
    <w:p w14:paraId="7826EE6E">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图8</w:t>
      </w:r>
    </w:p>
    <w:p w14:paraId="0895FC0F">
      <w:pPr>
        <w:pStyle w:val="2"/>
        <w:adjustRightInd w:val="0"/>
        <w:snapToGrid w:val="0"/>
        <w:spacing w:after="0" w:line="300" w:lineRule="auto"/>
        <w:ind w:right="2" w:firstLine="64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z w:val="32"/>
          <w:szCs w:val="32"/>
        </w:rPr>
        <w:t>（九）申请点与参照零售点</w:t>
      </w:r>
      <w:r>
        <w:rPr>
          <w:rFonts w:hint="eastAsia" w:ascii="仿宋_GB2312" w:hAnsi="仿宋_GB2312" w:eastAsia="仿宋_GB2312" w:cs="仿宋_GB2312"/>
          <w:spacing w:val="10"/>
          <w:sz w:val="32"/>
          <w:szCs w:val="32"/>
        </w:rPr>
        <w:t>之间有道路隔离情形的：</w:t>
      </w:r>
    </w:p>
    <w:p w14:paraId="7CF375EE">
      <w:pPr>
        <w:pStyle w:val="2"/>
        <w:adjustRightInd w:val="0"/>
        <w:snapToGrid w:val="0"/>
        <w:spacing w:after="0" w:line="300" w:lineRule="auto"/>
        <w:ind w:firstLine="680" w:firstLineChars="200"/>
        <w:jc w:val="left"/>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rPr>
        <w:t>1.</w:t>
      </w:r>
      <w:r>
        <w:rPr>
          <w:rFonts w:hint="eastAsia" w:ascii="仿宋_GB2312" w:hAnsi="仿宋_GB2312" w:eastAsia="仿宋_GB2312" w:cs="仿宋_GB2312"/>
          <w:spacing w:val="10"/>
          <w:sz w:val="32"/>
          <w:szCs w:val="32"/>
        </w:rPr>
        <w:t>主干道上有禁止行人行走隔离带的（包括禁止通行的双实线、单实线等交通标志），测量从隔离带最近开口处过斑马线、天桥等行人可安全步行通道，以直线距离为测量标准，申请点与参照零售点间距=a+b+c。（如图9.1）</w:t>
      </w:r>
    </w:p>
    <w:p w14:paraId="23002B4A">
      <w:pPr>
        <w:pStyle w:val="2"/>
        <w:spacing w:after="0"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4127500" cy="2635885"/>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17">
                      <a:clrChange>
                        <a:clrFrom>
                          <a:srgbClr val="FBFCF7">
                            <a:alpha val="100000"/>
                          </a:srgbClr>
                        </a:clrFrom>
                        <a:clrTo>
                          <a:srgbClr val="FBFCF7">
                            <a:alpha val="100000"/>
                            <a:alpha val="0"/>
                          </a:srgbClr>
                        </a:clrTo>
                      </a:clrChange>
                    </a:blip>
                    <a:stretch>
                      <a:fillRect/>
                    </a:stretch>
                  </pic:blipFill>
                  <pic:spPr>
                    <a:xfrm>
                      <a:off x="0" y="0"/>
                      <a:ext cx="4138627" cy="2643022"/>
                    </a:xfrm>
                    <a:prstGeom prst="rect">
                      <a:avLst/>
                    </a:prstGeom>
                  </pic:spPr>
                </pic:pic>
              </a:graphicData>
            </a:graphic>
          </wp:inline>
        </w:drawing>
      </w:r>
    </w:p>
    <w:p w14:paraId="58898B3A">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图9.1</w:t>
      </w:r>
    </w:p>
    <w:p w14:paraId="2FAF05A4">
      <w:pPr>
        <w:pStyle w:val="2"/>
        <w:adjustRightInd w:val="0"/>
        <w:snapToGrid w:val="0"/>
        <w:spacing w:after="0" w:line="300" w:lineRule="auto"/>
        <w:ind w:firstLine="680" w:firstLineChars="200"/>
        <w:jc w:val="left"/>
        <w:rPr>
          <w:rFonts w:ascii="仿宋_GB2312" w:hAnsi="仿宋_GB2312" w:eastAsia="仿宋_GB2312" w:cs="仿宋_GB2312"/>
          <w:spacing w:val="10"/>
          <w:sz w:val="32"/>
          <w:szCs w:val="32"/>
        </w:rPr>
      </w:pPr>
      <w:r>
        <w:rPr>
          <w:rFonts w:ascii="仿宋_GB2312" w:hAnsi="仿宋_GB2312" w:eastAsia="仿宋_GB2312" w:cs="仿宋_GB2312"/>
          <w:spacing w:val="10"/>
          <w:sz w:val="32"/>
          <w:szCs w:val="32"/>
        </w:rPr>
        <w:t>2.</w:t>
      </w:r>
      <w:r>
        <w:rPr>
          <w:rFonts w:hint="eastAsia" w:ascii="仿宋_GB2312" w:hAnsi="仿宋_GB2312" w:eastAsia="仿宋_GB2312" w:cs="仿宋_GB2312"/>
          <w:spacing w:val="10"/>
          <w:sz w:val="32"/>
          <w:szCs w:val="32"/>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间距=a+b+c。（如图9.2）</w:t>
      </w:r>
    </w:p>
    <w:p w14:paraId="687828B0">
      <w:pPr>
        <w:pStyle w:val="2"/>
        <w:spacing w:after="0" w:line="360" w:lineRule="auto"/>
        <w:ind w:firstLine="680" w:firstLineChars="200"/>
        <w:jc w:val="both"/>
        <w:rPr>
          <w:rFonts w:ascii="仿宋_GB2312" w:hAnsi="仿宋_GB2312" w:eastAsia="仿宋_GB2312" w:cs="仿宋_GB2312"/>
          <w:sz w:val="32"/>
          <w:szCs w:val="32"/>
        </w:rPr>
      </w:pPr>
      <w:r>
        <w:rPr>
          <w:rFonts w:hint="eastAsia" w:ascii="仿宋_GB2312" w:hAnsi="仿宋_GB2312" w:eastAsia="仿宋_GB2312" w:cs="仿宋_GB2312"/>
          <w:spacing w:val="10"/>
          <w:sz w:val="32"/>
          <w:szCs w:val="32"/>
          <w:lang w:val="en-US" w:eastAsia="zh-CN"/>
        </w:rPr>
        <w:t xml:space="preserve">      </w:t>
      </w:r>
      <w:r>
        <w:rPr>
          <w:rFonts w:hint="eastAsia" w:ascii="仿宋_GB2312" w:hAnsi="仿宋_GB2312" w:eastAsia="仿宋_GB2312" w:cs="仿宋_GB2312"/>
          <w:spacing w:val="10"/>
          <w:sz w:val="32"/>
          <w:szCs w:val="32"/>
        </w:rPr>
        <w:drawing>
          <wp:inline distT="0" distB="0" distL="114300" distR="114300">
            <wp:extent cx="3261995" cy="1890395"/>
            <wp:effectExtent l="0" t="0" r="14605" b="14605"/>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18"/>
                    <a:srcRect t="11409"/>
                    <a:stretch>
                      <a:fillRect/>
                    </a:stretch>
                  </pic:blipFill>
                  <pic:spPr>
                    <a:xfrm>
                      <a:off x="0" y="0"/>
                      <a:ext cx="3316677" cy="1922333"/>
                    </a:xfrm>
                    <a:prstGeom prst="rect">
                      <a:avLst/>
                    </a:prstGeom>
                  </pic:spPr>
                </pic:pic>
              </a:graphicData>
            </a:graphic>
          </wp:inline>
        </w:drawing>
      </w:r>
      <w:bookmarkStart w:id="0" w:name="Fuzhu"/>
      <w:bookmarkEnd w:id="0"/>
      <w:bookmarkStart w:id="1" w:name="attache_title"/>
      <w:bookmarkEnd w:id="1"/>
    </w:p>
    <w:p w14:paraId="64BDC60C">
      <w:pPr>
        <w:spacing w:line="360" w:lineRule="auto"/>
        <w:ind w:right="-512" w:rightChars="-244"/>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图9.2</w:t>
      </w:r>
    </w:p>
    <w:p w14:paraId="0B0830E4">
      <w:pPr>
        <w:pStyle w:val="2"/>
        <w:spacing w:after="0" w:line="360" w:lineRule="auto"/>
        <w:ind w:right="2" w:firstLine="680" w:firstLineChars="200"/>
        <w:jc w:val="left"/>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（十）各类综合性商品批发市场、专业市场、集贸市场内部距离测量示意图，</w:t>
      </w:r>
      <w:r>
        <w:rPr>
          <w:rFonts w:hint="eastAsia" w:ascii="仿宋_GB2312" w:hAnsi="仿宋_GB2312" w:eastAsia="仿宋_GB2312" w:cs="仿宋_GB2312"/>
          <w:sz w:val="32"/>
          <w:szCs w:val="32"/>
        </w:rPr>
        <w:t>申请点与参照零售点间距</w:t>
      </w:r>
      <w:r>
        <w:rPr>
          <w:rFonts w:hint="eastAsia" w:ascii="仿宋_GB2312" w:hAnsi="仿宋_GB2312" w:eastAsia="仿宋_GB2312" w:cs="仿宋_GB2312"/>
          <w:spacing w:val="10"/>
          <w:sz w:val="32"/>
          <w:szCs w:val="32"/>
        </w:rPr>
        <w:t>=a+b+c。（如图10）</w:t>
      </w:r>
    </w:p>
    <w:p w14:paraId="5448580B">
      <w:pPr>
        <w:spacing w:line="360" w:lineRule="auto"/>
        <w:jc w:val="center"/>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851275" cy="2245360"/>
            <wp:effectExtent l="0" t="0" r="15875"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19"/>
                    <a:stretch>
                      <a:fillRect/>
                    </a:stretch>
                  </pic:blipFill>
                  <pic:spPr>
                    <a:xfrm>
                      <a:off x="0" y="0"/>
                      <a:ext cx="3851275" cy="2245360"/>
                    </a:xfrm>
                    <a:prstGeom prst="rect">
                      <a:avLst/>
                    </a:prstGeom>
                  </pic:spPr>
                </pic:pic>
              </a:graphicData>
            </a:graphic>
          </wp:inline>
        </w:drawing>
      </w:r>
    </w:p>
    <w:p w14:paraId="76668731">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图10</w:t>
      </w:r>
    </w:p>
    <w:p w14:paraId="565D63E7">
      <w:pPr>
        <w:pStyle w:val="2"/>
        <w:spacing w:after="0" w:line="360" w:lineRule="auto"/>
        <w:ind w:right="2"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（十一）申请点与参照零售点</w:t>
      </w:r>
      <w:r>
        <w:rPr>
          <w:rFonts w:hint="eastAsia" w:ascii="仿宋_GB2312" w:hAnsi="仿宋_GB2312" w:eastAsia="仿宋_GB2312" w:cs="仿宋_GB2312"/>
          <w:spacing w:val="10"/>
          <w:sz w:val="32"/>
          <w:szCs w:val="32"/>
        </w:rPr>
        <w:t>的经营场所之间有台阶、楼梯的，以其平面坡长进行测量；有电梯的，以层高进行测量；楼梯与电梯并存的，以最短距离的为准。（如图11）</w:t>
      </w:r>
    </w:p>
    <w:p w14:paraId="57CE6D8F">
      <w:pPr>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163185" cy="2213610"/>
            <wp:effectExtent l="0" t="0" r="18415" b="15240"/>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20"/>
                    <a:stretch>
                      <a:fillRect/>
                    </a:stretch>
                  </pic:blipFill>
                  <pic:spPr>
                    <a:xfrm>
                      <a:off x="0" y="0"/>
                      <a:ext cx="5163185" cy="2213610"/>
                    </a:xfrm>
                    <a:prstGeom prst="rect">
                      <a:avLst/>
                    </a:prstGeom>
                  </pic:spPr>
                </pic:pic>
              </a:graphicData>
            </a:graphic>
          </wp:inline>
        </w:drawing>
      </w:r>
    </w:p>
    <w:p w14:paraId="254DDC38">
      <w:pPr>
        <w:tabs>
          <w:tab w:val="left" w:pos="1331"/>
        </w:tabs>
        <w:spacing w:line="360" w:lineRule="auto"/>
        <w:ind w:firstLine="680" w:firstLineChars="200"/>
        <w:jc w:val="center"/>
        <w:rPr>
          <w:rFonts w:ascii="仿宋_GB2312" w:hAnsi="仿宋_GB2312" w:eastAsia="仿宋_GB2312" w:cs="仿宋_GB2312"/>
          <w:sz w:val="32"/>
          <w:szCs w:val="32"/>
        </w:rPr>
      </w:pPr>
      <w:r>
        <w:rPr>
          <w:rFonts w:hint="eastAsia" w:ascii="仿宋_GB2312" w:hAnsi="仿宋_GB2312" w:eastAsia="仿宋_GB2312" w:cs="仿宋_GB2312"/>
          <w:spacing w:val="10"/>
          <w:sz w:val="32"/>
          <w:szCs w:val="32"/>
        </w:rPr>
        <w:t>图11</w:t>
      </w:r>
    </w:p>
    <w:p w14:paraId="37061EF2">
      <w:pPr>
        <w:pStyle w:val="2"/>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（十二）申请点或零售点多门情况</w:t>
      </w:r>
    </w:p>
    <w:p w14:paraId="00DDF226">
      <w:pPr>
        <w:pStyle w:val="2"/>
        <w:spacing w:after="0" w:line="360" w:lineRule="auto"/>
        <w:ind w:right="2"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申请人经营场所门面多面（多间）贯通且多面经营的，测量起始点的选取规则是：申请人与参照零售点之间距离最近的门面为起始点测量。</w:t>
      </w:r>
    </w:p>
    <w:p w14:paraId="5D9F532D">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道路同侧情况</w:t>
      </w:r>
    </w:p>
    <w:p w14:paraId="4446C81B">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申请点出入口较多，取与最近零售点经营场所最短的出入口进行测量。（如图12.1）</w:t>
      </w:r>
    </w:p>
    <w:p w14:paraId="6A77822E">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333875" cy="2213610"/>
            <wp:effectExtent l="0" t="0" r="9525" b="15240"/>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21"/>
                    <a:stretch>
                      <a:fillRect/>
                    </a:stretch>
                  </pic:blipFill>
                  <pic:spPr>
                    <a:xfrm rot="10800000" flipH="1" flipV="1">
                      <a:off x="0" y="0"/>
                      <a:ext cx="4333875" cy="2213610"/>
                    </a:xfrm>
                    <a:prstGeom prst="rect">
                      <a:avLst/>
                    </a:prstGeom>
                  </pic:spPr>
                </pic:pic>
              </a:graphicData>
            </a:graphic>
          </wp:inline>
        </w:drawing>
      </w:r>
    </w:p>
    <w:p w14:paraId="05CA1EC4">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图12.1</w:t>
      </w:r>
    </w:p>
    <w:p w14:paraId="360B08F0">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十字路口情况</w:t>
      </w:r>
    </w:p>
    <w:p w14:paraId="478C05C4">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（1）申请点与参照零售点在十字路口中轴线同一半侧的道路对侧的，取申请点至零售点最近一侧的门边，测量</w:t>
      </w:r>
      <w:r>
        <w:rPr>
          <w:rFonts w:hint="eastAsia" w:ascii="仿宋_GB2312" w:hAnsi="仿宋_GB2312" w:eastAsia="仿宋_GB2312" w:cs="仿宋_GB2312"/>
          <w:spacing w:val="10"/>
          <w:sz w:val="32"/>
          <w:szCs w:val="32"/>
        </w:rPr>
        <w:t>可安全步行的最短距离</w:t>
      </w:r>
      <w:r>
        <w:rPr>
          <w:rFonts w:hint="eastAsia" w:ascii="仿宋_GB2312" w:hAnsi="仿宋_GB2312" w:eastAsia="仿宋_GB2312" w:cs="仿宋_GB2312"/>
          <w:sz w:val="32"/>
          <w:szCs w:val="32"/>
        </w:rPr>
        <w:t>。具体测量办法视有无交通信号灯、人行横道或过街设施的路段以及障碍物情况而定。（如图12.2）</w:t>
      </w:r>
    </w:p>
    <w:p w14:paraId="7E43A53A">
      <w:pPr>
        <w:spacing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drawing>
          <wp:inline distT="0" distB="0" distL="0" distR="0">
            <wp:extent cx="2393315" cy="2198370"/>
            <wp:effectExtent l="0" t="0" r="6985" b="11430"/>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33119" cy="2235388"/>
                    </a:xfrm>
                    <a:prstGeom prst="rect">
                      <a:avLst/>
                    </a:prstGeom>
                    <a:noFill/>
                    <a:ln>
                      <a:noFill/>
                    </a:ln>
                  </pic:spPr>
                </pic:pic>
              </a:graphicData>
            </a:graphic>
          </wp:inline>
        </w:drawing>
      </w:r>
    </w:p>
    <w:p w14:paraId="61C602FF">
      <w:pPr>
        <w:adjustRightInd w:val="0"/>
        <w:snapToGrid w:val="0"/>
        <w:spacing w:line="336"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图12.2</w:t>
      </w:r>
    </w:p>
    <w:p w14:paraId="046DE5D4">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。（如图12.3存在多条线路取其中</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0716ACCB">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31185" cy="2522855"/>
            <wp:effectExtent l="0" t="0" r="12065" b="10795"/>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3"/>
                    <a:stretch>
                      <a:fillRect/>
                    </a:stretch>
                  </pic:blipFill>
                  <pic:spPr>
                    <a:xfrm>
                      <a:off x="0" y="0"/>
                      <a:ext cx="3131185" cy="2522855"/>
                    </a:xfrm>
                    <a:prstGeom prst="rect">
                      <a:avLst/>
                    </a:prstGeom>
                  </pic:spPr>
                </pic:pic>
              </a:graphicData>
            </a:graphic>
          </wp:inline>
        </w:drawing>
      </w:r>
    </w:p>
    <w:p w14:paraId="0BEF92C2">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图12.3</w:t>
      </w:r>
    </w:p>
    <w:p w14:paraId="00DDD9FF">
      <w:pPr>
        <w:adjustRightInd w:val="0"/>
        <w:snapToGrid w:val="0"/>
        <w:spacing w:line="336"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。（如图12.4存在多条线路，取其中一条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14:paraId="5A00C3FB">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4"/>
                    <a:stretch>
                      <a:fillRect/>
                    </a:stretch>
                  </pic:blipFill>
                  <pic:spPr>
                    <a:xfrm>
                      <a:off x="0" y="0"/>
                      <a:ext cx="3330575" cy="2741930"/>
                    </a:xfrm>
                    <a:prstGeom prst="rect">
                      <a:avLst/>
                    </a:prstGeom>
                  </pic:spPr>
                </pic:pic>
              </a:graphicData>
            </a:graphic>
          </wp:inline>
        </w:drawing>
      </w:r>
    </w:p>
    <w:p w14:paraId="6A6B64CD">
      <w:pPr>
        <w:spacing w:line="360" w:lineRule="auto"/>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图12.4</w:t>
      </w:r>
    </w:p>
    <w:p w14:paraId="3506F200">
      <w:pPr>
        <w:pStyle w:val="2"/>
        <w:adjustRightInd w:val="0"/>
        <w:snapToGrid w:val="0"/>
        <w:spacing w:after="0" w:line="336" w:lineRule="auto"/>
        <w:ind w:firstLine="680" w:firstLineChars="200"/>
        <w:jc w:val="left"/>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（十三）封闭式小区内部、广场等区域零售点的间距测量方法均以原设计道路、人行通道正常安全步行的最短距离进行测量。</w:t>
      </w:r>
    </w:p>
    <w:p w14:paraId="667EC88F">
      <w:pPr>
        <w:pStyle w:val="2"/>
        <w:adjustRightInd w:val="0"/>
        <w:snapToGrid w:val="0"/>
        <w:spacing w:after="0" w:line="336" w:lineRule="auto"/>
        <w:ind w:firstLine="680" w:firstLineChars="200"/>
        <w:jc w:val="left"/>
        <w:rPr>
          <w:rFonts w:ascii="仿宋_GB2312" w:hAnsi="黑体" w:eastAsia="仿宋_GB2312" w:cs="宋体"/>
          <w:sz w:val="32"/>
          <w:szCs w:val="32"/>
          <w:lang w:bidi="ug-CN"/>
        </w:rPr>
      </w:pPr>
      <w:r>
        <w:rPr>
          <w:rFonts w:hint="eastAsia" w:ascii="仿宋_GB2312" w:hAnsi="仿宋_GB2312" w:eastAsia="仿宋_GB2312" w:cs="仿宋_GB2312"/>
          <w:spacing w:val="10"/>
          <w:sz w:val="32"/>
          <w:szCs w:val="32"/>
        </w:rPr>
        <w:t>（十四）特殊地形测量：因地形、地貌或设计等原因导致道路、通道成不规则形态，通过前述方法无法测量的，以可安全步行最短距离进行测量。</w:t>
      </w:r>
    </w:p>
    <w:p w14:paraId="7E92B278">
      <w:pPr>
        <w:rPr>
          <w:rFonts w:ascii="仿宋_GB2312" w:hAnsi="仿宋_GB2312" w:eastAsia="仿宋_GB2312" w:cs="仿宋_GB2312"/>
          <w:spacing w:val="10"/>
          <w:sz w:val="32"/>
          <w:szCs w:val="32"/>
        </w:rPr>
      </w:pPr>
    </w:p>
    <w:p w14:paraId="34240512">
      <w:pPr>
        <w:rPr>
          <w:rFonts w:ascii="仿宋_GB2312" w:hAnsi="仿宋_GB2312" w:eastAsia="仿宋_GB2312" w:cs="仿宋_GB2312"/>
          <w:spacing w:val="10"/>
          <w:sz w:val="32"/>
          <w:szCs w:val="32"/>
        </w:rPr>
      </w:pPr>
    </w:p>
    <w:p w14:paraId="1345BBE5">
      <w:pPr>
        <w:spacing w:before="55" w:line="343" w:lineRule="auto"/>
        <w:jc w:val="both"/>
        <w:rPr>
          <w:rFonts w:hint="eastAsia" w:ascii="仿宋_GB2312" w:hAnsi="仿宋_GB2312" w:eastAsia="仿宋_GB2312" w:cs="仿宋_GB2312"/>
          <w:spacing w:val="-2"/>
          <w:sz w:val="32"/>
          <w:szCs w:val="32"/>
          <w:lang w:eastAsia="zh-CN"/>
        </w:rPr>
      </w:pPr>
    </w:p>
    <w:p w14:paraId="5913DF58">
      <w:pPr>
        <w:spacing w:before="55" w:line="343" w:lineRule="auto"/>
        <w:jc w:val="both"/>
        <w:rPr>
          <w:rFonts w:hint="eastAsia" w:ascii="仿宋_GB2312" w:hAnsi="仿宋_GB2312" w:eastAsia="仿宋_GB2312" w:cs="仿宋_GB2312"/>
          <w:spacing w:val="-2"/>
          <w:sz w:val="32"/>
          <w:szCs w:val="32"/>
          <w:lang w:eastAsia="zh-CN"/>
        </w:rPr>
      </w:pPr>
    </w:p>
    <w:p w14:paraId="4A2AAFD8">
      <w:pPr>
        <w:spacing w:before="55" w:line="343" w:lineRule="auto"/>
        <w:jc w:val="both"/>
        <w:rPr>
          <w:rFonts w:hint="eastAsia" w:ascii="仿宋_GB2312" w:hAnsi="仿宋_GB2312" w:eastAsia="仿宋_GB2312" w:cs="仿宋_GB2312"/>
          <w:spacing w:val="-2"/>
          <w:sz w:val="32"/>
          <w:szCs w:val="32"/>
          <w:lang w:eastAsia="zh-CN"/>
        </w:rPr>
      </w:pPr>
    </w:p>
    <w:p w14:paraId="68FEF4C6">
      <w:pPr>
        <w:spacing w:before="55" w:line="343" w:lineRule="auto"/>
        <w:jc w:val="both"/>
        <w:rPr>
          <w:rFonts w:hint="eastAsia" w:ascii="仿宋_GB2312" w:hAnsi="仿宋_GB2312" w:eastAsia="仿宋_GB2312" w:cs="仿宋_GB2312"/>
          <w:spacing w:val="-2"/>
          <w:sz w:val="32"/>
          <w:szCs w:val="32"/>
          <w:lang w:eastAsia="zh-CN"/>
        </w:rPr>
      </w:pPr>
    </w:p>
    <w:p w14:paraId="6C8BCA39">
      <w:pPr>
        <w:spacing w:before="55" w:line="343" w:lineRule="auto"/>
        <w:jc w:val="both"/>
        <w:rPr>
          <w:rFonts w:hint="eastAsia" w:ascii="仿宋_GB2312" w:hAnsi="仿宋_GB2312" w:eastAsia="仿宋_GB2312" w:cs="仿宋_GB2312"/>
          <w:spacing w:val="-2"/>
          <w:sz w:val="32"/>
          <w:szCs w:val="32"/>
          <w:lang w:eastAsia="zh-CN"/>
        </w:rPr>
      </w:pPr>
    </w:p>
    <w:p w14:paraId="593D9685">
      <w:pPr>
        <w:spacing w:before="55" w:line="343" w:lineRule="auto"/>
        <w:jc w:val="both"/>
        <w:rPr>
          <w:rFonts w:hint="eastAsia" w:ascii="仿宋_GB2312" w:hAnsi="仿宋_GB2312" w:eastAsia="仿宋_GB2312" w:cs="仿宋_GB2312"/>
          <w:spacing w:val="-2"/>
          <w:sz w:val="32"/>
          <w:szCs w:val="32"/>
          <w:lang w:eastAsia="zh-CN"/>
        </w:rPr>
      </w:pPr>
    </w:p>
    <w:p w14:paraId="1D928BA8">
      <w:pPr>
        <w:spacing w:before="55" w:line="343" w:lineRule="auto"/>
        <w:jc w:val="both"/>
        <w:rPr>
          <w:rFonts w:hint="eastAsia" w:ascii="仿宋_GB2312" w:hAnsi="仿宋_GB2312" w:eastAsia="仿宋_GB2312" w:cs="仿宋_GB2312"/>
          <w:spacing w:val="-2"/>
          <w:sz w:val="32"/>
          <w:szCs w:val="32"/>
          <w:lang w:eastAsia="zh-CN"/>
        </w:rPr>
      </w:pPr>
    </w:p>
    <w:p w14:paraId="3AC6C863">
      <w:pPr>
        <w:spacing w:before="55" w:line="343" w:lineRule="auto"/>
        <w:jc w:val="both"/>
        <w:rPr>
          <w:rFonts w:hint="eastAsia" w:ascii="仿宋_GB2312" w:hAnsi="仿宋_GB2312" w:eastAsia="仿宋_GB2312" w:cs="仿宋_GB2312"/>
          <w:spacing w:val="-2"/>
          <w:sz w:val="32"/>
          <w:szCs w:val="32"/>
          <w:lang w:eastAsia="zh-CN"/>
        </w:rPr>
      </w:pPr>
    </w:p>
    <w:p w14:paraId="5442341B">
      <w:pPr>
        <w:spacing w:before="55" w:line="343" w:lineRule="auto"/>
        <w:jc w:val="both"/>
        <w:rPr>
          <w:rFonts w:hint="eastAsia" w:ascii="仿宋_GB2312" w:hAnsi="仿宋_GB2312" w:eastAsia="仿宋_GB2312" w:cs="仿宋_GB2312"/>
          <w:spacing w:val="-2"/>
          <w:sz w:val="32"/>
          <w:szCs w:val="32"/>
          <w:lang w:eastAsia="zh-CN"/>
        </w:rPr>
      </w:pPr>
    </w:p>
    <w:p w14:paraId="48EADF86">
      <w:pPr>
        <w:spacing w:before="55" w:line="343" w:lineRule="auto"/>
        <w:jc w:val="both"/>
        <w:rPr>
          <w:rFonts w:hint="eastAsia" w:ascii="仿宋_GB2312" w:hAnsi="仿宋_GB2312" w:eastAsia="仿宋_GB2312" w:cs="仿宋_GB2312"/>
          <w:spacing w:val="-2"/>
          <w:sz w:val="32"/>
          <w:szCs w:val="32"/>
          <w:lang w:eastAsia="zh-CN"/>
        </w:rPr>
      </w:pPr>
    </w:p>
    <w:p w14:paraId="51E0FAF2">
      <w:pPr>
        <w:spacing w:before="55" w:line="343" w:lineRule="auto"/>
        <w:jc w:val="both"/>
        <w:rPr>
          <w:rFonts w:hint="eastAsia" w:ascii="仿宋_GB2312" w:hAnsi="仿宋_GB2312" w:eastAsia="仿宋_GB2312" w:cs="仿宋_GB2312"/>
          <w:spacing w:val="-2"/>
          <w:sz w:val="32"/>
          <w:szCs w:val="32"/>
          <w:lang w:eastAsia="zh-CN"/>
        </w:rPr>
      </w:pPr>
    </w:p>
    <w:p w14:paraId="7D0EF8C1">
      <w:pPr>
        <w:spacing w:before="55" w:line="343" w:lineRule="auto"/>
        <w:jc w:val="both"/>
        <w:rPr>
          <w:rFonts w:hint="eastAsia" w:ascii="仿宋_GB2312" w:hAnsi="仿宋_GB2312" w:eastAsia="仿宋_GB2312" w:cs="仿宋_GB2312"/>
          <w:spacing w:val="-2"/>
          <w:sz w:val="32"/>
          <w:szCs w:val="32"/>
          <w:lang w:eastAsia="zh-CN"/>
        </w:rPr>
      </w:pPr>
    </w:p>
    <w:p w14:paraId="5C71FD4A">
      <w:pPr>
        <w:spacing w:before="55" w:line="343" w:lineRule="auto"/>
        <w:jc w:val="both"/>
        <w:rPr>
          <w:rFonts w:hint="eastAsia" w:ascii="仿宋_GB2312" w:hAnsi="仿宋_GB2312" w:eastAsia="仿宋_GB2312" w:cs="仿宋_GB2312"/>
          <w:spacing w:val="-2"/>
          <w:sz w:val="32"/>
          <w:szCs w:val="32"/>
          <w:lang w:eastAsia="zh-CN"/>
        </w:rPr>
      </w:pPr>
    </w:p>
    <w:p w14:paraId="2B69CB53">
      <w:pPr>
        <w:spacing w:before="55" w:line="343" w:lineRule="auto"/>
        <w:jc w:val="both"/>
        <w:rPr>
          <w:rFonts w:hint="eastAsia" w:ascii="仿宋_GB2312" w:hAnsi="仿宋_GB2312" w:eastAsia="仿宋_GB2312" w:cs="仿宋_GB2312"/>
          <w:spacing w:val="-2"/>
          <w:sz w:val="32"/>
          <w:szCs w:val="32"/>
          <w:lang w:eastAsia="zh-CN"/>
        </w:rPr>
      </w:pPr>
    </w:p>
    <w:p w14:paraId="7062F4D4">
      <w:pPr>
        <w:spacing w:before="55" w:line="343" w:lineRule="auto"/>
        <w:jc w:val="both"/>
        <w:rPr>
          <w:rFonts w:hint="eastAsia" w:ascii="仿宋_GB2312" w:hAnsi="仿宋_GB2312" w:eastAsia="仿宋_GB2312" w:cs="仿宋_GB2312"/>
          <w:spacing w:val="-2"/>
          <w:sz w:val="32"/>
          <w:szCs w:val="32"/>
          <w:lang w:eastAsia="zh-CN"/>
        </w:rPr>
      </w:pPr>
    </w:p>
    <w:p w14:paraId="1D6CF91D">
      <w:pPr>
        <w:spacing w:before="55" w:line="343" w:lineRule="auto"/>
        <w:jc w:val="both"/>
        <w:rPr>
          <w:rFonts w:hint="eastAsia" w:ascii="仿宋_GB2312" w:hAnsi="仿宋_GB2312" w:eastAsia="仿宋_GB2312" w:cs="仿宋_GB2312"/>
          <w:spacing w:val="-2"/>
          <w:sz w:val="32"/>
          <w:szCs w:val="32"/>
          <w:lang w:eastAsia="zh-CN"/>
        </w:rPr>
        <w:sectPr>
          <w:footerReference r:id="rId3" w:type="default"/>
          <w:pgSz w:w="11906" w:h="16838"/>
          <w:pgMar w:top="1440" w:right="1800" w:bottom="1440" w:left="1800" w:header="0" w:footer="0" w:gutter="0"/>
          <w:cols w:space="720" w:num="1"/>
          <w:docGrid w:linePitch="286" w:charSpace="0"/>
        </w:sectPr>
      </w:pPr>
    </w:p>
    <w:p w14:paraId="5BD05B03">
      <w:pPr>
        <w:spacing w:before="104" w:line="224" w:lineRule="auto"/>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附件2</w:t>
      </w:r>
    </w:p>
    <w:p w14:paraId="4FBBF513">
      <w:pPr>
        <w:widowControl w:val="0"/>
        <w:kinsoku/>
        <w:autoSpaceDE/>
        <w:autoSpaceDN/>
        <w:adjustRightInd/>
        <w:spacing w:line="317" w:lineRule="auto"/>
        <w:jc w:val="center"/>
        <w:textAlignment w:val="auto"/>
        <w:rPr>
          <w:rFonts w:ascii="方正小标宋简体" w:hAnsi="Times New Roman" w:eastAsia="方正小标宋简体" w:cs="Times New Roman"/>
          <w:snapToGrid/>
          <w:color w:val="FF0000"/>
          <w:kern w:val="2"/>
          <w:sz w:val="44"/>
          <w:szCs w:val="44"/>
          <w:lang w:eastAsia="zh-CN"/>
        </w:rPr>
      </w:pPr>
      <w:r>
        <w:rPr>
          <w:rFonts w:hint="eastAsia" w:ascii="方正小标宋简体" w:hAnsi="Times New Roman" w:eastAsia="方正小标宋简体" w:cs="Times New Roman"/>
          <w:snapToGrid/>
          <w:kern w:val="2"/>
          <w:sz w:val="44"/>
          <w:szCs w:val="44"/>
          <w:lang w:eastAsia="zh-CN"/>
        </w:rPr>
        <w:t>云南省华宁县烟草制品雪茄烟专营外零售点合理布局公示表</w:t>
      </w:r>
    </w:p>
    <w:p w14:paraId="0570DE0E">
      <w:pPr>
        <w:kinsoku/>
        <w:autoSpaceDE/>
        <w:autoSpaceDN/>
        <w:adjustRightInd/>
        <w:snapToGrid/>
        <w:textAlignment w:val="auto"/>
        <w:rPr>
          <w:rFonts w:ascii="方正小标宋简体" w:hAnsi="Times New Roman" w:cs="Times New Roman" w:eastAsiaTheme="minorEastAsia"/>
          <w:snapToGrid/>
          <w:color w:val="FF0000"/>
          <w:kern w:val="2"/>
          <w:sz w:val="32"/>
          <w:szCs w:val="32"/>
          <w:lang w:eastAsia="zh-CN"/>
        </w:rPr>
      </w:pPr>
      <w:r>
        <w:rPr>
          <w:rFonts w:hint="eastAsia" w:eastAsia="宋体"/>
          <w:lang w:eastAsia="zh-CN"/>
        </w:rPr>
        <w:t>单位：</w:t>
      </w:r>
      <w:r>
        <w:rPr>
          <w:lang w:eastAsia="zh-CN"/>
        </w:rPr>
        <w:t>云南省华宁县</w:t>
      </w:r>
      <w:r>
        <w:rPr>
          <w:rFonts w:hint="eastAsia" w:ascii="宋体" w:hAnsi="宋体" w:eastAsia="宋体" w:cs="宋体"/>
          <w:lang w:eastAsia="zh-CN"/>
        </w:rPr>
        <w:t>烟草专卖局</w:t>
      </w:r>
      <w:r>
        <w:rPr>
          <w:rFonts w:hint="eastAsia" w:eastAsia="宋体"/>
          <w:lang w:eastAsia="zh-CN"/>
        </w:rPr>
        <w:t xml:space="preserve">（盖章）                                                </w:t>
      </w:r>
      <w:r>
        <w:rPr>
          <w:rFonts w:hint="eastAsia" w:eastAsia="宋体"/>
          <w:lang w:val="en-US" w:eastAsia="zh-CN"/>
        </w:rPr>
        <w:t xml:space="preserve">                                </w:t>
      </w:r>
      <w:r>
        <w:rPr>
          <w:rFonts w:hint="eastAsia" w:eastAsia="宋体"/>
          <w:lang w:eastAsia="zh-CN"/>
        </w:rPr>
        <w:t xml:space="preserve">  公示时间：</w:t>
      </w:r>
      <w:r>
        <w:rPr>
          <w:rFonts w:hint="eastAsia" w:eastAsiaTheme="minorEastAsia"/>
          <w:lang w:eastAsia="zh-CN"/>
        </w:rPr>
        <w:t>202</w:t>
      </w:r>
      <w:r>
        <w:rPr>
          <w:rFonts w:hint="eastAsia"/>
          <w:lang w:val="en-US" w:eastAsia="zh-CN"/>
        </w:rPr>
        <w:t>6</w:t>
      </w:r>
      <w:r>
        <w:rPr>
          <w:lang w:eastAsia="zh-CN"/>
        </w:rPr>
        <w:t>年</w:t>
      </w:r>
      <w:r>
        <w:rPr>
          <w:rFonts w:hint="eastAsia"/>
          <w:lang w:val="en-US" w:eastAsia="zh-CN"/>
        </w:rPr>
        <w:t>XX</w:t>
      </w:r>
      <w:r>
        <w:rPr>
          <w:lang w:eastAsia="zh-CN"/>
        </w:rPr>
        <w:t>月</w:t>
      </w:r>
      <w:r>
        <w:rPr>
          <w:rFonts w:hint="eastAsia"/>
          <w:lang w:val="en-US" w:eastAsia="zh-CN"/>
        </w:rPr>
        <w:t>XX</w:t>
      </w:r>
      <w:r>
        <w:rPr>
          <w:lang w:eastAsia="zh-CN"/>
        </w:rPr>
        <w:t>日</w:t>
      </w:r>
      <w:r>
        <w:rPr>
          <w:rFonts w:hint="eastAsia"/>
          <w:lang w:eastAsia="zh-CN"/>
        </w:rPr>
        <w:t>-</w:t>
      </w:r>
      <w:r>
        <w:rPr>
          <w:rFonts w:hint="eastAsia" w:eastAsiaTheme="minorEastAsia"/>
          <w:lang w:eastAsia="zh-CN"/>
        </w:rPr>
        <w:t>202</w:t>
      </w:r>
      <w:r>
        <w:rPr>
          <w:rFonts w:hint="eastAsia" w:eastAsiaTheme="minorEastAsia"/>
          <w:lang w:val="en-US" w:eastAsia="zh-CN"/>
        </w:rPr>
        <w:t>6</w:t>
      </w:r>
      <w:r>
        <w:rPr>
          <w:lang w:eastAsia="zh-CN"/>
        </w:rPr>
        <w:t>年</w:t>
      </w:r>
      <w:r>
        <w:rPr>
          <w:rFonts w:hint="eastAsia"/>
          <w:lang w:val="en-US" w:eastAsia="zh-CN"/>
        </w:rPr>
        <w:t>XX</w:t>
      </w:r>
      <w:r>
        <w:rPr>
          <w:lang w:eastAsia="zh-CN"/>
        </w:rPr>
        <w:t>月</w:t>
      </w:r>
      <w:r>
        <w:rPr>
          <w:rFonts w:hint="eastAsia"/>
          <w:lang w:val="en-US" w:eastAsia="zh-CN"/>
        </w:rPr>
        <w:t>XX</w:t>
      </w:r>
      <w:r>
        <w:rPr>
          <w:lang w:eastAsia="zh-CN"/>
        </w:rPr>
        <w:t>日</w:t>
      </w:r>
    </w:p>
    <w:tbl>
      <w:tblPr>
        <w:tblStyle w:val="7"/>
        <w:tblpPr w:leftFromText="180" w:rightFromText="180" w:vertAnchor="text" w:horzAnchor="page" w:tblpX="882" w:tblpY="44"/>
        <w:tblOverlap w:val="never"/>
        <w:tblW w:w="15256" w:type="dxa"/>
        <w:tblInd w:w="0" w:type="dxa"/>
        <w:tblLayout w:type="fixed"/>
        <w:tblCellMar>
          <w:top w:w="0" w:type="dxa"/>
          <w:left w:w="108" w:type="dxa"/>
          <w:bottom w:w="0" w:type="dxa"/>
          <w:right w:w="108" w:type="dxa"/>
        </w:tblCellMar>
      </w:tblPr>
      <w:tblGrid>
        <w:gridCol w:w="817"/>
        <w:gridCol w:w="1418"/>
        <w:gridCol w:w="3824"/>
        <w:gridCol w:w="1062"/>
        <w:gridCol w:w="1234"/>
        <w:gridCol w:w="1454"/>
        <w:gridCol w:w="1316"/>
        <w:gridCol w:w="1883"/>
        <w:gridCol w:w="1275"/>
        <w:gridCol w:w="973"/>
      </w:tblGrid>
      <w:tr w14:paraId="2C18F5BD">
        <w:tblPrEx>
          <w:tblCellMar>
            <w:top w:w="0" w:type="dxa"/>
            <w:left w:w="108" w:type="dxa"/>
            <w:bottom w:w="0" w:type="dxa"/>
            <w:right w:w="108" w:type="dxa"/>
          </w:tblCellMar>
        </w:tblPrEx>
        <w:trPr>
          <w:trHeight w:val="487"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AFF21">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名称</w:t>
            </w:r>
          </w:p>
        </w:tc>
        <w:tc>
          <w:tcPr>
            <w:tcW w:w="52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CAB0">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单元网格划分情况</w:t>
            </w:r>
          </w:p>
        </w:tc>
        <w:tc>
          <w:tcPr>
            <w:tcW w:w="3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608E">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单元网格数量情况</w:t>
            </w:r>
          </w:p>
        </w:tc>
        <w:tc>
          <w:tcPr>
            <w:tcW w:w="31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288E9">
            <w:pPr>
              <w:jc w:val="center"/>
              <w:textAlignment w:val="center"/>
              <w:rPr>
                <w:rFonts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单元网格距离情况</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17D6">
            <w:pPr>
              <w:jc w:val="center"/>
              <w:textAlignment w:val="center"/>
              <w:rPr>
                <w:rFonts w:ascii="宋体" w:hAnsi="宋体" w:eastAsia="宋体" w:cs="宋体"/>
                <w:b/>
                <w:bCs/>
                <w:color w:val="auto"/>
                <w:sz w:val="24"/>
                <w:szCs w:val="24"/>
              </w:rPr>
            </w:pPr>
            <w:r>
              <w:rPr>
                <w:rFonts w:hint="eastAsia" w:ascii="宋体" w:hAnsi="宋体" w:eastAsia="宋体" w:cs="宋体"/>
                <w:b/>
                <w:bCs/>
                <w:color w:val="auto"/>
                <w:sz w:val="24"/>
                <w:szCs w:val="24"/>
                <w:lang w:eastAsia="zh-CN" w:bidi="ar"/>
              </w:rPr>
              <w:t>总量情况</w:t>
            </w:r>
          </w:p>
        </w:tc>
        <w:tc>
          <w:tcPr>
            <w:tcW w:w="973" w:type="dxa"/>
            <w:vMerge w:val="restart"/>
            <w:tcBorders>
              <w:top w:val="single" w:color="000000" w:sz="4" w:space="0"/>
              <w:left w:val="single" w:color="000000" w:sz="4" w:space="0"/>
              <w:right w:val="single" w:color="000000" w:sz="4" w:space="0"/>
            </w:tcBorders>
            <w:shd w:val="clear" w:color="auto" w:fill="auto"/>
            <w:noWrap/>
            <w:vAlign w:val="center"/>
          </w:tcPr>
          <w:p w14:paraId="5DCECBEA">
            <w:pPr>
              <w:jc w:val="center"/>
              <w:textAlignment w:val="center"/>
              <w:rPr>
                <w:rFonts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备注</w:t>
            </w:r>
          </w:p>
        </w:tc>
      </w:tr>
      <w:tr w14:paraId="65905758">
        <w:tblPrEx>
          <w:tblCellMar>
            <w:top w:w="0" w:type="dxa"/>
            <w:left w:w="108" w:type="dxa"/>
            <w:bottom w:w="0" w:type="dxa"/>
            <w:right w:w="108" w:type="dxa"/>
          </w:tblCellMar>
        </w:tblPrEx>
        <w:trPr>
          <w:trHeight w:val="670" w:hRule="atLeast"/>
        </w:trPr>
        <w:tc>
          <w:tcPr>
            <w:tcW w:w="8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8AC8B">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华宁县</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4FE9">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名称</w:t>
            </w:r>
          </w:p>
        </w:tc>
        <w:tc>
          <w:tcPr>
            <w:tcW w:w="3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5077">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区域描述</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471F">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规划数（个）</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68AE">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当前实际数（个）</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8918">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余量（个）</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65685">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零售点间距（米）</w:t>
            </w:r>
          </w:p>
        </w:tc>
        <w:tc>
          <w:tcPr>
            <w:tcW w:w="1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0C0A">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其他条件描述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F181">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华宁县总量规划数</w:t>
            </w:r>
          </w:p>
          <w:p w14:paraId="58C62399">
            <w:pPr>
              <w:jc w:val="center"/>
              <w:textAlignment w:val="center"/>
              <w:rPr>
                <w:rFonts w:ascii="宋体" w:hAnsi="宋体" w:eastAsia="宋体" w:cs="宋体"/>
                <w:color w:val="auto"/>
                <w:sz w:val="22"/>
                <w:szCs w:val="22"/>
                <w:lang w:eastAsia="zh-CN"/>
              </w:rPr>
            </w:pPr>
            <w:r>
              <w:rPr>
                <w:rFonts w:hint="eastAsia" w:ascii="宋体" w:hAnsi="宋体" w:eastAsia="宋体" w:cs="宋体"/>
                <w:color w:val="auto"/>
                <w:sz w:val="22"/>
                <w:szCs w:val="22"/>
                <w:lang w:eastAsia="zh-CN" w:bidi="ar"/>
              </w:rPr>
              <w:t>（个）</w:t>
            </w:r>
          </w:p>
        </w:tc>
        <w:tc>
          <w:tcPr>
            <w:tcW w:w="973" w:type="dxa"/>
            <w:vMerge w:val="continue"/>
            <w:tcBorders>
              <w:left w:val="single" w:color="000000" w:sz="4" w:space="0"/>
              <w:bottom w:val="single" w:color="auto" w:sz="4" w:space="0"/>
              <w:right w:val="single" w:color="000000" w:sz="4" w:space="0"/>
            </w:tcBorders>
            <w:shd w:val="clear" w:color="auto" w:fill="auto"/>
            <w:vAlign w:val="center"/>
          </w:tcPr>
          <w:p w14:paraId="7BF5AAF6">
            <w:pPr>
              <w:jc w:val="center"/>
              <w:textAlignment w:val="center"/>
              <w:rPr>
                <w:rFonts w:ascii="宋体" w:hAnsi="宋体" w:eastAsia="宋体" w:cs="宋体"/>
                <w:color w:val="auto"/>
                <w:sz w:val="22"/>
                <w:szCs w:val="22"/>
                <w:lang w:eastAsia="zh-CN"/>
              </w:rPr>
            </w:pPr>
          </w:p>
        </w:tc>
      </w:tr>
      <w:tr w14:paraId="5079A5C6">
        <w:tblPrEx>
          <w:tblCellMar>
            <w:top w:w="0" w:type="dxa"/>
            <w:left w:w="108" w:type="dxa"/>
            <w:bottom w:w="0" w:type="dxa"/>
            <w:right w:w="108" w:type="dxa"/>
          </w:tblCellMar>
        </w:tblPrEx>
        <w:trPr>
          <w:trHeight w:val="1338" w:hRule="atLeast"/>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83B1A">
            <w:pPr>
              <w:jc w:val="center"/>
              <w:rPr>
                <w:rFonts w:ascii="宋体" w:hAnsi="宋体" w:eastAsia="宋体" w:cs="宋体"/>
                <w:color w:val="auto"/>
                <w:sz w:val="22"/>
                <w:szCs w:val="22"/>
                <w:lang w:eastAsia="zh-CN"/>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E5AB">
            <w:pPr>
              <w:jc w:val="center"/>
              <w:textAlignment w:val="center"/>
              <w:rPr>
                <w:rFonts w:ascii="宋体" w:hAnsi="宋体" w:eastAsia="宋体" w:cs="宋体"/>
                <w:color w:val="auto"/>
                <w:sz w:val="22"/>
                <w:szCs w:val="22"/>
                <w:lang w:eastAsia="zh-CN" w:bidi="ar"/>
              </w:rPr>
            </w:pPr>
          </w:p>
          <w:p w14:paraId="0AC7B2F5">
            <w:pPr>
              <w:jc w:val="center"/>
              <w:textAlignment w:val="center"/>
              <w:rPr>
                <w:rFonts w:ascii="宋体" w:hAnsi="宋体" w:eastAsia="宋体" w:cs="宋体"/>
                <w:color w:val="auto"/>
                <w:sz w:val="22"/>
                <w:szCs w:val="22"/>
                <w:lang w:eastAsia="zh-CN" w:bidi="ar"/>
              </w:rPr>
            </w:pPr>
          </w:p>
          <w:p w14:paraId="0F064879">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宁州街道_1</w:t>
            </w:r>
          </w:p>
          <w:p w14:paraId="669FFA27">
            <w:pPr>
              <w:jc w:val="center"/>
              <w:textAlignment w:val="center"/>
              <w:rPr>
                <w:rFonts w:ascii="宋体" w:hAnsi="宋体" w:eastAsia="宋体" w:cs="宋体"/>
                <w:color w:val="auto"/>
                <w:sz w:val="22"/>
                <w:szCs w:val="22"/>
                <w:lang w:eastAsia="zh-CN" w:bidi="ar"/>
              </w:rPr>
            </w:pPr>
          </w:p>
          <w:p w14:paraId="0B599726">
            <w:pPr>
              <w:jc w:val="center"/>
              <w:textAlignment w:val="center"/>
              <w:rPr>
                <w:rFonts w:ascii="宋体" w:hAnsi="宋体" w:eastAsia="宋体" w:cs="宋体"/>
                <w:color w:val="auto"/>
                <w:sz w:val="22"/>
                <w:szCs w:val="22"/>
              </w:rPr>
            </w:pPr>
          </w:p>
        </w:tc>
        <w:tc>
          <w:tcPr>
            <w:tcW w:w="3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2E4B">
            <w:pPr>
              <w:jc w:val="left"/>
              <w:textAlignment w:val="center"/>
              <w:rPr>
                <w:rFonts w:ascii="宋体" w:hAnsi="宋体" w:eastAsia="宋体" w:cs="宋体"/>
                <w:color w:val="auto"/>
                <w:sz w:val="22"/>
                <w:szCs w:val="22"/>
                <w:lang w:eastAsia="zh-CN"/>
              </w:rPr>
            </w:pPr>
            <w:r>
              <w:rPr>
                <w:rFonts w:ascii="宋体" w:hAnsi="宋体" w:eastAsia="宋体" w:cs="宋体"/>
                <w:color w:val="auto"/>
                <w:sz w:val="22"/>
                <w:szCs w:val="22"/>
                <w:lang w:eastAsia="zh-CN"/>
              </w:rPr>
              <w:t>县政府所在地中心区域：包含城关社区、上村社区、甸尾社区、西门社区，即从风吹口加油站</w:t>
            </w:r>
            <w:r>
              <w:rPr>
                <w:rFonts w:hint="eastAsia" w:ascii="宋体" w:hAnsi="宋体" w:eastAsia="宋体" w:cs="宋体"/>
                <w:color w:val="auto"/>
                <w:sz w:val="22"/>
                <w:szCs w:val="22"/>
                <w:lang w:eastAsia="zh-CN"/>
              </w:rPr>
              <w:t>-小白坟-松树地发东建材有限公司-青龙潭-白龙河-顺达加油站附近的</w:t>
            </w:r>
            <w:r>
              <w:rPr>
                <w:rFonts w:ascii="宋体" w:hAnsi="宋体" w:eastAsia="宋体" w:cs="宋体"/>
                <w:color w:val="auto"/>
                <w:sz w:val="22"/>
                <w:szCs w:val="22"/>
                <w:lang w:eastAsia="zh-CN"/>
              </w:rPr>
              <w:t>304</w:t>
            </w:r>
            <w:r>
              <w:rPr>
                <w:rFonts w:hint="eastAsia" w:ascii="宋体" w:hAnsi="宋体" w:eastAsia="宋体" w:cs="宋体"/>
                <w:color w:val="auto"/>
                <w:sz w:val="22"/>
                <w:szCs w:val="22"/>
                <w:lang w:eastAsia="zh-CN"/>
              </w:rPr>
              <w:t>省道附近江华公路-阳光家园与右所小营交接的区域-珠山路112乡道旁中国能源加油站-前所村进村路口（华宁宁州熙熙草莓园附近的郭家营路）-山口村-泉乡东路与凤山路（环城东路）交叉路口-龙珠路-沙果村-澄华路与龙树山路交叉路口往北</w:t>
            </w:r>
            <w:r>
              <w:rPr>
                <w:rFonts w:ascii="宋体" w:hAnsi="宋体" w:eastAsia="宋体" w:cs="宋体"/>
                <w:color w:val="auto"/>
                <w:sz w:val="22"/>
                <w:szCs w:val="22"/>
                <w:lang w:eastAsia="zh-CN"/>
              </w:rPr>
              <w:t>1</w:t>
            </w:r>
            <w:r>
              <w:rPr>
                <w:rFonts w:hint="eastAsia" w:ascii="宋体" w:hAnsi="宋体" w:eastAsia="宋体" w:cs="宋体"/>
                <w:color w:val="auto"/>
                <w:sz w:val="22"/>
                <w:szCs w:val="22"/>
                <w:lang w:eastAsia="zh-CN"/>
              </w:rPr>
              <w:t>2</w:t>
            </w:r>
            <w:r>
              <w:rPr>
                <w:rFonts w:ascii="宋体" w:hAnsi="宋体" w:eastAsia="宋体" w:cs="宋体"/>
                <w:color w:val="auto"/>
                <w:sz w:val="22"/>
                <w:szCs w:val="22"/>
                <w:lang w:eastAsia="zh-CN"/>
              </w:rPr>
              <w:t>0</w:t>
            </w:r>
            <w:r>
              <w:rPr>
                <w:rFonts w:hint="eastAsia" w:ascii="宋体" w:hAnsi="宋体" w:eastAsia="宋体" w:cs="宋体"/>
                <w:color w:val="auto"/>
                <w:sz w:val="22"/>
                <w:szCs w:val="22"/>
                <w:lang w:eastAsia="zh-CN"/>
              </w:rPr>
              <w:t>米的</w:t>
            </w:r>
            <w:r>
              <w:rPr>
                <w:rFonts w:ascii="宋体" w:hAnsi="宋体" w:eastAsia="宋体" w:cs="宋体"/>
                <w:color w:val="auto"/>
                <w:sz w:val="22"/>
                <w:szCs w:val="22"/>
                <w:lang w:eastAsia="zh-CN"/>
              </w:rPr>
              <w:t>风吹口加油站（所涉及划分界线均包含在内）</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C45D">
            <w:pPr>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FF0000"/>
                <w:sz w:val="22"/>
                <w:szCs w:val="22"/>
                <w:lang w:val="en-US" w:eastAsia="zh-CN"/>
              </w:rPr>
              <w:t>366</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815E">
            <w:pPr>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358</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0269">
            <w:pPr>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FF0000"/>
                <w:sz w:val="22"/>
                <w:szCs w:val="22"/>
                <w:lang w:val="en-US" w:eastAsia="zh-CN"/>
              </w:rPr>
              <w:t>8</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4C53">
            <w:pPr>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60</w:t>
            </w:r>
          </w:p>
        </w:tc>
        <w:tc>
          <w:tcPr>
            <w:tcW w:w="1883" w:type="dxa"/>
            <w:vMerge w:val="restart"/>
            <w:tcBorders>
              <w:top w:val="single" w:color="000000" w:sz="4" w:space="0"/>
              <w:left w:val="single" w:color="000000" w:sz="4" w:space="0"/>
              <w:right w:val="single" w:color="000000" w:sz="4" w:space="0"/>
            </w:tcBorders>
            <w:shd w:val="clear" w:color="auto" w:fill="auto"/>
          </w:tcPr>
          <w:p w14:paraId="5B68D395">
            <w:pPr>
              <w:textAlignment w:val="top"/>
              <w:rPr>
                <w:rFonts w:ascii="宋体" w:hAnsi="宋体" w:eastAsia="宋体" w:cs="宋体"/>
                <w:color w:val="auto"/>
                <w:sz w:val="22"/>
                <w:szCs w:val="22"/>
                <w:lang w:eastAsia="zh-CN"/>
              </w:rPr>
            </w:pPr>
          </w:p>
        </w:tc>
        <w:tc>
          <w:tcPr>
            <w:tcW w:w="1275" w:type="dxa"/>
            <w:vMerge w:val="restart"/>
            <w:tcBorders>
              <w:top w:val="single" w:color="000000" w:sz="4" w:space="0"/>
              <w:left w:val="single" w:color="000000" w:sz="4" w:space="0"/>
              <w:right w:val="single" w:color="auto" w:sz="4" w:space="0"/>
            </w:tcBorders>
            <w:shd w:val="clear" w:color="auto" w:fill="auto"/>
            <w:vAlign w:val="center"/>
          </w:tcPr>
          <w:p w14:paraId="2BA4C892">
            <w:pPr>
              <w:jc w:val="center"/>
              <w:textAlignment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1140</w:t>
            </w:r>
          </w:p>
        </w:tc>
        <w:tc>
          <w:tcPr>
            <w:tcW w:w="973" w:type="dxa"/>
            <w:vMerge w:val="restart"/>
            <w:tcBorders>
              <w:top w:val="single" w:color="auto" w:sz="4" w:space="0"/>
              <w:left w:val="single" w:color="auto" w:sz="4" w:space="0"/>
              <w:right w:val="single" w:color="auto" w:sz="4" w:space="0"/>
            </w:tcBorders>
            <w:shd w:val="clear" w:color="auto" w:fill="auto"/>
            <w:vAlign w:val="center"/>
          </w:tcPr>
          <w:p w14:paraId="4F237750">
            <w:pPr>
              <w:rPr>
                <w:rFonts w:ascii="宋体" w:hAnsi="宋体" w:eastAsia="宋体" w:cs="宋体"/>
                <w:color w:val="auto"/>
                <w:sz w:val="22"/>
                <w:szCs w:val="22"/>
                <w:lang w:eastAsia="zh-CN"/>
              </w:rPr>
            </w:pPr>
            <w:r>
              <w:rPr>
                <w:rFonts w:ascii="宋体" w:hAnsi="宋体" w:eastAsia="宋体" w:cs="宋体"/>
                <w:color w:val="auto"/>
                <w:sz w:val="22"/>
                <w:szCs w:val="22"/>
                <w:lang w:eastAsia="zh-CN"/>
              </w:rPr>
              <w:t>具体区域界限详见附件</w:t>
            </w:r>
            <w:r>
              <w:rPr>
                <w:rFonts w:hint="eastAsia" w:ascii="宋体" w:hAnsi="宋体" w:eastAsia="宋体" w:cs="宋体"/>
                <w:color w:val="auto"/>
                <w:sz w:val="22"/>
                <w:szCs w:val="22"/>
                <w:lang w:eastAsia="zh-CN"/>
              </w:rPr>
              <w:t>3的网格示意图</w:t>
            </w:r>
          </w:p>
        </w:tc>
      </w:tr>
      <w:tr w14:paraId="67EEADC0">
        <w:tblPrEx>
          <w:tblCellMar>
            <w:top w:w="0" w:type="dxa"/>
            <w:left w:w="108" w:type="dxa"/>
            <w:bottom w:w="0" w:type="dxa"/>
            <w:right w:w="108" w:type="dxa"/>
          </w:tblCellMar>
        </w:tblPrEx>
        <w:trPr>
          <w:trHeight w:val="1179" w:hRule="atLeast"/>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6C9D1">
            <w:pPr>
              <w:jc w:val="center"/>
              <w:rPr>
                <w:rFonts w:ascii="宋体" w:hAnsi="宋体" w:eastAsia="宋体" w:cs="宋体"/>
                <w:color w:val="auto"/>
                <w:sz w:val="22"/>
                <w:szCs w:val="22"/>
                <w:lang w:eastAsia="zh-CN"/>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4751">
            <w:pP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宁州街道_2</w:t>
            </w:r>
          </w:p>
        </w:tc>
        <w:tc>
          <w:tcPr>
            <w:tcW w:w="3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0718">
            <w:pPr>
              <w:jc w:val="left"/>
              <w:textAlignment w:val="center"/>
              <w:rPr>
                <w:rFonts w:ascii="宋体" w:hAnsi="宋体" w:eastAsia="宋体" w:cs="宋体"/>
                <w:color w:val="auto"/>
                <w:sz w:val="22"/>
                <w:szCs w:val="22"/>
                <w:lang w:eastAsia="zh-CN" w:bidi="ar"/>
              </w:rPr>
            </w:pPr>
            <w:r>
              <w:rPr>
                <w:rFonts w:ascii="宋体" w:hAnsi="宋体" w:eastAsia="宋体" w:cs="宋体"/>
                <w:color w:val="auto"/>
                <w:sz w:val="22"/>
                <w:szCs w:val="22"/>
                <w:lang w:eastAsia="zh-CN"/>
              </w:rPr>
              <w:t>乡镇间的行政区块划分界线除</w:t>
            </w:r>
            <w:r>
              <w:rPr>
                <w:rFonts w:hint="eastAsia" w:ascii="宋体" w:hAnsi="宋体" w:eastAsia="宋体" w:cs="宋体"/>
                <w:color w:val="auto"/>
                <w:sz w:val="22"/>
                <w:szCs w:val="22"/>
                <w:lang w:eastAsia="zh-CN" w:bidi="ar"/>
              </w:rPr>
              <w:t>宁州街道_1以外的区域</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31AF">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190</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8366">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18</w:t>
            </w:r>
            <w:r>
              <w:rPr>
                <w:rFonts w:hint="eastAsia" w:ascii="宋体" w:hAnsi="宋体" w:eastAsia="宋体" w:cs="宋体"/>
                <w:color w:val="auto"/>
                <w:sz w:val="22"/>
                <w:szCs w:val="22"/>
                <w:lang w:val="en-US" w:eastAsia="zh-CN"/>
              </w:rPr>
              <w:t>7</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55B4">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E9EA">
            <w:pPr>
              <w:jc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40</w:t>
            </w:r>
          </w:p>
        </w:tc>
        <w:tc>
          <w:tcPr>
            <w:tcW w:w="1883" w:type="dxa"/>
            <w:vMerge w:val="continue"/>
            <w:tcBorders>
              <w:left w:val="single" w:color="000000" w:sz="4" w:space="0"/>
              <w:right w:val="single" w:color="000000" w:sz="4" w:space="0"/>
            </w:tcBorders>
            <w:shd w:val="clear" w:color="auto" w:fill="auto"/>
            <w:vAlign w:val="center"/>
          </w:tcPr>
          <w:p w14:paraId="27546C53">
            <w:pPr>
              <w:jc w:val="center"/>
              <w:rPr>
                <w:rFonts w:ascii="宋体" w:hAnsi="宋体" w:eastAsia="宋体" w:cs="宋体"/>
                <w:color w:val="auto"/>
                <w:sz w:val="22"/>
                <w:szCs w:val="22"/>
              </w:rPr>
            </w:pPr>
          </w:p>
        </w:tc>
        <w:tc>
          <w:tcPr>
            <w:tcW w:w="1275" w:type="dxa"/>
            <w:vMerge w:val="continue"/>
            <w:tcBorders>
              <w:left w:val="single" w:color="000000" w:sz="4" w:space="0"/>
              <w:right w:val="single" w:color="auto" w:sz="4" w:space="0"/>
            </w:tcBorders>
            <w:shd w:val="clear" w:color="auto" w:fill="auto"/>
            <w:vAlign w:val="center"/>
          </w:tcPr>
          <w:p w14:paraId="7C71140D">
            <w:pPr>
              <w:jc w:val="center"/>
              <w:rPr>
                <w:rFonts w:ascii="宋体" w:hAnsi="宋体" w:eastAsia="宋体" w:cs="宋体"/>
                <w:color w:val="auto"/>
                <w:sz w:val="22"/>
                <w:szCs w:val="22"/>
              </w:rPr>
            </w:pPr>
          </w:p>
        </w:tc>
        <w:tc>
          <w:tcPr>
            <w:tcW w:w="973" w:type="dxa"/>
            <w:vMerge w:val="continue"/>
            <w:tcBorders>
              <w:left w:val="single" w:color="auto" w:sz="4" w:space="0"/>
              <w:right w:val="single" w:color="auto" w:sz="4" w:space="0"/>
            </w:tcBorders>
            <w:shd w:val="clear" w:color="auto" w:fill="auto"/>
            <w:vAlign w:val="center"/>
          </w:tcPr>
          <w:p w14:paraId="430746BF">
            <w:pPr>
              <w:jc w:val="center"/>
              <w:rPr>
                <w:rFonts w:ascii="宋体" w:hAnsi="宋体" w:eastAsia="宋体" w:cs="宋体"/>
                <w:color w:val="auto"/>
                <w:sz w:val="22"/>
                <w:szCs w:val="22"/>
                <w:lang w:eastAsia="zh-CN"/>
              </w:rPr>
            </w:pPr>
          </w:p>
        </w:tc>
      </w:tr>
      <w:tr w14:paraId="2A952A85">
        <w:tblPrEx>
          <w:tblCellMar>
            <w:top w:w="0" w:type="dxa"/>
            <w:left w:w="108" w:type="dxa"/>
            <w:bottom w:w="0" w:type="dxa"/>
            <w:right w:w="108" w:type="dxa"/>
          </w:tblCellMar>
        </w:tblPrEx>
        <w:trPr>
          <w:trHeight w:val="992" w:hRule="atLeast"/>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2E871">
            <w:pPr>
              <w:jc w:val="center"/>
              <w:rPr>
                <w:rFonts w:ascii="宋体" w:hAnsi="宋体" w:eastAsia="宋体" w:cs="宋体"/>
                <w:color w:val="auto"/>
                <w:sz w:val="22"/>
                <w:szCs w:val="22"/>
                <w:lang w:eastAsia="zh-CN"/>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45EB">
            <w:pPr>
              <w:jc w:val="center"/>
              <w:textAlignment w:val="center"/>
              <w:rPr>
                <w:rFonts w:ascii="宋体" w:hAnsi="宋体" w:eastAsia="宋体" w:cs="宋体"/>
                <w:color w:val="auto"/>
                <w:sz w:val="22"/>
                <w:szCs w:val="22"/>
                <w:lang w:eastAsia="zh-CN" w:bidi="ar"/>
              </w:rPr>
            </w:pPr>
          </w:p>
          <w:p w14:paraId="2AA4DFB6">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华溪镇</w:t>
            </w:r>
          </w:p>
          <w:p w14:paraId="5C5B682A">
            <w:pPr>
              <w:jc w:val="center"/>
              <w:textAlignment w:val="center"/>
              <w:rPr>
                <w:rFonts w:ascii="宋体" w:hAnsi="宋体" w:eastAsia="宋体" w:cs="宋体"/>
                <w:color w:val="auto"/>
                <w:sz w:val="22"/>
                <w:szCs w:val="22"/>
                <w:lang w:eastAsia="zh-CN" w:bidi="ar"/>
              </w:rPr>
            </w:pPr>
          </w:p>
        </w:tc>
        <w:tc>
          <w:tcPr>
            <w:tcW w:w="3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2FA1">
            <w:pPr>
              <w:jc w:val="center"/>
              <w:rPr>
                <w:rFonts w:ascii="宋体" w:hAnsi="宋体" w:eastAsia="宋体" w:cs="宋体"/>
                <w:color w:val="auto"/>
                <w:sz w:val="22"/>
                <w:szCs w:val="22"/>
                <w:lang w:eastAsia="zh-CN"/>
              </w:rPr>
            </w:pPr>
            <w:r>
              <w:rPr>
                <w:rFonts w:ascii="宋体" w:hAnsi="宋体" w:eastAsia="宋体" w:cs="宋体"/>
                <w:color w:val="auto"/>
                <w:sz w:val="22"/>
                <w:szCs w:val="22"/>
                <w:lang w:eastAsia="zh-CN"/>
              </w:rPr>
              <w:t>乡镇间的行政区块划分界线</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A2E9">
            <w:pPr>
              <w:jc w:val="center"/>
              <w:rPr>
                <w:rFonts w:hint="default" w:ascii="宋体" w:hAnsi="宋体" w:eastAsia="宋体" w:cs="宋体"/>
                <w:color w:val="auto"/>
                <w:sz w:val="22"/>
                <w:szCs w:val="22"/>
                <w:lang w:val="en-US" w:eastAsia="zh-CN"/>
              </w:rPr>
            </w:pPr>
            <w:r>
              <w:rPr>
                <w:rFonts w:hint="eastAsia" w:ascii="宋体" w:hAnsi="宋体" w:eastAsia="宋体" w:cs="宋体"/>
                <w:color w:val="FF0000"/>
                <w:sz w:val="22"/>
                <w:szCs w:val="22"/>
                <w:lang w:val="en-US" w:eastAsia="zh-CN"/>
              </w:rPr>
              <w:t>87</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2F41">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8</w:t>
            </w:r>
            <w:r>
              <w:rPr>
                <w:rFonts w:hint="eastAsia" w:ascii="宋体" w:hAnsi="宋体" w:eastAsia="宋体" w:cs="宋体"/>
                <w:color w:val="auto"/>
                <w:sz w:val="22"/>
                <w:szCs w:val="22"/>
                <w:lang w:val="en-US" w:eastAsia="zh-CN"/>
              </w:rPr>
              <w:t>4</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A40B">
            <w:pPr>
              <w:jc w:val="center"/>
              <w:rPr>
                <w:rFonts w:ascii="宋体" w:hAnsi="宋体" w:eastAsia="宋体" w:cs="宋体"/>
                <w:color w:val="auto"/>
                <w:sz w:val="22"/>
                <w:szCs w:val="22"/>
                <w:lang w:eastAsia="zh-CN"/>
              </w:rPr>
            </w:pPr>
            <w:r>
              <w:rPr>
                <w:rFonts w:hint="eastAsia" w:ascii="宋体" w:hAnsi="宋体" w:eastAsia="宋体" w:cs="宋体"/>
                <w:color w:val="FF0000"/>
                <w:sz w:val="22"/>
                <w:szCs w:val="22"/>
                <w:lang w:val="en-US" w:eastAsia="zh-CN"/>
              </w:rPr>
              <w:t>3</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5EC7">
            <w:pPr>
              <w:jc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40</w:t>
            </w:r>
          </w:p>
        </w:tc>
        <w:tc>
          <w:tcPr>
            <w:tcW w:w="1883" w:type="dxa"/>
            <w:vMerge w:val="continue"/>
            <w:tcBorders>
              <w:left w:val="single" w:color="000000" w:sz="4" w:space="0"/>
              <w:right w:val="single" w:color="000000" w:sz="4" w:space="0"/>
            </w:tcBorders>
            <w:shd w:val="clear" w:color="auto" w:fill="auto"/>
            <w:noWrap/>
            <w:vAlign w:val="center"/>
          </w:tcPr>
          <w:p w14:paraId="25437C4F">
            <w:pPr>
              <w:rPr>
                <w:rFonts w:ascii="宋体" w:hAnsi="宋体" w:eastAsia="宋体" w:cs="宋体"/>
                <w:color w:val="auto"/>
                <w:sz w:val="22"/>
                <w:szCs w:val="22"/>
              </w:rPr>
            </w:pPr>
          </w:p>
        </w:tc>
        <w:tc>
          <w:tcPr>
            <w:tcW w:w="1275" w:type="dxa"/>
            <w:vMerge w:val="continue"/>
            <w:tcBorders>
              <w:left w:val="single" w:color="000000" w:sz="4" w:space="0"/>
              <w:right w:val="single" w:color="auto" w:sz="4" w:space="0"/>
            </w:tcBorders>
            <w:shd w:val="clear" w:color="auto" w:fill="auto"/>
            <w:vAlign w:val="center"/>
          </w:tcPr>
          <w:p w14:paraId="7BED1B20">
            <w:pPr>
              <w:jc w:val="center"/>
              <w:rPr>
                <w:rFonts w:ascii="宋体" w:hAnsi="宋体" w:eastAsia="宋体" w:cs="宋体"/>
                <w:color w:val="auto"/>
                <w:sz w:val="22"/>
                <w:szCs w:val="22"/>
              </w:rPr>
            </w:pPr>
          </w:p>
        </w:tc>
        <w:tc>
          <w:tcPr>
            <w:tcW w:w="973" w:type="dxa"/>
            <w:vMerge w:val="continue"/>
            <w:tcBorders>
              <w:left w:val="single" w:color="auto" w:sz="4" w:space="0"/>
              <w:right w:val="single" w:color="auto" w:sz="4" w:space="0"/>
            </w:tcBorders>
            <w:shd w:val="clear" w:color="auto" w:fill="auto"/>
            <w:vAlign w:val="center"/>
          </w:tcPr>
          <w:p w14:paraId="61C9AC36">
            <w:pPr>
              <w:jc w:val="center"/>
              <w:rPr>
                <w:rFonts w:ascii="宋体" w:hAnsi="宋体" w:eastAsia="宋体" w:cs="宋体"/>
                <w:color w:val="auto"/>
                <w:sz w:val="22"/>
                <w:szCs w:val="22"/>
              </w:rPr>
            </w:pPr>
          </w:p>
        </w:tc>
      </w:tr>
      <w:tr w14:paraId="34D10CB9">
        <w:tblPrEx>
          <w:tblCellMar>
            <w:top w:w="0" w:type="dxa"/>
            <w:left w:w="108" w:type="dxa"/>
            <w:bottom w:w="0" w:type="dxa"/>
            <w:right w:w="108" w:type="dxa"/>
          </w:tblCellMar>
        </w:tblPrEx>
        <w:trPr>
          <w:trHeight w:val="1015" w:hRule="atLeast"/>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0FE65">
            <w:pPr>
              <w:jc w:val="center"/>
              <w:rPr>
                <w:rFonts w:ascii="宋体" w:hAnsi="宋体" w:eastAsia="宋体" w:cs="宋体"/>
                <w:color w:val="auto"/>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062A">
            <w:pPr>
              <w:jc w:val="center"/>
              <w:textAlignment w:val="center"/>
              <w:rPr>
                <w:rFonts w:ascii="宋体" w:hAnsi="宋体" w:eastAsia="宋体" w:cs="宋体"/>
                <w:color w:val="auto"/>
                <w:sz w:val="22"/>
                <w:szCs w:val="22"/>
                <w:lang w:eastAsia="zh-CN" w:bidi="ar"/>
              </w:rPr>
            </w:pPr>
          </w:p>
          <w:p w14:paraId="280B6890">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盘溪镇</w:t>
            </w:r>
          </w:p>
          <w:p w14:paraId="1AEC720B">
            <w:pPr>
              <w:jc w:val="center"/>
              <w:textAlignment w:val="center"/>
              <w:rPr>
                <w:rFonts w:ascii="宋体" w:hAnsi="宋体" w:eastAsia="宋体" w:cs="宋体"/>
                <w:color w:val="auto"/>
                <w:sz w:val="22"/>
                <w:szCs w:val="22"/>
                <w:lang w:eastAsia="zh-CN" w:bidi="ar"/>
              </w:rPr>
            </w:pPr>
          </w:p>
        </w:tc>
        <w:tc>
          <w:tcPr>
            <w:tcW w:w="3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03D4">
            <w:pPr>
              <w:jc w:val="center"/>
              <w:rPr>
                <w:rFonts w:ascii="宋体" w:hAnsi="宋体" w:eastAsia="宋体" w:cs="宋体"/>
                <w:color w:val="auto"/>
                <w:sz w:val="22"/>
                <w:szCs w:val="22"/>
                <w:lang w:eastAsia="zh-CN"/>
              </w:rPr>
            </w:pPr>
          </w:p>
          <w:p w14:paraId="74EA8C31">
            <w:pPr>
              <w:jc w:val="center"/>
              <w:rPr>
                <w:rFonts w:ascii="宋体" w:hAnsi="宋体" w:eastAsia="宋体" w:cs="宋体"/>
                <w:color w:val="auto"/>
                <w:sz w:val="22"/>
                <w:szCs w:val="22"/>
                <w:lang w:eastAsia="zh-CN"/>
              </w:rPr>
            </w:pPr>
            <w:r>
              <w:rPr>
                <w:rFonts w:ascii="宋体" w:hAnsi="宋体" w:eastAsia="宋体" w:cs="宋体"/>
                <w:color w:val="auto"/>
                <w:sz w:val="22"/>
                <w:szCs w:val="22"/>
                <w:lang w:eastAsia="zh-CN"/>
              </w:rPr>
              <w:t>乡镇间的行政区块划分界线</w:t>
            </w:r>
          </w:p>
          <w:p w14:paraId="4C82CD50">
            <w:pPr>
              <w:jc w:val="both"/>
              <w:rPr>
                <w:rFonts w:ascii="宋体" w:hAnsi="宋体" w:eastAsia="宋体" w:cs="宋体"/>
                <w:color w:val="auto"/>
                <w:sz w:val="22"/>
                <w:szCs w:val="22"/>
                <w:lang w:eastAsia="zh-CN"/>
              </w:rP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BFEE">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265</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110B">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26</w:t>
            </w:r>
            <w:r>
              <w:rPr>
                <w:rFonts w:hint="eastAsia" w:ascii="宋体" w:hAnsi="宋体" w:eastAsia="宋体" w:cs="宋体"/>
                <w:color w:val="auto"/>
                <w:sz w:val="22"/>
                <w:szCs w:val="22"/>
                <w:lang w:val="en-US" w:eastAsia="zh-CN"/>
              </w:rPr>
              <w:t>1</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95D1">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4</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25C2">
            <w:pPr>
              <w:jc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40</w:t>
            </w:r>
          </w:p>
        </w:tc>
        <w:tc>
          <w:tcPr>
            <w:tcW w:w="1883" w:type="dxa"/>
            <w:vMerge w:val="continue"/>
            <w:tcBorders>
              <w:left w:val="single" w:color="000000" w:sz="4" w:space="0"/>
              <w:right w:val="single" w:color="000000" w:sz="4" w:space="0"/>
            </w:tcBorders>
            <w:shd w:val="clear" w:color="auto" w:fill="auto"/>
            <w:noWrap/>
            <w:vAlign w:val="center"/>
          </w:tcPr>
          <w:p w14:paraId="33D373D0">
            <w:pPr>
              <w:rPr>
                <w:rFonts w:ascii="宋体" w:hAnsi="宋体" w:eastAsia="宋体" w:cs="宋体"/>
                <w:color w:val="auto"/>
                <w:sz w:val="22"/>
                <w:szCs w:val="22"/>
              </w:rPr>
            </w:pPr>
          </w:p>
        </w:tc>
        <w:tc>
          <w:tcPr>
            <w:tcW w:w="1275" w:type="dxa"/>
            <w:vMerge w:val="continue"/>
            <w:tcBorders>
              <w:left w:val="single" w:color="000000" w:sz="4" w:space="0"/>
              <w:right w:val="single" w:color="auto" w:sz="4" w:space="0"/>
            </w:tcBorders>
            <w:shd w:val="clear" w:color="auto" w:fill="auto"/>
            <w:vAlign w:val="center"/>
          </w:tcPr>
          <w:p w14:paraId="0CF2754E">
            <w:pPr>
              <w:jc w:val="center"/>
              <w:rPr>
                <w:rFonts w:ascii="宋体" w:hAnsi="宋体" w:eastAsia="宋体" w:cs="宋体"/>
                <w:color w:val="auto"/>
                <w:sz w:val="22"/>
                <w:szCs w:val="22"/>
              </w:rPr>
            </w:pPr>
          </w:p>
        </w:tc>
        <w:tc>
          <w:tcPr>
            <w:tcW w:w="973" w:type="dxa"/>
            <w:vMerge w:val="continue"/>
            <w:tcBorders>
              <w:left w:val="single" w:color="auto" w:sz="4" w:space="0"/>
              <w:right w:val="single" w:color="auto" w:sz="4" w:space="0"/>
            </w:tcBorders>
            <w:shd w:val="clear" w:color="auto" w:fill="auto"/>
            <w:vAlign w:val="center"/>
          </w:tcPr>
          <w:p w14:paraId="0094D4FC">
            <w:pPr>
              <w:jc w:val="center"/>
              <w:rPr>
                <w:rFonts w:ascii="宋体" w:hAnsi="宋体" w:eastAsia="宋体" w:cs="宋体"/>
                <w:color w:val="auto"/>
                <w:sz w:val="22"/>
                <w:szCs w:val="22"/>
              </w:rPr>
            </w:pPr>
          </w:p>
        </w:tc>
      </w:tr>
      <w:tr w14:paraId="2C186634">
        <w:tblPrEx>
          <w:tblCellMar>
            <w:top w:w="0" w:type="dxa"/>
            <w:left w:w="108" w:type="dxa"/>
            <w:bottom w:w="0" w:type="dxa"/>
            <w:right w:w="108" w:type="dxa"/>
          </w:tblCellMar>
        </w:tblPrEx>
        <w:trPr>
          <w:trHeight w:val="340" w:hRule="atLeast"/>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7002B">
            <w:pPr>
              <w:jc w:val="center"/>
              <w:rPr>
                <w:rFonts w:ascii="宋体" w:hAnsi="宋体" w:eastAsia="宋体" w:cs="宋体"/>
                <w:color w:val="auto"/>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FB29">
            <w:pPr>
              <w:jc w:val="center"/>
              <w:textAlignment w:val="center"/>
              <w:rPr>
                <w:rFonts w:ascii="宋体" w:hAnsi="宋体" w:eastAsia="宋体" w:cs="宋体"/>
                <w:color w:val="auto"/>
                <w:sz w:val="22"/>
                <w:szCs w:val="22"/>
                <w:lang w:eastAsia="zh-CN" w:bidi="ar"/>
              </w:rPr>
            </w:pPr>
          </w:p>
          <w:p w14:paraId="5B0B913F">
            <w:pPr>
              <w:jc w:val="center"/>
              <w:rPr>
                <w:rFonts w:ascii="宋体" w:hAnsi="宋体" w:eastAsia="宋体" w:cs="宋体"/>
                <w:color w:val="auto"/>
                <w:sz w:val="22"/>
                <w:szCs w:val="22"/>
                <w:lang w:eastAsia="zh-CN"/>
              </w:rPr>
            </w:pPr>
            <w:r>
              <w:rPr>
                <w:rFonts w:ascii="宋体" w:hAnsi="宋体" w:eastAsia="宋体" w:cs="宋体"/>
                <w:color w:val="auto"/>
                <w:sz w:val="22"/>
                <w:szCs w:val="22"/>
                <w:lang w:eastAsia="zh-CN"/>
              </w:rPr>
              <w:t>通红甸彝族苗族乡</w:t>
            </w:r>
          </w:p>
          <w:p w14:paraId="20AFAF13">
            <w:pPr>
              <w:jc w:val="center"/>
              <w:textAlignment w:val="center"/>
              <w:rPr>
                <w:rFonts w:ascii="宋体" w:hAnsi="宋体" w:eastAsia="宋体" w:cs="宋体"/>
                <w:color w:val="auto"/>
                <w:sz w:val="22"/>
                <w:szCs w:val="22"/>
                <w:lang w:eastAsia="zh-CN" w:bidi="ar"/>
              </w:rPr>
            </w:pPr>
          </w:p>
        </w:tc>
        <w:tc>
          <w:tcPr>
            <w:tcW w:w="3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C814">
            <w:pPr>
              <w:jc w:val="center"/>
              <w:rPr>
                <w:rFonts w:ascii="宋体" w:hAnsi="宋体" w:eastAsia="宋体" w:cs="宋体"/>
                <w:color w:val="auto"/>
                <w:sz w:val="22"/>
                <w:szCs w:val="22"/>
                <w:lang w:eastAsia="zh-CN"/>
              </w:rPr>
            </w:pPr>
            <w:r>
              <w:rPr>
                <w:rFonts w:ascii="宋体" w:hAnsi="宋体" w:eastAsia="宋体" w:cs="宋体"/>
                <w:color w:val="auto"/>
                <w:sz w:val="22"/>
                <w:szCs w:val="22"/>
                <w:lang w:eastAsia="zh-CN"/>
              </w:rPr>
              <w:t>乡镇间的行政区块划分界线</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2319">
            <w:pPr>
              <w:jc w:val="center"/>
              <w:rPr>
                <w:rFonts w:ascii="宋体" w:hAnsi="宋体" w:eastAsia="宋体" w:cs="宋体"/>
                <w:color w:val="auto"/>
                <w:sz w:val="22"/>
                <w:szCs w:val="22"/>
                <w:lang w:eastAsia="zh-CN"/>
              </w:rPr>
            </w:pPr>
            <w:r>
              <w:rPr>
                <w:rFonts w:hint="eastAsia" w:ascii="宋体" w:hAnsi="宋体" w:eastAsia="宋体" w:cs="宋体"/>
                <w:color w:val="auto"/>
                <w:sz w:val="22"/>
                <w:szCs w:val="22"/>
                <w:lang w:eastAsia="zh-CN"/>
              </w:rPr>
              <w:t>41</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8802">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4</w:t>
            </w:r>
            <w:r>
              <w:rPr>
                <w:rFonts w:hint="eastAsia" w:ascii="宋体" w:hAnsi="宋体" w:eastAsia="宋体" w:cs="宋体"/>
                <w:color w:val="auto"/>
                <w:sz w:val="22"/>
                <w:szCs w:val="22"/>
                <w:lang w:val="en-US" w:eastAsia="zh-CN"/>
              </w:rPr>
              <w:t>1</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82F1">
            <w:pPr>
              <w:jc w:val="center"/>
              <w:rPr>
                <w:rFonts w:ascii="宋体" w:hAnsi="宋体" w:eastAsia="宋体" w:cs="宋体"/>
                <w:color w:val="auto"/>
                <w:sz w:val="22"/>
                <w:szCs w:val="22"/>
                <w:lang w:eastAsia="zh-CN"/>
              </w:rPr>
            </w:pPr>
            <w:r>
              <w:rPr>
                <w:rFonts w:hint="eastAsia" w:ascii="宋体" w:hAnsi="宋体" w:eastAsia="宋体" w:cs="宋体"/>
                <w:color w:val="auto"/>
                <w:sz w:val="22"/>
                <w:szCs w:val="22"/>
                <w:lang w:eastAsia="zh-CN"/>
              </w:rPr>
              <w:t>0</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C0BA">
            <w:pPr>
              <w:jc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40</w:t>
            </w:r>
          </w:p>
        </w:tc>
        <w:tc>
          <w:tcPr>
            <w:tcW w:w="1883" w:type="dxa"/>
            <w:vMerge w:val="continue"/>
            <w:tcBorders>
              <w:left w:val="single" w:color="000000" w:sz="4" w:space="0"/>
              <w:right w:val="single" w:color="000000" w:sz="4" w:space="0"/>
            </w:tcBorders>
            <w:shd w:val="clear" w:color="auto" w:fill="auto"/>
            <w:noWrap/>
            <w:vAlign w:val="center"/>
          </w:tcPr>
          <w:p w14:paraId="1C67F8C6">
            <w:pPr>
              <w:rPr>
                <w:rFonts w:ascii="宋体" w:hAnsi="宋体" w:eastAsia="宋体" w:cs="宋体"/>
                <w:color w:val="auto"/>
                <w:sz w:val="22"/>
                <w:szCs w:val="22"/>
              </w:rPr>
            </w:pPr>
          </w:p>
        </w:tc>
        <w:tc>
          <w:tcPr>
            <w:tcW w:w="1275" w:type="dxa"/>
            <w:vMerge w:val="continue"/>
            <w:tcBorders>
              <w:left w:val="single" w:color="000000" w:sz="4" w:space="0"/>
              <w:right w:val="single" w:color="auto" w:sz="4" w:space="0"/>
            </w:tcBorders>
            <w:shd w:val="clear" w:color="auto" w:fill="auto"/>
            <w:vAlign w:val="center"/>
          </w:tcPr>
          <w:p w14:paraId="7D7DF4B6">
            <w:pPr>
              <w:jc w:val="center"/>
              <w:rPr>
                <w:rFonts w:ascii="宋体" w:hAnsi="宋体" w:eastAsia="宋体" w:cs="宋体"/>
                <w:color w:val="auto"/>
                <w:sz w:val="22"/>
                <w:szCs w:val="22"/>
              </w:rPr>
            </w:pPr>
          </w:p>
        </w:tc>
        <w:tc>
          <w:tcPr>
            <w:tcW w:w="973" w:type="dxa"/>
            <w:vMerge w:val="continue"/>
            <w:tcBorders>
              <w:left w:val="single" w:color="auto" w:sz="4" w:space="0"/>
              <w:right w:val="single" w:color="auto" w:sz="4" w:space="0"/>
            </w:tcBorders>
            <w:shd w:val="clear" w:color="auto" w:fill="auto"/>
            <w:vAlign w:val="center"/>
          </w:tcPr>
          <w:p w14:paraId="3EAC3BCD">
            <w:pPr>
              <w:jc w:val="center"/>
              <w:rPr>
                <w:rFonts w:ascii="宋体" w:hAnsi="宋体" w:eastAsia="宋体" w:cs="宋体"/>
                <w:color w:val="auto"/>
                <w:sz w:val="22"/>
                <w:szCs w:val="22"/>
              </w:rPr>
            </w:pPr>
          </w:p>
        </w:tc>
      </w:tr>
      <w:tr w14:paraId="73FF8A35">
        <w:tblPrEx>
          <w:tblCellMar>
            <w:top w:w="0" w:type="dxa"/>
            <w:left w:w="108" w:type="dxa"/>
            <w:bottom w:w="0" w:type="dxa"/>
            <w:right w:w="108" w:type="dxa"/>
          </w:tblCellMar>
        </w:tblPrEx>
        <w:trPr>
          <w:trHeight w:val="336" w:hRule="atLeast"/>
        </w:trPr>
        <w:tc>
          <w:tcPr>
            <w:tcW w:w="8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D28BE">
            <w:pPr>
              <w:jc w:val="center"/>
              <w:rPr>
                <w:rFonts w:ascii="宋体" w:hAnsi="宋体" w:eastAsia="宋体" w:cs="宋体"/>
                <w:color w:val="auto"/>
                <w:sz w:val="22"/>
                <w:szCs w:val="22"/>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27CE">
            <w:pPr>
              <w:jc w:val="center"/>
              <w:textAlignment w:val="center"/>
              <w:rPr>
                <w:rFonts w:ascii="宋体" w:hAnsi="宋体" w:eastAsia="宋体" w:cs="宋体"/>
                <w:color w:val="auto"/>
                <w:sz w:val="22"/>
                <w:szCs w:val="22"/>
                <w:lang w:eastAsia="zh-CN" w:bidi="ar"/>
              </w:rPr>
            </w:pPr>
            <w:r>
              <w:rPr>
                <w:rFonts w:hint="eastAsia" w:ascii="宋体" w:hAnsi="宋体" w:eastAsia="宋体" w:cs="宋体"/>
                <w:color w:val="auto"/>
                <w:sz w:val="22"/>
                <w:szCs w:val="22"/>
                <w:lang w:eastAsia="zh-CN" w:bidi="ar"/>
              </w:rPr>
              <w:t>青龙镇</w:t>
            </w:r>
          </w:p>
          <w:p w14:paraId="73C3FD91">
            <w:pPr>
              <w:jc w:val="center"/>
              <w:rPr>
                <w:rFonts w:ascii="宋体" w:hAnsi="宋体" w:eastAsia="宋体" w:cs="宋体"/>
                <w:color w:val="auto"/>
                <w:sz w:val="22"/>
                <w:szCs w:val="22"/>
                <w:lang w:eastAsia="zh-CN"/>
              </w:rPr>
            </w:pPr>
          </w:p>
          <w:p w14:paraId="2788F77D">
            <w:pPr>
              <w:jc w:val="center"/>
              <w:rPr>
                <w:rFonts w:ascii="宋体" w:hAnsi="宋体" w:eastAsia="宋体" w:cs="宋体"/>
                <w:color w:val="auto"/>
                <w:sz w:val="22"/>
                <w:szCs w:val="22"/>
                <w:lang w:eastAsia="zh-CN"/>
              </w:rPr>
            </w:pPr>
          </w:p>
        </w:tc>
        <w:tc>
          <w:tcPr>
            <w:tcW w:w="3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7541">
            <w:pPr>
              <w:jc w:val="left"/>
              <w:rPr>
                <w:rFonts w:ascii="宋体" w:hAnsi="宋体" w:eastAsia="宋体" w:cs="宋体"/>
                <w:color w:val="auto"/>
                <w:sz w:val="22"/>
                <w:szCs w:val="22"/>
                <w:lang w:eastAsia="zh-CN"/>
              </w:rPr>
            </w:pPr>
            <w:r>
              <w:rPr>
                <w:rFonts w:ascii="宋体" w:hAnsi="宋体" w:eastAsia="宋体" w:cs="宋体"/>
                <w:color w:val="auto"/>
                <w:sz w:val="22"/>
                <w:szCs w:val="22"/>
                <w:lang w:eastAsia="zh-CN"/>
              </w:rPr>
              <w:t>乡镇间的行政区块划分界线（与澄江市相接划分澄江市的地区（从石灰窑村</w:t>
            </w:r>
            <w:r>
              <w:rPr>
                <w:rFonts w:hint="eastAsia" w:ascii="宋体" w:hAnsi="宋体" w:eastAsia="宋体" w:cs="宋体"/>
                <w:color w:val="auto"/>
                <w:sz w:val="22"/>
                <w:szCs w:val="22"/>
                <w:lang w:eastAsia="zh-CN"/>
              </w:rPr>
              <w:t>-樊家营村-秧草塘村-金钟山-茨塘子村以东的片区为青龙镇，村子＋山包含在内</w:t>
            </w:r>
            <w:r>
              <w:rPr>
                <w:rFonts w:ascii="宋体" w:hAnsi="宋体" w:eastAsia="宋体" w:cs="宋体"/>
                <w:color w:val="auto"/>
                <w:sz w:val="22"/>
                <w:szCs w:val="22"/>
                <w:lang w:eastAsia="zh-CN"/>
              </w:rPr>
              <w:t>）除外）</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890D">
            <w:pPr>
              <w:jc w:val="center"/>
              <w:rPr>
                <w:rFonts w:hint="default" w:ascii="宋体" w:hAnsi="宋体" w:eastAsia="宋体" w:cs="宋体"/>
                <w:color w:val="auto"/>
                <w:sz w:val="22"/>
                <w:szCs w:val="22"/>
                <w:lang w:val="en-US" w:eastAsia="zh-CN"/>
              </w:rPr>
            </w:pPr>
            <w:r>
              <w:rPr>
                <w:rFonts w:hint="eastAsia" w:ascii="宋体" w:hAnsi="宋体" w:eastAsia="宋体" w:cs="宋体"/>
                <w:color w:val="FF0000"/>
                <w:sz w:val="22"/>
                <w:szCs w:val="22"/>
                <w:lang w:val="en-US" w:eastAsia="zh-CN"/>
              </w:rPr>
              <w:t>191</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0BC7">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eastAsia="zh-CN"/>
              </w:rPr>
              <w:t>1</w:t>
            </w:r>
            <w:r>
              <w:rPr>
                <w:rFonts w:hint="eastAsia" w:ascii="宋体" w:hAnsi="宋体" w:eastAsia="宋体" w:cs="宋体"/>
                <w:color w:val="auto"/>
                <w:sz w:val="22"/>
                <w:szCs w:val="22"/>
                <w:lang w:val="en-US" w:eastAsia="zh-CN"/>
              </w:rPr>
              <w:t>89</w:t>
            </w:r>
          </w:p>
        </w:tc>
        <w:tc>
          <w:tcPr>
            <w:tcW w:w="1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4E0B">
            <w:pPr>
              <w:jc w:val="center"/>
              <w:rPr>
                <w:rFonts w:ascii="宋体" w:hAnsi="宋体" w:eastAsia="宋体" w:cs="宋体"/>
                <w:color w:val="auto"/>
                <w:sz w:val="22"/>
                <w:szCs w:val="22"/>
                <w:lang w:eastAsia="zh-CN"/>
              </w:rPr>
            </w:pPr>
            <w:r>
              <w:rPr>
                <w:rFonts w:hint="eastAsia" w:ascii="宋体" w:hAnsi="宋体" w:eastAsia="宋体" w:cs="宋体"/>
                <w:color w:val="FF0000"/>
                <w:sz w:val="22"/>
                <w:szCs w:val="22"/>
                <w:lang w:val="en-US" w:eastAsia="zh-CN"/>
              </w:rPr>
              <w:t>2</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C8AA">
            <w:pPr>
              <w:jc w:val="center"/>
              <w:rPr>
                <w:rFonts w:ascii="宋体" w:hAnsi="宋体" w:eastAsia="宋体" w:cs="宋体"/>
                <w:color w:val="auto"/>
                <w:sz w:val="22"/>
                <w:szCs w:val="22"/>
              </w:rPr>
            </w:pPr>
            <w:r>
              <w:rPr>
                <w:rFonts w:hint="eastAsia" w:ascii="宋体" w:hAnsi="宋体" w:eastAsia="宋体" w:cs="宋体"/>
                <w:color w:val="auto"/>
                <w:sz w:val="22"/>
                <w:szCs w:val="22"/>
                <w:lang w:eastAsia="zh-CN" w:bidi="ar"/>
              </w:rPr>
              <w:t>40</w:t>
            </w:r>
          </w:p>
        </w:tc>
        <w:tc>
          <w:tcPr>
            <w:tcW w:w="1883" w:type="dxa"/>
            <w:vMerge w:val="continue"/>
            <w:tcBorders>
              <w:left w:val="single" w:color="000000" w:sz="4" w:space="0"/>
              <w:bottom w:val="single" w:color="000000" w:sz="4" w:space="0"/>
              <w:right w:val="single" w:color="000000" w:sz="4" w:space="0"/>
            </w:tcBorders>
            <w:shd w:val="clear" w:color="auto" w:fill="auto"/>
            <w:noWrap/>
            <w:vAlign w:val="center"/>
          </w:tcPr>
          <w:p w14:paraId="08CB5117">
            <w:pPr>
              <w:rPr>
                <w:rFonts w:ascii="宋体" w:hAnsi="宋体" w:eastAsia="宋体" w:cs="宋体"/>
                <w:color w:val="auto"/>
                <w:sz w:val="22"/>
                <w:szCs w:val="22"/>
              </w:rPr>
            </w:pPr>
          </w:p>
        </w:tc>
        <w:tc>
          <w:tcPr>
            <w:tcW w:w="1275" w:type="dxa"/>
            <w:vMerge w:val="continue"/>
            <w:tcBorders>
              <w:left w:val="single" w:color="000000" w:sz="4" w:space="0"/>
              <w:bottom w:val="single" w:color="000000" w:sz="4" w:space="0"/>
              <w:right w:val="single" w:color="auto" w:sz="4" w:space="0"/>
            </w:tcBorders>
            <w:shd w:val="clear" w:color="auto" w:fill="auto"/>
            <w:vAlign w:val="center"/>
          </w:tcPr>
          <w:p w14:paraId="79E203A0">
            <w:pPr>
              <w:jc w:val="center"/>
              <w:rPr>
                <w:rFonts w:ascii="宋体" w:hAnsi="宋体" w:eastAsia="宋体" w:cs="宋体"/>
                <w:color w:val="auto"/>
                <w:sz w:val="22"/>
                <w:szCs w:val="22"/>
              </w:rPr>
            </w:pPr>
          </w:p>
        </w:tc>
        <w:tc>
          <w:tcPr>
            <w:tcW w:w="973" w:type="dxa"/>
            <w:vMerge w:val="continue"/>
            <w:tcBorders>
              <w:left w:val="single" w:color="auto" w:sz="4" w:space="0"/>
              <w:bottom w:val="single" w:color="auto" w:sz="4" w:space="0"/>
              <w:right w:val="single" w:color="auto" w:sz="4" w:space="0"/>
            </w:tcBorders>
            <w:shd w:val="clear" w:color="auto" w:fill="auto"/>
            <w:vAlign w:val="center"/>
          </w:tcPr>
          <w:p w14:paraId="3AF0343B">
            <w:pPr>
              <w:rPr>
                <w:rFonts w:ascii="宋体" w:hAnsi="宋体" w:eastAsia="宋体" w:cs="宋体"/>
                <w:color w:val="auto"/>
                <w:sz w:val="22"/>
                <w:szCs w:val="22"/>
              </w:rPr>
            </w:pPr>
          </w:p>
        </w:tc>
      </w:tr>
    </w:tbl>
    <w:p w14:paraId="5959E52E">
      <w:pPr>
        <w:spacing w:before="42" w:line="219" w:lineRule="auto"/>
        <w:ind w:right="-101" w:rightChars="-48"/>
        <w:rPr>
          <w:rFonts w:hint="eastAsia" w:ascii="宋体" w:hAnsi="宋体" w:eastAsia="宋体" w:cs="宋体"/>
          <w:spacing w:val="-1"/>
          <w:lang w:eastAsia="zh-CN"/>
        </w:rPr>
      </w:pPr>
    </w:p>
    <w:p w14:paraId="68B8D9CE">
      <w:pPr>
        <w:spacing w:before="42" w:line="219" w:lineRule="auto"/>
        <w:ind w:right="-101" w:rightChars="-48"/>
        <w:rPr>
          <w:rFonts w:ascii="宋体" w:hAnsi="宋体" w:eastAsia="宋体" w:cs="宋体"/>
          <w:spacing w:val="-1"/>
          <w:lang w:eastAsia="zh-CN"/>
        </w:rPr>
      </w:pPr>
      <w:r>
        <w:rPr>
          <w:rFonts w:hint="eastAsia" w:ascii="宋体" w:hAnsi="宋体" w:eastAsia="宋体" w:cs="宋体"/>
          <w:spacing w:val="-1"/>
          <w:lang w:eastAsia="zh-CN"/>
        </w:rPr>
        <w:t>备注：1.本公示表的数据根据本县零售点布局规划实行定期评价、动态管理。</w:t>
      </w:r>
    </w:p>
    <w:p w14:paraId="2A0121FE">
      <w:pPr>
        <w:spacing w:before="42" w:line="219" w:lineRule="auto"/>
        <w:ind w:firstLine="624" w:firstLineChars="300"/>
        <w:rPr>
          <w:rFonts w:ascii="宋体" w:hAnsi="宋体" w:eastAsia="宋体" w:cs="宋体"/>
          <w:spacing w:val="-1"/>
          <w:lang w:eastAsia="zh-CN"/>
        </w:rPr>
      </w:pPr>
      <w:r>
        <w:rPr>
          <w:rFonts w:hint="eastAsia" w:ascii="宋体" w:hAnsi="宋体" w:eastAsia="宋体" w:cs="宋体"/>
          <w:spacing w:val="-1"/>
          <w:lang w:eastAsia="zh-CN"/>
        </w:rPr>
        <w:t>2.每季度根据经济发展、城乡建设、市场形势等变化情况对本表中的数据进行动态调整，规划数相应进行动态更新，以每季度最后一次公示的数据为准。</w:t>
      </w:r>
    </w:p>
    <w:p w14:paraId="465CB512">
      <w:pPr>
        <w:spacing w:before="42" w:line="219" w:lineRule="auto"/>
        <w:ind w:firstLine="624" w:firstLineChars="300"/>
        <w:rPr>
          <w:rFonts w:ascii="方正小标宋简体" w:hAnsi="Times New Roman" w:eastAsia="方正小标宋简体" w:cs="Times New Roman"/>
          <w:snapToGrid/>
          <w:color w:val="auto"/>
          <w:kern w:val="2"/>
          <w:sz w:val="32"/>
          <w:szCs w:val="32"/>
          <w:lang w:eastAsia="zh-CN"/>
        </w:rPr>
      </w:pPr>
      <w:r>
        <w:rPr>
          <w:rFonts w:hint="eastAsia" w:ascii="宋体" w:hAnsi="宋体" w:eastAsia="宋体" w:cs="宋体"/>
          <w:spacing w:val="-1"/>
          <w:lang w:eastAsia="zh-CN"/>
        </w:rPr>
        <w:t>3.本数据由云南省华宁县烟草专卖局负责解释，咨询电话：0877-5013425/0877-5021516。</w:t>
      </w:r>
    </w:p>
    <w:p w14:paraId="6426D73D">
      <w:pPr>
        <w:spacing w:before="55" w:line="343" w:lineRule="auto"/>
        <w:jc w:val="both"/>
        <w:rPr>
          <w:rFonts w:hint="eastAsia" w:ascii="仿宋_GB2312" w:hAnsi="仿宋_GB2312" w:eastAsia="仿宋_GB2312" w:cs="仿宋_GB2312"/>
          <w:spacing w:val="-2"/>
          <w:sz w:val="32"/>
          <w:szCs w:val="32"/>
          <w:lang w:eastAsia="zh-CN"/>
        </w:rPr>
      </w:pPr>
      <w:bookmarkStart w:id="2" w:name="_GoBack"/>
      <w:bookmarkEnd w:id="2"/>
    </w:p>
    <w:p w14:paraId="74B46312">
      <w:pPr>
        <w:spacing w:before="55" w:line="343" w:lineRule="auto"/>
        <w:jc w:val="both"/>
        <w:rPr>
          <w:rFonts w:hint="eastAsia" w:ascii="仿宋_GB2312" w:hAnsi="仿宋_GB2312" w:eastAsia="仿宋_GB2312" w:cs="仿宋_GB2312"/>
          <w:spacing w:val="-2"/>
          <w:sz w:val="32"/>
          <w:szCs w:val="32"/>
          <w:lang w:eastAsia="zh-CN"/>
        </w:rPr>
      </w:pPr>
    </w:p>
    <w:p w14:paraId="59917636">
      <w:pPr>
        <w:spacing w:before="55" w:line="343" w:lineRule="auto"/>
        <w:jc w:val="both"/>
        <w:rPr>
          <w:rFonts w:hint="eastAsia" w:ascii="仿宋_GB2312" w:hAnsi="仿宋_GB2312" w:eastAsia="仿宋_GB2312" w:cs="仿宋_GB2312"/>
          <w:spacing w:val="-2"/>
          <w:sz w:val="32"/>
          <w:szCs w:val="32"/>
          <w:lang w:eastAsia="zh-CN"/>
        </w:rPr>
      </w:pPr>
    </w:p>
    <w:p w14:paraId="0305382A">
      <w:pPr>
        <w:spacing w:before="55" w:line="343" w:lineRule="auto"/>
        <w:jc w:val="both"/>
        <w:rPr>
          <w:rFonts w:hint="eastAsia" w:ascii="仿宋_GB2312" w:hAnsi="仿宋_GB2312" w:eastAsia="仿宋_GB2312" w:cs="仿宋_GB2312"/>
          <w:spacing w:val="-2"/>
          <w:sz w:val="32"/>
          <w:szCs w:val="32"/>
          <w:lang w:eastAsia="zh-CN"/>
        </w:rPr>
        <w:sectPr>
          <w:footerReference r:id="rId4" w:type="default"/>
          <w:pgSz w:w="16838" w:h="11906" w:orient="landscape"/>
          <w:pgMar w:top="1800" w:right="1440" w:bottom="1800" w:left="1440" w:header="851" w:footer="992" w:gutter="0"/>
          <w:cols w:space="425" w:num="1"/>
          <w:docGrid w:type="lines" w:linePitch="312" w:charSpace="0"/>
        </w:sectPr>
      </w:pPr>
    </w:p>
    <w:p w14:paraId="016F61E2">
      <w:pPr>
        <w:widowControl w:val="0"/>
        <w:kinsoku/>
        <w:autoSpaceDE/>
        <w:autoSpaceDN/>
        <w:adjustRightInd/>
        <w:snapToGrid/>
        <w:jc w:val="left"/>
        <w:textAlignment w:val="auto"/>
        <w:rPr>
          <w:rFonts w:hint="eastAsia" w:ascii="黑体" w:hAnsi="黑体" w:eastAsia="黑体" w:cstheme="minorBidi"/>
          <w:snapToGrid/>
          <w:kern w:val="2"/>
          <w:sz w:val="32"/>
          <w:szCs w:val="32"/>
          <w:lang w:eastAsia="zh-CN"/>
        </w:rPr>
      </w:pPr>
      <w:r>
        <w:rPr>
          <w:rFonts w:hint="eastAsia" w:ascii="黑体" w:hAnsi="黑体" w:eastAsia="黑体" w:cstheme="minorBidi"/>
          <w:snapToGrid/>
          <w:kern w:val="2"/>
          <w:sz w:val="32"/>
          <w:szCs w:val="32"/>
          <w:lang w:eastAsia="zh-CN"/>
        </w:rPr>
        <w:t>附件3</w:t>
      </w:r>
    </w:p>
    <w:p w14:paraId="25FC5AEF">
      <w:pPr>
        <w:widowControl w:val="0"/>
        <w:kinsoku/>
        <w:autoSpaceDE/>
        <w:autoSpaceDN/>
        <w:adjustRightInd/>
        <w:snapToGrid/>
        <w:jc w:val="left"/>
        <w:textAlignment w:val="auto"/>
        <w:rPr>
          <w:rFonts w:hint="eastAsia" w:ascii="黑体" w:hAnsi="黑体" w:eastAsia="黑体" w:cstheme="minorBidi"/>
          <w:snapToGrid/>
          <w:kern w:val="2"/>
          <w:sz w:val="32"/>
          <w:szCs w:val="32"/>
          <w:lang w:eastAsia="zh-CN"/>
        </w:rPr>
      </w:pPr>
      <w:r>
        <w:rPr>
          <w:rFonts w:hint="eastAsia" w:ascii="黑体" w:hAnsi="黑体" w:eastAsia="黑体" w:cstheme="minorBidi"/>
          <w:snapToGrid/>
          <w:kern w:val="2"/>
          <w:sz w:val="32"/>
          <w:szCs w:val="32"/>
          <w:lang w:eastAsia="zh-CN"/>
        </w:rPr>
        <w:drawing>
          <wp:anchor distT="0" distB="0" distL="114300" distR="114300" simplePos="0" relativeHeight="251659264" behindDoc="0" locked="0" layoutInCell="1" allowOverlap="1">
            <wp:simplePos x="0" y="0"/>
            <wp:positionH relativeFrom="margin">
              <wp:posOffset>-259080</wp:posOffset>
            </wp:positionH>
            <wp:positionV relativeFrom="margin">
              <wp:posOffset>885190</wp:posOffset>
            </wp:positionV>
            <wp:extent cx="5763260" cy="7847965"/>
            <wp:effectExtent l="0" t="0" r="8890" b="635"/>
            <wp:wrapNone/>
            <wp:docPr id="4" name="图片 4" descr="E:\许可证\2024年\合理布局\华宁县网格\华宁县网格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许可证\2024年\合理布局\华宁县网格\华宁县网格图.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763260" cy="7847965"/>
                    </a:xfrm>
                    <a:prstGeom prst="rect">
                      <a:avLst/>
                    </a:prstGeom>
                    <a:noFill/>
                    <a:ln>
                      <a:noFill/>
                    </a:ln>
                  </pic:spPr>
                </pic:pic>
              </a:graphicData>
            </a:graphic>
          </wp:anchor>
        </w:drawing>
      </w:r>
      <w:r>
        <w:rPr>
          <w:rFonts w:hint="eastAsia" w:ascii="黑体" w:hAnsi="黑体" w:eastAsia="黑体" w:cstheme="minorBidi"/>
          <w:snapToGrid/>
          <w:kern w:val="2"/>
          <w:sz w:val="32"/>
          <w:szCs w:val="32"/>
          <w:lang w:eastAsia="zh-CN"/>
        </w:rPr>
        <w:t>云南省华宁县烟草制品雪茄烟专营外零售点合理布局网格示意图</w:t>
      </w:r>
    </w:p>
    <w:p w14:paraId="50E7AE3D">
      <w:pPr>
        <w:rPr>
          <w:rFonts w:hint="eastAsia"/>
        </w:rPr>
      </w:pPr>
    </w:p>
    <w:p w14:paraId="1748FEB7">
      <w:pPr>
        <w:rPr>
          <w:rFonts w:hint="eastAsia"/>
        </w:rPr>
      </w:pPr>
    </w:p>
    <w:p w14:paraId="1E397A3A">
      <w:pPr>
        <w:rPr>
          <w:rFonts w:hint="eastAsia"/>
        </w:rPr>
      </w:pPr>
    </w:p>
    <w:p w14:paraId="66605FBC">
      <w:pPr>
        <w:rPr>
          <w:rFonts w:hint="eastAsia"/>
        </w:rPr>
      </w:pPr>
    </w:p>
    <w:p w14:paraId="1A45A46A">
      <w:pPr>
        <w:rPr>
          <w:rFonts w:hint="eastAsia"/>
        </w:rPr>
      </w:pPr>
    </w:p>
    <w:p w14:paraId="7CC1264F">
      <w:pPr>
        <w:rPr>
          <w:rFonts w:hint="eastAsia"/>
        </w:rPr>
      </w:pPr>
    </w:p>
    <w:p w14:paraId="18E7A08F">
      <w:pPr>
        <w:rPr>
          <w:rFonts w:hint="eastAsia"/>
        </w:rPr>
      </w:pPr>
    </w:p>
    <w:p w14:paraId="09074B2B">
      <w:pPr>
        <w:rPr>
          <w:rFonts w:hint="eastAsia"/>
        </w:rPr>
      </w:pPr>
    </w:p>
    <w:p w14:paraId="77DB7374">
      <w:pPr>
        <w:rPr>
          <w:rFonts w:hint="eastAsia"/>
        </w:rPr>
      </w:pPr>
    </w:p>
    <w:p w14:paraId="38E92A3E">
      <w:pPr>
        <w:rPr>
          <w:rFonts w:hint="eastAsia"/>
        </w:rPr>
      </w:pPr>
    </w:p>
    <w:p w14:paraId="64066529">
      <w:pPr>
        <w:rPr>
          <w:rFonts w:hint="eastAsia"/>
        </w:rPr>
      </w:pPr>
    </w:p>
    <w:p w14:paraId="6463D186">
      <w:pPr>
        <w:rPr>
          <w:rFonts w:hint="eastAsia"/>
        </w:rPr>
      </w:pPr>
    </w:p>
    <w:p w14:paraId="6469F6A4">
      <w:pPr>
        <w:rPr>
          <w:rFonts w:hint="eastAsia"/>
        </w:rPr>
      </w:pPr>
    </w:p>
    <w:p w14:paraId="5027E02C">
      <w:pPr>
        <w:rPr>
          <w:rFonts w:hint="eastAsia"/>
        </w:rPr>
      </w:pPr>
    </w:p>
    <w:p w14:paraId="24CFD5B9">
      <w:pPr>
        <w:rPr>
          <w:rFonts w:hint="eastAsia"/>
        </w:rPr>
      </w:pPr>
    </w:p>
    <w:p w14:paraId="5446D699">
      <w:pPr>
        <w:rPr>
          <w:rFonts w:hint="eastAsia"/>
        </w:rPr>
      </w:pPr>
    </w:p>
    <w:p w14:paraId="3CA394DB">
      <w:pPr>
        <w:rPr>
          <w:rFonts w:hint="eastAsia"/>
        </w:rPr>
      </w:pPr>
    </w:p>
    <w:p w14:paraId="6A927743">
      <w:pPr>
        <w:rPr>
          <w:rFonts w:hint="eastAsia"/>
        </w:rPr>
      </w:pPr>
    </w:p>
    <w:p w14:paraId="0FF64027">
      <w:pPr>
        <w:rPr>
          <w:rFonts w:hint="eastAsia"/>
        </w:rPr>
      </w:pPr>
    </w:p>
    <w:p w14:paraId="7507C07A">
      <w:pPr>
        <w:rPr>
          <w:rFonts w:hint="eastAsia"/>
        </w:rPr>
      </w:pPr>
    </w:p>
    <w:p w14:paraId="418B8F86">
      <w:pPr>
        <w:rPr>
          <w:rFonts w:hint="eastAsia"/>
        </w:rPr>
      </w:pPr>
      <w:r>
        <w:t>宁州街道</w:t>
      </w:r>
      <w:r>
        <w:rPr>
          <w:rFonts w:hint="eastAsia"/>
        </w:rPr>
        <w:t>_1网格示意图</w:t>
      </w:r>
    </w:p>
    <w:p w14:paraId="62BEEB42">
      <w:pPr>
        <w:rPr>
          <w:rFonts w:hint="eastAsia"/>
        </w:rPr>
      </w:pPr>
    </w:p>
    <w:p w14:paraId="4D147153">
      <w:pPr>
        <w:rPr>
          <w:rFonts w:hint="eastAsia"/>
        </w:rPr>
      </w:pPr>
    </w:p>
    <w:p w14:paraId="2D688738">
      <w:pPr>
        <w:rPr>
          <w:rFonts w:hint="eastAsia"/>
        </w:rPr>
      </w:pPr>
    </w:p>
    <w:p w14:paraId="6F87DDBD">
      <w:pPr>
        <w:rPr>
          <w:rFonts w:hint="eastAsia"/>
        </w:rPr>
      </w:pPr>
    </w:p>
    <w:p w14:paraId="4B7192FB">
      <w:pPr>
        <w:rPr>
          <w:rFonts w:hint="eastAsia"/>
        </w:rPr>
      </w:pPr>
    </w:p>
    <w:p w14:paraId="55E62B5C">
      <w:pPr>
        <w:rPr>
          <w:rFonts w:hint="eastAsia"/>
        </w:rPr>
      </w:pPr>
    </w:p>
    <w:p w14:paraId="2FD3B86D">
      <w:pPr>
        <w:rPr>
          <w:rFonts w:hint="eastAsia"/>
        </w:rPr>
      </w:pPr>
    </w:p>
    <w:p w14:paraId="77FEA069">
      <w:pPr>
        <w:rPr>
          <w:rFonts w:hint="eastAsia"/>
        </w:rPr>
      </w:pPr>
    </w:p>
    <w:p w14:paraId="2BE09EB0">
      <w:pPr>
        <w:rPr>
          <w:rFonts w:hint="eastAsia"/>
        </w:rPr>
      </w:pPr>
    </w:p>
    <w:p w14:paraId="5618915F">
      <w:pPr>
        <w:rPr>
          <w:rFonts w:hint="eastAsia"/>
        </w:rPr>
      </w:pPr>
    </w:p>
    <w:p w14:paraId="1D918012">
      <w:pPr>
        <w:rPr>
          <w:rFonts w:hint="eastAsia"/>
        </w:rPr>
      </w:pPr>
    </w:p>
    <w:p w14:paraId="20DDF8E3">
      <w:pPr>
        <w:rPr>
          <w:rFonts w:hint="eastAsia"/>
        </w:rPr>
      </w:pPr>
    </w:p>
    <w:p w14:paraId="5D6B2F68">
      <w:pPr>
        <w:rPr>
          <w:rFonts w:hint="eastAsia"/>
        </w:rPr>
      </w:pPr>
    </w:p>
    <w:p w14:paraId="53E57448">
      <w:pPr>
        <w:rPr>
          <w:rFonts w:hint="eastAsia"/>
        </w:rPr>
      </w:pPr>
    </w:p>
    <w:p w14:paraId="04563B71">
      <w:pPr>
        <w:rPr>
          <w:rFonts w:hint="eastAsia"/>
        </w:rPr>
      </w:pPr>
    </w:p>
    <w:p w14:paraId="335274BA">
      <w:pPr>
        <w:rPr>
          <w:rFonts w:hint="eastAsia"/>
        </w:rPr>
      </w:pPr>
    </w:p>
    <w:p w14:paraId="1E251C43">
      <w:pPr>
        <w:rPr>
          <w:rFonts w:hint="eastAsia"/>
        </w:rPr>
      </w:pPr>
    </w:p>
    <w:p w14:paraId="2FDD8BA8">
      <w:pPr>
        <w:rPr>
          <w:rFonts w:hint="eastAsia"/>
        </w:rPr>
      </w:pPr>
    </w:p>
    <w:p w14:paraId="02781CD0">
      <w:pPr>
        <w:rPr>
          <w:rFonts w:hint="eastAsia"/>
        </w:rPr>
      </w:pPr>
    </w:p>
    <w:p w14:paraId="44C787C4">
      <w:pPr>
        <w:rPr>
          <w:rFonts w:hint="eastAsia"/>
        </w:rPr>
      </w:pPr>
    </w:p>
    <w:p w14:paraId="049EAA02">
      <w:pPr>
        <w:rPr>
          <w:rFonts w:hint="eastAsia"/>
        </w:rPr>
      </w:pPr>
    </w:p>
    <w:p w14:paraId="1F1EFC7A">
      <w:pPr>
        <w:rPr>
          <w:rFonts w:hint="eastAsia"/>
        </w:rPr>
      </w:pPr>
    </w:p>
    <w:p w14:paraId="6B81CD81">
      <w:pPr>
        <w:rPr>
          <w:rFonts w:hint="eastAsia"/>
        </w:rPr>
      </w:pPr>
    </w:p>
    <w:p w14:paraId="5951C02A">
      <w:pPr>
        <w:rPr>
          <w:rFonts w:hint="eastAsia"/>
        </w:rPr>
      </w:pPr>
    </w:p>
    <w:p w14:paraId="4A8B5236">
      <w:pPr>
        <w:rPr>
          <w:rFonts w:hint="eastAsia"/>
        </w:rPr>
      </w:pPr>
    </w:p>
    <w:p w14:paraId="5730F921">
      <w:pPr>
        <w:rPr>
          <w:rFonts w:hint="eastAsia"/>
        </w:rPr>
      </w:pPr>
    </w:p>
    <w:p w14:paraId="526A3A30">
      <w:pPr>
        <w:rPr>
          <w:rFonts w:hint="eastAsia"/>
        </w:rPr>
      </w:pPr>
    </w:p>
    <w:p w14:paraId="28EAA10B">
      <w:pPr>
        <w:rPr>
          <w:rFonts w:hint="eastAsia"/>
        </w:rPr>
      </w:pPr>
    </w:p>
    <w:p w14:paraId="76D3B636">
      <w:pPr>
        <w:widowControl w:val="0"/>
        <w:kinsoku/>
        <w:autoSpaceDE/>
        <w:autoSpaceDN/>
        <w:adjustRightInd/>
        <w:snapToGrid/>
        <w:jc w:val="center"/>
        <w:textAlignment w:val="auto"/>
        <w:rPr>
          <w:rFonts w:ascii="黑体" w:hAnsi="黑体" w:eastAsia="黑体" w:cstheme="minorBidi"/>
          <w:snapToGrid/>
          <w:kern w:val="2"/>
          <w:sz w:val="32"/>
          <w:szCs w:val="32"/>
          <w:lang w:eastAsia="zh-CN"/>
        </w:rPr>
      </w:pPr>
    </w:p>
    <w:p w14:paraId="02304A53">
      <w:pPr>
        <w:widowControl w:val="0"/>
        <w:kinsoku/>
        <w:autoSpaceDE/>
        <w:autoSpaceDN/>
        <w:adjustRightInd/>
        <w:snapToGrid/>
        <w:jc w:val="center"/>
        <w:textAlignment w:val="auto"/>
        <w:rPr>
          <w:rFonts w:hint="eastAsia"/>
        </w:rPr>
      </w:pPr>
      <w:r>
        <w:rPr>
          <w:rFonts w:ascii="黑体" w:hAnsi="黑体" w:eastAsia="黑体" w:cstheme="minorBidi"/>
          <w:snapToGrid/>
          <w:kern w:val="2"/>
          <w:sz w:val="32"/>
          <w:szCs w:val="32"/>
          <w:lang w:eastAsia="zh-CN"/>
        </w:rPr>
        <w:t>宁州街道</w:t>
      </w:r>
      <w:r>
        <w:rPr>
          <w:rFonts w:hint="eastAsia" w:ascii="黑体" w:hAnsi="黑体" w:eastAsia="黑体" w:cstheme="minorBidi"/>
          <w:snapToGrid/>
          <w:kern w:val="2"/>
          <w:sz w:val="32"/>
          <w:szCs w:val="32"/>
          <w:lang w:eastAsia="zh-CN"/>
        </w:rPr>
        <w:t>_1网格示意图</w:t>
      </w:r>
    </w:p>
    <w:p w14:paraId="0991C265">
      <w:pPr>
        <w:rPr>
          <w:rFonts w:hint="eastAsia"/>
        </w:rPr>
      </w:pPr>
      <w:r>
        <w:rPr>
          <w:rFonts w:hint="eastAsia" w:eastAsia="黑体"/>
          <w:lang w:eastAsia="zh-CN"/>
        </w:rPr>
        <w:drawing>
          <wp:anchor distT="0" distB="0" distL="114300" distR="114300" simplePos="0" relativeHeight="251660288" behindDoc="0" locked="0" layoutInCell="1" allowOverlap="1">
            <wp:simplePos x="0" y="0"/>
            <wp:positionH relativeFrom="column">
              <wp:posOffset>-285750</wp:posOffset>
            </wp:positionH>
            <wp:positionV relativeFrom="paragraph">
              <wp:posOffset>350520</wp:posOffset>
            </wp:positionV>
            <wp:extent cx="5763895" cy="6174740"/>
            <wp:effectExtent l="0" t="0" r="8255" b="16510"/>
            <wp:wrapNone/>
            <wp:docPr id="5" name="图片 5" descr="宁州街道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宁州街道_1"/>
                    <pic:cNvPicPr>
                      <a:picLocks noChangeAspect="1"/>
                    </pic:cNvPicPr>
                  </pic:nvPicPr>
                  <pic:blipFill>
                    <a:blip r:embed="rId26"/>
                    <a:stretch>
                      <a:fillRect/>
                    </a:stretch>
                  </pic:blipFill>
                  <pic:spPr>
                    <a:xfrm>
                      <a:off x="0" y="0"/>
                      <a:ext cx="5763895" cy="6174740"/>
                    </a:xfrm>
                    <a:prstGeom prst="rect">
                      <a:avLst/>
                    </a:prstGeom>
                  </pic:spPr>
                </pic:pic>
              </a:graphicData>
            </a:graphic>
          </wp:anchor>
        </w:drawing>
      </w:r>
    </w:p>
    <w:p w14:paraId="687801FA">
      <w:pPr>
        <w:rPr>
          <w:rFonts w:hint="eastAsia" w:eastAsia="黑体"/>
          <w:lang w:eastAsia="zh-CN"/>
        </w:rPr>
      </w:pPr>
    </w:p>
    <w:p w14:paraId="624548E9"/>
    <w:p w14:paraId="3BAD690E">
      <w:pPr>
        <w:spacing w:before="55" w:line="343" w:lineRule="auto"/>
        <w:jc w:val="both"/>
        <w:rPr>
          <w:rFonts w:hint="eastAsia" w:ascii="仿宋_GB2312" w:hAnsi="仿宋_GB2312" w:eastAsia="仿宋_GB2312" w:cs="仿宋_GB2312"/>
          <w:spacing w:val="-2"/>
          <w:sz w:val="32"/>
          <w:szCs w:val="32"/>
          <w:lang w:eastAsia="zh-CN"/>
        </w:rPr>
      </w:pPr>
    </w:p>
    <w:p w14:paraId="42235D2A">
      <w:pPr>
        <w:spacing w:before="55" w:line="343" w:lineRule="auto"/>
        <w:jc w:val="both"/>
        <w:rPr>
          <w:rFonts w:hint="eastAsia" w:ascii="仿宋_GB2312" w:hAnsi="仿宋_GB2312" w:eastAsia="仿宋_GB2312" w:cs="仿宋_GB2312"/>
          <w:spacing w:val="-2"/>
          <w:sz w:val="32"/>
          <w:szCs w:val="32"/>
          <w:lang w:eastAsia="zh-CN"/>
        </w:rPr>
      </w:pPr>
    </w:p>
    <w:p w14:paraId="56E6D0B0">
      <w:pPr>
        <w:spacing w:before="55" w:line="343" w:lineRule="auto"/>
        <w:jc w:val="both"/>
        <w:rPr>
          <w:rFonts w:hint="eastAsia" w:ascii="仿宋_GB2312" w:hAnsi="仿宋_GB2312" w:eastAsia="仿宋_GB2312" w:cs="仿宋_GB2312"/>
          <w:spacing w:val="-2"/>
          <w:sz w:val="32"/>
          <w:szCs w:val="32"/>
          <w:lang w:eastAsia="zh-CN"/>
        </w:rPr>
      </w:pPr>
    </w:p>
    <w:p w14:paraId="325EDF5C">
      <w:pPr>
        <w:spacing w:before="55" w:line="343" w:lineRule="auto"/>
        <w:jc w:val="both"/>
        <w:rPr>
          <w:rFonts w:hint="eastAsia" w:ascii="仿宋_GB2312" w:hAnsi="仿宋_GB2312" w:eastAsia="仿宋_GB2312" w:cs="仿宋_GB2312"/>
          <w:spacing w:val="-2"/>
          <w:sz w:val="32"/>
          <w:szCs w:val="32"/>
          <w:lang w:eastAsia="zh-CN"/>
        </w:rPr>
      </w:pPr>
    </w:p>
    <w:p w14:paraId="2D6862A4">
      <w:pPr>
        <w:spacing w:before="55" w:line="343" w:lineRule="auto"/>
        <w:jc w:val="both"/>
        <w:rPr>
          <w:rFonts w:hint="eastAsia" w:ascii="仿宋_GB2312" w:hAnsi="仿宋_GB2312" w:eastAsia="仿宋_GB2312" w:cs="仿宋_GB2312"/>
          <w:spacing w:val="-2"/>
          <w:sz w:val="32"/>
          <w:szCs w:val="32"/>
          <w:lang w:eastAsia="zh-CN"/>
        </w:rPr>
      </w:pPr>
    </w:p>
    <w:p w14:paraId="056EEC16">
      <w:pPr>
        <w:spacing w:before="55" w:line="343" w:lineRule="auto"/>
        <w:jc w:val="both"/>
        <w:rPr>
          <w:rFonts w:hint="eastAsia" w:ascii="仿宋_GB2312" w:hAnsi="仿宋_GB2312" w:eastAsia="仿宋_GB2312" w:cs="仿宋_GB2312"/>
          <w:spacing w:val="-2"/>
          <w:sz w:val="32"/>
          <w:szCs w:val="32"/>
          <w:lang w:eastAsia="zh-CN"/>
        </w:rPr>
      </w:pPr>
    </w:p>
    <w:p w14:paraId="53746633">
      <w:pPr>
        <w:spacing w:before="55" w:line="343" w:lineRule="auto"/>
        <w:jc w:val="both"/>
        <w:rPr>
          <w:rFonts w:hint="eastAsia" w:ascii="仿宋_GB2312" w:hAnsi="仿宋_GB2312" w:eastAsia="仿宋_GB2312" w:cs="仿宋_GB2312"/>
          <w:spacing w:val="-2"/>
          <w:sz w:val="32"/>
          <w:szCs w:val="32"/>
          <w:lang w:eastAsia="zh-CN"/>
        </w:rPr>
      </w:pPr>
    </w:p>
    <w:p w14:paraId="1723735B">
      <w:pPr>
        <w:spacing w:before="55" w:line="343" w:lineRule="auto"/>
        <w:jc w:val="both"/>
        <w:rPr>
          <w:rFonts w:hint="eastAsia" w:ascii="仿宋_GB2312" w:hAnsi="仿宋_GB2312" w:eastAsia="仿宋_GB2312" w:cs="仿宋_GB2312"/>
          <w:spacing w:val="-2"/>
          <w:sz w:val="32"/>
          <w:szCs w:val="32"/>
          <w:lang w:eastAsia="zh-CN"/>
        </w:rPr>
      </w:pPr>
    </w:p>
    <w:p w14:paraId="5FEC63F2">
      <w:pPr>
        <w:spacing w:before="55" w:line="343" w:lineRule="auto"/>
        <w:jc w:val="both"/>
        <w:rPr>
          <w:rFonts w:hint="eastAsia" w:ascii="仿宋_GB2312" w:hAnsi="仿宋_GB2312" w:eastAsia="仿宋_GB2312" w:cs="仿宋_GB2312"/>
          <w:spacing w:val="-2"/>
          <w:sz w:val="32"/>
          <w:szCs w:val="32"/>
          <w:lang w:eastAsia="zh-CN"/>
        </w:rPr>
      </w:pPr>
    </w:p>
    <w:p w14:paraId="6F58FFE5">
      <w:pPr>
        <w:spacing w:before="55" w:line="343" w:lineRule="auto"/>
        <w:jc w:val="both"/>
        <w:rPr>
          <w:rFonts w:hint="eastAsia" w:ascii="仿宋_GB2312" w:hAnsi="仿宋_GB2312" w:eastAsia="仿宋_GB2312" w:cs="仿宋_GB2312"/>
          <w:spacing w:val="-2"/>
          <w:sz w:val="32"/>
          <w:szCs w:val="32"/>
          <w:lang w:eastAsia="zh-CN"/>
        </w:rPr>
      </w:pPr>
    </w:p>
    <w:p w14:paraId="16FC3A2A">
      <w:pPr>
        <w:spacing w:before="55" w:line="343" w:lineRule="auto"/>
        <w:jc w:val="both"/>
        <w:rPr>
          <w:rFonts w:hint="eastAsia" w:ascii="仿宋_GB2312" w:hAnsi="仿宋_GB2312" w:eastAsia="仿宋_GB2312" w:cs="仿宋_GB2312"/>
          <w:spacing w:val="-2"/>
          <w:sz w:val="32"/>
          <w:szCs w:val="32"/>
          <w:lang w:eastAsia="zh-CN"/>
        </w:rPr>
      </w:pPr>
    </w:p>
    <w:p w14:paraId="4177F8BE">
      <w:pPr>
        <w:spacing w:before="55" w:line="343" w:lineRule="auto"/>
        <w:jc w:val="both"/>
        <w:rPr>
          <w:rFonts w:hint="eastAsia" w:ascii="仿宋_GB2312" w:hAnsi="仿宋_GB2312" w:eastAsia="仿宋_GB2312" w:cs="仿宋_GB2312"/>
          <w:spacing w:val="-2"/>
          <w:sz w:val="32"/>
          <w:szCs w:val="32"/>
          <w:lang w:eastAsia="zh-CN"/>
        </w:rPr>
      </w:pPr>
    </w:p>
    <w:p w14:paraId="7E1D5DE5">
      <w:pPr>
        <w:spacing w:before="55" w:line="343" w:lineRule="auto"/>
        <w:jc w:val="both"/>
        <w:rPr>
          <w:rFonts w:hint="eastAsia" w:ascii="仿宋_GB2312" w:hAnsi="仿宋_GB2312" w:eastAsia="仿宋_GB2312" w:cs="仿宋_GB2312"/>
          <w:spacing w:val="-2"/>
          <w:sz w:val="32"/>
          <w:szCs w:val="32"/>
          <w:lang w:eastAsia="zh-CN"/>
        </w:rPr>
      </w:pPr>
    </w:p>
    <w:p w14:paraId="32849C65">
      <w:pPr>
        <w:spacing w:before="55" w:line="343" w:lineRule="auto"/>
        <w:jc w:val="both"/>
        <w:rPr>
          <w:rFonts w:hint="eastAsia" w:ascii="仿宋_GB2312" w:hAnsi="仿宋_GB2312" w:eastAsia="仿宋_GB2312" w:cs="仿宋_GB2312"/>
          <w:spacing w:val="-2"/>
          <w:sz w:val="32"/>
          <w:szCs w:val="32"/>
          <w:lang w:eastAsia="zh-CN"/>
        </w:rPr>
      </w:pPr>
    </w:p>
    <w:p w14:paraId="71AE1535">
      <w:pPr>
        <w:spacing w:before="55" w:line="343" w:lineRule="auto"/>
        <w:jc w:val="both"/>
        <w:rPr>
          <w:rFonts w:hint="eastAsia" w:ascii="仿宋_GB2312" w:hAnsi="仿宋_GB2312" w:eastAsia="仿宋_GB2312" w:cs="仿宋_GB2312"/>
          <w:spacing w:val="-2"/>
          <w:sz w:val="32"/>
          <w:szCs w:val="32"/>
          <w:lang w:eastAsia="zh-CN"/>
        </w:rPr>
      </w:pPr>
    </w:p>
    <w:p w14:paraId="649844DE">
      <w:pPr>
        <w:spacing w:before="55" w:line="343" w:lineRule="auto"/>
        <w:jc w:val="both"/>
        <w:rPr>
          <w:rFonts w:hint="eastAsia" w:ascii="仿宋_GB2312" w:hAnsi="仿宋_GB2312" w:eastAsia="仿宋_GB2312" w:cs="仿宋_GB2312"/>
          <w:spacing w:val="-2"/>
          <w:sz w:val="32"/>
          <w:szCs w:val="32"/>
          <w:lang w:eastAsia="zh-CN"/>
        </w:rPr>
      </w:pPr>
    </w:p>
    <w:p w14:paraId="2484B91A">
      <w:pPr>
        <w:spacing w:before="55" w:line="343" w:lineRule="auto"/>
        <w:jc w:val="both"/>
        <w:rPr>
          <w:rFonts w:hint="eastAsia" w:ascii="仿宋_GB2312" w:hAnsi="仿宋_GB2312" w:eastAsia="仿宋_GB2312" w:cs="仿宋_GB2312"/>
          <w:spacing w:val="-2"/>
          <w:sz w:val="32"/>
          <w:szCs w:val="32"/>
          <w:lang w:eastAsia="zh-CN"/>
        </w:rPr>
      </w:pPr>
    </w:p>
    <w:p w14:paraId="19FB84D9">
      <w:pPr>
        <w:spacing w:before="55" w:line="343" w:lineRule="auto"/>
        <w:jc w:val="both"/>
        <w:rPr>
          <w:rFonts w:hint="eastAsia" w:ascii="仿宋_GB2312" w:hAnsi="仿宋_GB2312" w:eastAsia="仿宋_GB2312" w:cs="仿宋_GB2312"/>
          <w:spacing w:val="-2"/>
          <w:sz w:val="32"/>
          <w:szCs w:val="32"/>
          <w:lang w:eastAsia="zh-CN"/>
        </w:rPr>
      </w:pPr>
    </w:p>
    <w:p w14:paraId="2DF89EE0">
      <w:pPr>
        <w:spacing w:before="55" w:line="343" w:lineRule="auto"/>
        <w:jc w:val="both"/>
        <w:rPr>
          <w:rFonts w:hint="eastAsia" w:ascii="仿宋_GB2312" w:hAnsi="仿宋_GB2312" w:eastAsia="仿宋_GB2312" w:cs="仿宋_GB2312"/>
          <w:spacing w:val="-2"/>
          <w:sz w:val="32"/>
          <w:szCs w:val="32"/>
          <w:lang w:eastAsia="zh-CN"/>
        </w:rPr>
        <w:sectPr>
          <w:pgSz w:w="11906" w:h="16838"/>
          <w:pgMar w:top="1440" w:right="1797" w:bottom="1440" w:left="1797" w:header="851" w:footer="992" w:gutter="0"/>
          <w:cols w:space="425" w:num="1"/>
          <w:docGrid w:type="linesAndChars" w:linePitch="312" w:charSpace="0"/>
        </w:sectPr>
      </w:pPr>
    </w:p>
    <w:p w14:paraId="35A1E486">
      <w:pPr>
        <w:spacing w:before="104" w:line="224" w:lineRule="auto"/>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附件4</w:t>
      </w:r>
    </w:p>
    <w:p w14:paraId="57F9BA64">
      <w:pPr>
        <w:spacing w:before="42" w:line="317" w:lineRule="auto"/>
        <w:jc w:val="center"/>
        <w:rPr>
          <w:rFonts w:ascii="方正小标宋简体" w:hAnsi="Times New Roman" w:eastAsia="方正小标宋简体" w:cs="Times New Roman"/>
          <w:sz w:val="44"/>
          <w:szCs w:val="44"/>
          <w:lang w:eastAsia="zh-CN"/>
        </w:rPr>
      </w:pPr>
      <w:r>
        <w:rPr>
          <w:rFonts w:hint="eastAsia" w:ascii="方正小标宋简体" w:hAnsi="Times New Roman" w:eastAsia="方正小标宋简体" w:cs="Times New Roman"/>
          <w:sz w:val="44"/>
          <w:szCs w:val="44"/>
          <w:lang w:eastAsia="zh-CN"/>
        </w:rPr>
        <w:t>云南省华宁县烟草专卖局雪茄烟专营零售点合理布局公示表</w:t>
      </w:r>
    </w:p>
    <w:p w14:paraId="5546AF68">
      <w:pPr>
        <w:ind w:firstLine="420" w:firstLineChars="200"/>
        <w:rPr>
          <w:rFonts w:hint="eastAsia" w:eastAsia="宋体"/>
          <w:lang w:eastAsia="zh-CN"/>
        </w:rPr>
      </w:pPr>
    </w:p>
    <w:p w14:paraId="23644EB7">
      <w:pPr>
        <w:ind w:firstLine="420" w:firstLineChars="200"/>
        <w:rPr>
          <w:rFonts w:hint="eastAsia" w:eastAsia="宋体"/>
          <w:lang w:eastAsia="zh-CN"/>
        </w:rPr>
      </w:pPr>
    </w:p>
    <w:p w14:paraId="6F3AC1A9">
      <w:pPr>
        <w:ind w:firstLine="420" w:firstLineChars="200"/>
        <w:rPr>
          <w:lang w:eastAsia="zh-CN"/>
        </w:rPr>
      </w:pPr>
      <w:r>
        <w:rPr>
          <w:rFonts w:hint="eastAsia" w:eastAsia="宋体"/>
          <w:lang w:eastAsia="zh-CN"/>
        </w:rPr>
        <w:t>单位：云南省华宁县</w:t>
      </w:r>
      <w:r>
        <w:rPr>
          <w:rFonts w:hint="eastAsia" w:ascii="宋体" w:hAnsi="宋体" w:eastAsia="宋体" w:cs="宋体"/>
          <w:lang w:eastAsia="zh-CN"/>
        </w:rPr>
        <w:t>烟草专卖局</w:t>
      </w:r>
      <w:r>
        <w:rPr>
          <w:rFonts w:hint="eastAsia" w:eastAsia="宋体"/>
          <w:lang w:eastAsia="zh-CN"/>
        </w:rPr>
        <w:t>（盖章）                                             公示时间：</w:t>
      </w:r>
      <w:r>
        <w:rPr>
          <w:rFonts w:hint="eastAsia"/>
          <w:lang w:eastAsia="zh-CN"/>
        </w:rPr>
        <w:t>202</w:t>
      </w:r>
      <w:r>
        <w:rPr>
          <w:rFonts w:hint="eastAsia"/>
          <w:lang w:val="en-US" w:eastAsia="zh-CN"/>
        </w:rPr>
        <w:t>6</w:t>
      </w:r>
      <w:r>
        <w:rPr>
          <w:lang w:eastAsia="zh-CN"/>
        </w:rPr>
        <w:t>年</w:t>
      </w:r>
      <w:r>
        <w:rPr>
          <w:rFonts w:hint="eastAsia"/>
          <w:lang w:val="en-US" w:eastAsia="zh-CN"/>
        </w:rPr>
        <w:t>XX</w:t>
      </w:r>
      <w:r>
        <w:rPr>
          <w:lang w:eastAsia="zh-CN"/>
        </w:rPr>
        <w:t>月</w:t>
      </w:r>
      <w:r>
        <w:rPr>
          <w:rFonts w:hint="eastAsia"/>
          <w:lang w:val="en-US" w:eastAsia="zh-CN"/>
        </w:rPr>
        <w:t>XX</w:t>
      </w:r>
      <w:r>
        <w:rPr>
          <w:lang w:eastAsia="zh-CN"/>
        </w:rPr>
        <w:t>日</w:t>
      </w:r>
      <w:r>
        <w:rPr>
          <w:rFonts w:hint="eastAsia"/>
          <w:lang w:eastAsia="zh-CN"/>
        </w:rPr>
        <w:t>-202</w:t>
      </w:r>
      <w:r>
        <w:rPr>
          <w:rFonts w:hint="eastAsia"/>
          <w:lang w:val="en-US" w:eastAsia="zh-CN"/>
        </w:rPr>
        <w:t>6</w:t>
      </w:r>
      <w:r>
        <w:rPr>
          <w:lang w:eastAsia="zh-CN"/>
        </w:rPr>
        <w:t>年</w:t>
      </w:r>
      <w:r>
        <w:rPr>
          <w:rFonts w:hint="eastAsia"/>
          <w:lang w:val="en-US" w:eastAsia="zh-CN"/>
        </w:rPr>
        <w:t>XX</w:t>
      </w:r>
      <w:r>
        <w:rPr>
          <w:lang w:eastAsia="zh-CN"/>
        </w:rPr>
        <w:t>月</w:t>
      </w:r>
      <w:r>
        <w:rPr>
          <w:rFonts w:hint="eastAsia"/>
          <w:lang w:val="en-US" w:eastAsia="zh-CN"/>
        </w:rPr>
        <w:t>XX</w:t>
      </w:r>
      <w:r>
        <w:rPr>
          <w:lang w:eastAsia="zh-CN"/>
        </w:rPr>
        <w:t>日</w:t>
      </w:r>
    </w:p>
    <w:tbl>
      <w:tblPr>
        <w:tblStyle w:val="9"/>
        <w:tblpPr w:leftFromText="180" w:rightFromText="180" w:vertAnchor="text" w:horzAnchor="margin" w:tblpXSpec="center" w:tblpY="181"/>
        <w:tblOverlap w:val="never"/>
        <w:tblW w:w="472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73"/>
        <w:gridCol w:w="2836"/>
        <w:gridCol w:w="3118"/>
        <w:gridCol w:w="2836"/>
        <w:gridCol w:w="2126"/>
      </w:tblGrid>
      <w:tr w14:paraId="6F81F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862" w:type="pct"/>
            <w:tcBorders>
              <w:top w:val="single" w:color="auto" w:sz="4" w:space="0"/>
              <w:left w:val="single" w:color="auto" w:sz="4" w:space="0"/>
              <w:bottom w:val="single" w:color="auto" w:sz="4" w:space="0"/>
              <w:right w:val="single" w:color="auto" w:sz="4" w:space="0"/>
            </w:tcBorders>
            <w:vAlign w:val="center"/>
          </w:tcPr>
          <w:p w14:paraId="281882FA">
            <w:pPr>
              <w:jc w:val="center"/>
              <w:rPr>
                <w:rFonts w:eastAsia="宋体" w:asciiTheme="minorEastAsia" w:hAnsiTheme="minorEastAsia" w:cstheme="minorEastAsia"/>
                <w:sz w:val="22"/>
                <w:szCs w:val="22"/>
              </w:rPr>
            </w:pPr>
            <w:r>
              <w:rPr>
                <w:rFonts w:hint="eastAsia" w:ascii="宋体" w:hAnsi="宋体" w:eastAsia="宋体" w:cs="宋体"/>
                <w:b/>
                <w:bCs/>
                <w:sz w:val="24"/>
                <w:szCs w:val="24"/>
                <w:lang w:eastAsia="zh-CN" w:bidi="ar"/>
              </w:rPr>
              <w:t>名称</w:t>
            </w:r>
          </w:p>
        </w:tc>
        <w:tc>
          <w:tcPr>
            <w:tcW w:w="3332" w:type="pct"/>
            <w:gridSpan w:val="3"/>
            <w:tcBorders>
              <w:top w:val="single" w:color="auto" w:sz="4" w:space="0"/>
              <w:left w:val="single" w:color="auto" w:sz="4" w:space="0"/>
            </w:tcBorders>
            <w:vAlign w:val="center"/>
          </w:tcPr>
          <w:p w14:paraId="5C9F4585">
            <w:pPr>
              <w:ind w:left="241" w:hanging="240" w:hangingChars="100"/>
              <w:jc w:val="center"/>
              <w:rPr>
                <w:rFonts w:eastAsia="宋体" w:asciiTheme="minorEastAsia" w:hAnsiTheme="minorEastAsia" w:cstheme="minorEastAsia"/>
                <w:b/>
                <w:bCs/>
                <w:sz w:val="24"/>
                <w:szCs w:val="24"/>
                <w:lang w:eastAsia="zh-CN"/>
              </w:rPr>
            </w:pPr>
            <w:r>
              <w:rPr>
                <w:rFonts w:hint="eastAsia" w:ascii="宋体" w:hAnsi="宋体" w:eastAsia="宋体" w:cs="宋体"/>
                <w:b/>
                <w:bCs/>
                <w:sz w:val="24"/>
                <w:szCs w:val="24"/>
                <w:lang w:eastAsia="zh-CN" w:bidi="ar"/>
              </w:rPr>
              <w:t>雪茄烟专营零售点规划数量情况</w:t>
            </w:r>
          </w:p>
        </w:tc>
        <w:tc>
          <w:tcPr>
            <w:tcW w:w="806" w:type="pct"/>
            <w:tcBorders>
              <w:top w:val="single" w:color="auto" w:sz="4" w:space="0"/>
              <w:right w:val="single" w:color="auto" w:sz="4" w:space="0"/>
            </w:tcBorders>
            <w:vAlign w:val="center"/>
          </w:tcPr>
          <w:p w14:paraId="1C9B0275">
            <w:pPr>
              <w:ind w:left="19" w:right="79" w:rightChars="38" w:hanging="19" w:hangingChars="8"/>
              <w:jc w:val="center"/>
              <w:rPr>
                <w:rFonts w:eastAsia="宋体" w:asciiTheme="minorEastAsia" w:hAnsiTheme="minorEastAsia" w:cstheme="minorEastAsia"/>
                <w:b/>
                <w:bCs/>
                <w:spacing w:val="-1"/>
                <w:sz w:val="24"/>
                <w:szCs w:val="24"/>
              </w:rPr>
            </w:pPr>
            <w:r>
              <w:rPr>
                <w:rFonts w:hint="eastAsia" w:eastAsia="宋体" w:asciiTheme="minorEastAsia" w:hAnsiTheme="minorEastAsia" w:cstheme="minorEastAsia"/>
                <w:b/>
                <w:bCs/>
                <w:spacing w:val="-1"/>
                <w:sz w:val="24"/>
                <w:szCs w:val="24"/>
              </w:rPr>
              <w:t>备注</w:t>
            </w:r>
          </w:p>
        </w:tc>
      </w:tr>
      <w:tr w14:paraId="0ECE4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862" w:type="pct"/>
            <w:vMerge w:val="restart"/>
            <w:tcBorders>
              <w:top w:val="single" w:color="auto" w:sz="4" w:space="0"/>
              <w:left w:val="single" w:color="auto" w:sz="4" w:space="0"/>
              <w:right w:val="single" w:color="auto" w:sz="4" w:space="0"/>
            </w:tcBorders>
            <w:vAlign w:val="center"/>
          </w:tcPr>
          <w:p w14:paraId="45CBE4B5">
            <w:pPr>
              <w:jc w:val="center"/>
              <w:rPr>
                <w:rFonts w:eastAsia="宋体" w:asciiTheme="minorEastAsia" w:hAnsiTheme="minorEastAsia" w:cstheme="minorEastAsia"/>
                <w:sz w:val="22"/>
                <w:szCs w:val="22"/>
              </w:rPr>
            </w:pPr>
            <w:r>
              <w:rPr>
                <w:rFonts w:hint="eastAsia" w:eastAsia="宋体" w:asciiTheme="minorEastAsia" w:hAnsiTheme="minorEastAsia" w:cstheme="minorEastAsia"/>
                <w:sz w:val="22"/>
                <w:szCs w:val="22"/>
              </w:rPr>
              <w:t>华宁县</w:t>
            </w:r>
          </w:p>
        </w:tc>
        <w:tc>
          <w:tcPr>
            <w:tcW w:w="1075" w:type="pct"/>
            <w:vAlign w:val="center"/>
          </w:tcPr>
          <w:p w14:paraId="7D325045">
            <w:pPr>
              <w:jc w:val="center"/>
              <w:rPr>
                <w:rFonts w:eastAsia="宋体" w:asciiTheme="minorEastAsia" w:hAnsiTheme="minorEastAsia" w:cstheme="minorEastAsia"/>
                <w:sz w:val="22"/>
                <w:szCs w:val="22"/>
              </w:rPr>
            </w:pPr>
            <w:r>
              <w:rPr>
                <w:rFonts w:hint="eastAsia" w:eastAsia="宋体" w:asciiTheme="minorEastAsia" w:hAnsiTheme="minorEastAsia" w:cstheme="minorEastAsia"/>
                <w:sz w:val="22"/>
                <w:szCs w:val="22"/>
              </w:rPr>
              <w:t>规划数</w:t>
            </w:r>
            <w:r>
              <w:rPr>
                <w:rFonts w:hint="eastAsia" w:eastAsia="宋体" w:asciiTheme="minorEastAsia" w:hAnsiTheme="minorEastAsia" w:cstheme="minorEastAsia"/>
                <w:spacing w:val="-1"/>
                <w:sz w:val="22"/>
                <w:szCs w:val="22"/>
              </w:rPr>
              <w:t>（个）</w:t>
            </w:r>
          </w:p>
        </w:tc>
        <w:tc>
          <w:tcPr>
            <w:tcW w:w="1182" w:type="pct"/>
            <w:vAlign w:val="center"/>
          </w:tcPr>
          <w:p w14:paraId="0A15B521">
            <w:pPr>
              <w:jc w:val="center"/>
              <w:rPr>
                <w:rFonts w:eastAsia="宋体" w:asciiTheme="minorEastAsia" w:hAnsiTheme="minorEastAsia" w:cstheme="minorEastAsia"/>
                <w:sz w:val="22"/>
                <w:szCs w:val="22"/>
              </w:rPr>
            </w:pPr>
            <w:r>
              <w:rPr>
                <w:rFonts w:hint="eastAsia" w:eastAsia="宋体" w:asciiTheme="minorEastAsia" w:hAnsiTheme="minorEastAsia" w:cstheme="minorEastAsia"/>
                <w:sz w:val="22"/>
                <w:szCs w:val="22"/>
              </w:rPr>
              <w:t>当前实际数（个）</w:t>
            </w:r>
          </w:p>
        </w:tc>
        <w:tc>
          <w:tcPr>
            <w:tcW w:w="1074" w:type="pct"/>
            <w:vAlign w:val="center"/>
          </w:tcPr>
          <w:p w14:paraId="2AE91377">
            <w:pPr>
              <w:jc w:val="center"/>
              <w:rPr>
                <w:rFonts w:eastAsia="宋体" w:asciiTheme="minorEastAsia" w:hAnsiTheme="minorEastAsia" w:cstheme="minorEastAsia"/>
                <w:sz w:val="22"/>
                <w:szCs w:val="22"/>
              </w:rPr>
            </w:pPr>
            <w:r>
              <w:rPr>
                <w:rFonts w:hint="eastAsia" w:eastAsia="宋体" w:asciiTheme="minorEastAsia" w:hAnsiTheme="minorEastAsia" w:cstheme="minorEastAsia"/>
                <w:sz w:val="22"/>
                <w:szCs w:val="22"/>
              </w:rPr>
              <w:t>余量（个）</w:t>
            </w:r>
          </w:p>
        </w:tc>
        <w:tc>
          <w:tcPr>
            <w:tcW w:w="806" w:type="pct"/>
            <w:tcBorders>
              <w:right w:val="single" w:color="auto" w:sz="4" w:space="0"/>
            </w:tcBorders>
            <w:vAlign w:val="center"/>
          </w:tcPr>
          <w:p w14:paraId="0F627B64">
            <w:pPr>
              <w:jc w:val="center"/>
              <w:rPr>
                <w:rFonts w:eastAsia="宋体" w:asciiTheme="minorEastAsia" w:hAnsiTheme="minorEastAsia" w:cstheme="minorEastAsia"/>
                <w:sz w:val="22"/>
                <w:szCs w:val="22"/>
              </w:rPr>
            </w:pPr>
          </w:p>
        </w:tc>
      </w:tr>
      <w:tr w14:paraId="0DEB5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862" w:type="pct"/>
            <w:vMerge w:val="continue"/>
            <w:tcBorders>
              <w:left w:val="single" w:color="auto" w:sz="4" w:space="0"/>
              <w:bottom w:val="single" w:color="auto" w:sz="4" w:space="0"/>
              <w:right w:val="single" w:color="auto" w:sz="4" w:space="0"/>
            </w:tcBorders>
            <w:vAlign w:val="center"/>
          </w:tcPr>
          <w:p w14:paraId="624FA14C">
            <w:pPr>
              <w:jc w:val="center"/>
              <w:rPr>
                <w:rFonts w:eastAsia="宋体" w:asciiTheme="minorEastAsia" w:hAnsiTheme="minorEastAsia" w:cstheme="minorEastAsia"/>
                <w:sz w:val="22"/>
                <w:szCs w:val="22"/>
              </w:rPr>
            </w:pPr>
          </w:p>
        </w:tc>
        <w:tc>
          <w:tcPr>
            <w:tcW w:w="1075" w:type="pct"/>
            <w:tcBorders>
              <w:bottom w:val="single" w:color="auto" w:sz="4" w:space="0"/>
            </w:tcBorders>
            <w:vAlign w:val="center"/>
          </w:tcPr>
          <w:p w14:paraId="13026385">
            <w:pPr>
              <w:jc w:val="center"/>
              <w:rPr>
                <w:rFonts w:eastAsia="宋体" w:asciiTheme="minorEastAsia" w:hAnsiTheme="minorEastAsia" w:cstheme="minorEastAsia"/>
                <w:sz w:val="22"/>
                <w:szCs w:val="22"/>
              </w:rPr>
            </w:pPr>
            <w:r>
              <w:rPr>
                <w:rFonts w:hint="eastAsia" w:eastAsia="宋体" w:asciiTheme="minorEastAsia" w:hAnsiTheme="minorEastAsia" w:cstheme="minorEastAsia"/>
                <w:sz w:val="22"/>
                <w:szCs w:val="22"/>
              </w:rPr>
              <w:t>11</w:t>
            </w:r>
          </w:p>
        </w:tc>
        <w:tc>
          <w:tcPr>
            <w:tcW w:w="1182" w:type="pct"/>
            <w:tcBorders>
              <w:bottom w:val="single" w:color="auto" w:sz="4" w:space="0"/>
            </w:tcBorders>
            <w:vAlign w:val="center"/>
          </w:tcPr>
          <w:p w14:paraId="3598D4DF">
            <w:pPr>
              <w:jc w:val="center"/>
              <w:rPr>
                <w:rFonts w:hint="eastAsia" w:eastAsia="宋体" w:asciiTheme="minorEastAsia" w:hAnsiTheme="minorEastAsia" w:cstheme="minorEastAsia"/>
                <w:sz w:val="22"/>
                <w:szCs w:val="22"/>
                <w:lang w:eastAsia="zh-CN"/>
              </w:rPr>
            </w:pPr>
            <w:r>
              <w:rPr>
                <w:rFonts w:hint="eastAsia" w:eastAsia="宋体" w:asciiTheme="minorEastAsia" w:hAnsiTheme="minorEastAsia" w:cstheme="minorEastAsia"/>
                <w:sz w:val="22"/>
                <w:szCs w:val="22"/>
                <w:lang w:val="en-US" w:eastAsia="zh-CN"/>
              </w:rPr>
              <w:t>2</w:t>
            </w:r>
          </w:p>
        </w:tc>
        <w:tc>
          <w:tcPr>
            <w:tcW w:w="1074" w:type="pct"/>
            <w:tcBorders>
              <w:bottom w:val="single" w:color="auto" w:sz="4" w:space="0"/>
            </w:tcBorders>
            <w:vAlign w:val="center"/>
          </w:tcPr>
          <w:p w14:paraId="4C8A8BC1">
            <w:pPr>
              <w:jc w:val="center"/>
              <w:rPr>
                <w:rFonts w:hint="eastAsia" w:eastAsia="宋体" w:asciiTheme="minorEastAsia" w:hAnsiTheme="minorEastAsia" w:cstheme="minorEastAsia"/>
                <w:sz w:val="22"/>
                <w:szCs w:val="22"/>
                <w:lang w:eastAsia="zh-CN"/>
              </w:rPr>
            </w:pPr>
            <w:r>
              <w:rPr>
                <w:rFonts w:hint="eastAsia" w:eastAsia="宋体" w:asciiTheme="minorEastAsia" w:hAnsiTheme="minorEastAsia" w:cstheme="minorEastAsia"/>
                <w:sz w:val="22"/>
                <w:szCs w:val="22"/>
                <w:lang w:val="en-US" w:eastAsia="zh-CN"/>
              </w:rPr>
              <w:t>9</w:t>
            </w:r>
          </w:p>
        </w:tc>
        <w:tc>
          <w:tcPr>
            <w:tcW w:w="806" w:type="pct"/>
            <w:tcBorders>
              <w:bottom w:val="single" w:color="auto" w:sz="4" w:space="0"/>
              <w:right w:val="single" w:color="auto" w:sz="4" w:space="0"/>
            </w:tcBorders>
            <w:vAlign w:val="center"/>
          </w:tcPr>
          <w:p w14:paraId="4E995A8B">
            <w:pPr>
              <w:jc w:val="center"/>
              <w:rPr>
                <w:rFonts w:eastAsia="宋体" w:asciiTheme="minorEastAsia" w:hAnsiTheme="minorEastAsia" w:cstheme="minorEastAsia"/>
                <w:sz w:val="22"/>
                <w:szCs w:val="22"/>
              </w:rPr>
            </w:pPr>
          </w:p>
        </w:tc>
      </w:tr>
    </w:tbl>
    <w:p w14:paraId="3E7079BD">
      <w:pPr>
        <w:spacing w:before="42" w:line="219" w:lineRule="auto"/>
        <w:rPr>
          <w:rFonts w:ascii="宋体" w:hAnsi="宋体" w:eastAsia="宋体" w:cs="宋体"/>
          <w:spacing w:val="-1"/>
        </w:rPr>
      </w:pPr>
      <w:r>
        <w:rPr>
          <w:rFonts w:ascii="宋体" w:hAnsi="宋体" w:eastAsia="宋体" w:cs="宋体"/>
          <w:spacing w:val="-1"/>
        </w:rPr>
        <w:t>备注：</w:t>
      </w:r>
    </w:p>
    <w:p w14:paraId="5FB3DD9E">
      <w:pPr>
        <w:spacing w:before="42"/>
        <w:ind w:right="-100" w:rightChars="-48" w:firstLine="624" w:firstLineChars="300"/>
        <w:rPr>
          <w:rFonts w:ascii="宋体" w:hAnsi="宋体" w:eastAsia="宋体" w:cs="宋体"/>
          <w:spacing w:val="-1"/>
          <w:lang w:eastAsia="zh-CN"/>
        </w:rPr>
      </w:pPr>
      <w:r>
        <w:rPr>
          <w:rFonts w:hint="eastAsia" w:ascii="宋体" w:hAnsi="宋体" w:eastAsia="宋体" w:cs="宋体"/>
          <w:spacing w:val="-1"/>
          <w:lang w:eastAsia="zh-CN"/>
        </w:rPr>
        <w:t>1.本公示表的数据根据本县零售点布局规划实行定期评价、动态管理。</w:t>
      </w:r>
    </w:p>
    <w:p w14:paraId="671A9CAA">
      <w:pPr>
        <w:spacing w:before="42" w:line="219" w:lineRule="auto"/>
        <w:ind w:firstLine="624" w:firstLineChars="300"/>
        <w:rPr>
          <w:rFonts w:ascii="宋体" w:hAnsi="宋体" w:eastAsia="宋体" w:cs="宋体"/>
          <w:spacing w:val="-1"/>
          <w:lang w:eastAsia="zh-CN"/>
        </w:rPr>
      </w:pPr>
      <w:r>
        <w:rPr>
          <w:rFonts w:hint="eastAsia" w:ascii="宋体" w:hAnsi="宋体" w:eastAsia="宋体" w:cs="宋体"/>
          <w:spacing w:val="-1"/>
          <w:lang w:eastAsia="zh-CN"/>
        </w:rPr>
        <w:t>2.每季度根据经济发展、城乡建设、市场形势等变化情况对本表中的数据进行动态调整，规划数相应进行动态更新，以每季度最后一次公示的数据为准。</w:t>
      </w:r>
    </w:p>
    <w:p w14:paraId="68DC1F4B">
      <w:pPr>
        <w:spacing w:before="42"/>
        <w:ind w:firstLine="624" w:firstLineChars="300"/>
        <w:rPr>
          <w:rFonts w:ascii="宋体" w:hAnsi="宋体" w:eastAsia="宋体" w:cs="宋体"/>
          <w:spacing w:val="-1"/>
          <w:lang w:eastAsia="zh-CN"/>
        </w:rPr>
      </w:pPr>
      <w:r>
        <w:rPr>
          <w:rFonts w:hint="eastAsia" w:ascii="宋体" w:hAnsi="宋体" w:eastAsia="宋体" w:cs="宋体"/>
          <w:spacing w:val="-1"/>
          <w:lang w:eastAsia="zh-CN"/>
        </w:rPr>
        <w:t>3.本数据由华宁县烟草专卖局负责解释，咨询电话：0877-5021516/0877-5013425。</w:t>
      </w:r>
    </w:p>
    <w:p w14:paraId="7DBB6878">
      <w:pPr>
        <w:spacing w:before="2" w:line="341" w:lineRule="auto"/>
        <w:jc w:val="both"/>
        <w:rPr>
          <w:lang w:eastAsia="zh-CN"/>
        </w:rPr>
      </w:pPr>
    </w:p>
    <w:p w14:paraId="34BA9B4D">
      <w:pPr>
        <w:spacing w:before="55" w:line="343" w:lineRule="auto"/>
        <w:jc w:val="both"/>
        <w:rPr>
          <w:rFonts w:hint="eastAsia" w:ascii="仿宋_GB2312" w:hAnsi="仿宋_GB2312" w:eastAsia="仿宋_GB2312" w:cs="仿宋_GB2312"/>
          <w:spacing w:val="-2"/>
          <w:sz w:val="32"/>
          <w:szCs w:val="32"/>
          <w:lang w:eastAsia="zh-CN"/>
        </w:rPr>
      </w:pPr>
    </w:p>
    <w:p w14:paraId="7AC462A5">
      <w:pPr>
        <w:spacing w:before="55" w:line="343" w:lineRule="auto"/>
        <w:jc w:val="both"/>
        <w:rPr>
          <w:rFonts w:hint="eastAsia" w:ascii="仿宋_GB2312" w:hAnsi="仿宋_GB2312" w:eastAsia="仿宋_GB2312" w:cs="仿宋_GB2312"/>
          <w:spacing w:val="-2"/>
          <w:sz w:val="32"/>
          <w:szCs w:val="32"/>
          <w:lang w:eastAsia="zh-CN"/>
        </w:rPr>
      </w:pPr>
    </w:p>
    <w:p w14:paraId="60AC1394">
      <w:pPr>
        <w:spacing w:before="55" w:line="343" w:lineRule="auto"/>
        <w:jc w:val="both"/>
        <w:rPr>
          <w:rFonts w:hint="eastAsia" w:ascii="仿宋_GB2312" w:hAnsi="仿宋_GB2312" w:eastAsia="仿宋_GB2312" w:cs="仿宋_GB2312"/>
          <w:spacing w:val="-2"/>
          <w:sz w:val="32"/>
          <w:szCs w:val="32"/>
          <w:lang w:eastAsia="zh-CN"/>
        </w:rPr>
      </w:pPr>
    </w:p>
    <w:p w14:paraId="33F9DC8A">
      <w:pPr>
        <w:spacing w:before="55" w:line="343" w:lineRule="auto"/>
        <w:jc w:val="both"/>
        <w:rPr>
          <w:rFonts w:hint="eastAsia" w:ascii="仿宋_GB2312" w:hAnsi="仿宋_GB2312" w:eastAsia="仿宋_GB2312" w:cs="仿宋_GB2312"/>
          <w:spacing w:val="-2"/>
          <w:sz w:val="32"/>
          <w:szCs w:val="32"/>
          <w:lang w:eastAsia="zh-CN"/>
        </w:rPr>
        <w:sectPr>
          <w:pgSz w:w="16838" w:h="11906" w:orient="landscape"/>
          <w:pgMar w:top="1797" w:right="1440" w:bottom="1797" w:left="1440" w:header="851" w:footer="992" w:gutter="0"/>
          <w:cols w:space="0" w:num="1"/>
          <w:rtlGutter w:val="0"/>
          <w:docGrid w:type="linesAndChars" w:linePitch="319" w:charSpace="0"/>
        </w:sectPr>
      </w:pPr>
    </w:p>
    <w:p w14:paraId="1476D605">
      <w:pPr>
        <w:spacing w:before="104" w:line="224" w:lineRule="auto"/>
        <w:rPr>
          <w:rFonts w:ascii="方正小标宋简体" w:eastAsia="方正小标宋简体"/>
          <w:b/>
          <w:bCs/>
          <w:sz w:val="44"/>
          <w:szCs w:val="44"/>
        </w:rPr>
      </w:pPr>
      <w:r>
        <w:rPr>
          <w:rFonts w:hint="eastAsia" w:ascii="黑体" w:hAnsi="黑体" w:eastAsia="黑体" w:cs="黑体"/>
          <w:spacing w:val="8"/>
          <w:sz w:val="32"/>
          <w:szCs w:val="32"/>
        </w:rPr>
        <w:t>附件5</w:t>
      </w:r>
    </w:p>
    <w:p w14:paraId="62960779">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云南省华宁县烟草制品零售点</w:t>
      </w:r>
    </w:p>
    <w:p w14:paraId="67F437CB">
      <w:pPr>
        <w:snapToGrid w:val="0"/>
        <w:spacing w:line="317" w:lineRule="auto"/>
        <w:jc w:val="center"/>
        <w:rPr>
          <w:rFonts w:hint="eastAsia" w:ascii="方正小标宋简体" w:eastAsia="方正小标宋简体"/>
          <w:sz w:val="44"/>
          <w:szCs w:val="44"/>
        </w:rPr>
      </w:pPr>
      <w:r>
        <w:rPr>
          <w:rFonts w:hint="eastAsia" w:ascii="方正小标宋简体" w:eastAsia="方正小标宋简体"/>
          <w:sz w:val="44"/>
          <w:szCs w:val="44"/>
        </w:rPr>
        <w:t>合理布局规划数动态调整管理制度</w:t>
      </w:r>
    </w:p>
    <w:p w14:paraId="33F06E2F">
      <w:pPr>
        <w:snapToGrid w:val="0"/>
        <w:spacing w:line="317" w:lineRule="auto"/>
        <w:jc w:val="center"/>
        <w:rPr>
          <w:rFonts w:ascii="方正小标宋简体" w:eastAsia="方正小标宋简体"/>
          <w:sz w:val="44"/>
          <w:szCs w:val="44"/>
        </w:rPr>
      </w:pPr>
    </w:p>
    <w:p w14:paraId="1DEB9FA6">
      <w:pPr>
        <w:numPr>
          <w:ilvl w:val="2"/>
          <w:numId w:val="1"/>
        </w:numPr>
        <w:autoSpaceDN w:val="0"/>
        <w:adjustRightInd w:val="0"/>
        <w:snapToGrid w:val="0"/>
        <w:spacing w:line="336" w:lineRule="auto"/>
        <w:ind w:firstLine="680"/>
        <w:rPr>
          <w:rFonts w:ascii="仿宋_GB2312" w:hAnsi="仿宋_GB2312" w:eastAsia="仿宋_GB2312" w:cs="仿宋_GB2312"/>
          <w:kern w:val="28"/>
          <w:sz w:val="32"/>
          <w:szCs w:val="32"/>
        </w:rPr>
      </w:pPr>
      <w:r>
        <w:rPr>
          <w:rFonts w:hint="eastAsia" w:ascii="仿宋_GB2312" w:hAnsi="仿宋_GB2312" w:eastAsia="仿宋_GB2312" w:cs="仿宋_GB2312"/>
          <w:sz w:val="32"/>
          <w:szCs w:val="32"/>
        </w:rPr>
        <w:t>为建立合理布局规划管理动态调整机制，做好规范性文件的动态管理，保证《云南省华宁县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kern w:val="28"/>
          <w:sz w:val="32"/>
          <w:szCs w:val="32"/>
        </w:rPr>
        <w:t>办法实施细则》等法律法规规章和规范性文件的规定，特制定本制度。</w:t>
      </w:r>
    </w:p>
    <w:p w14:paraId="60084F7B">
      <w:pPr>
        <w:numPr>
          <w:ilvl w:val="2"/>
          <w:numId w:val="1"/>
        </w:numPr>
        <w:autoSpaceDN w:val="0"/>
        <w:adjustRightInd w:val="0"/>
        <w:snapToGrid w:val="0"/>
        <w:spacing w:line="336" w:lineRule="auto"/>
        <w:ind w:firstLine="680"/>
        <w:rPr>
          <w:rFonts w:hint="eastAsia" w:ascii="楷体_GB2312" w:hAnsi="仿宋_GB2312" w:eastAsia="楷体_GB2312" w:cs="仿宋_GB2312"/>
          <w:sz w:val="32"/>
          <w:szCs w:val="32"/>
        </w:rPr>
      </w:pPr>
      <w:r>
        <w:rPr>
          <w:rFonts w:hint="eastAsia" w:ascii="仿宋_GB2312" w:hAnsi="仿宋_GB2312" w:eastAsia="仿宋_GB2312" w:cs="仿宋_GB2312"/>
          <w:kern w:val="28"/>
          <w:sz w:val="32"/>
          <w:szCs w:val="32"/>
        </w:rPr>
        <w:t>根据《云南省华宁县烟草制品零售点合理布局规划》，华宁县</w:t>
      </w:r>
      <w:r>
        <w:rPr>
          <w:rFonts w:hint="eastAsia" w:ascii="仿宋_GB2312" w:hAnsi="仿宋_GB2312" w:eastAsia="仿宋_GB2312" w:cs="仿宋_GB2312"/>
          <w:sz w:val="32"/>
          <w:szCs w:val="32"/>
        </w:rPr>
        <w:t>烟草专卖局每季度根据本地</w:t>
      </w:r>
      <w:r>
        <w:rPr>
          <w:rFonts w:hint="eastAsia" w:eastAsia="仿宋_GB2312"/>
          <w:sz w:val="32"/>
          <w:szCs w:val="32"/>
        </w:rPr>
        <w:t>人口数量、交通状况、经济发展水平、居民消费能力、消费购买习惯</w:t>
      </w:r>
      <w:r>
        <w:rPr>
          <w:rFonts w:hint="eastAsia" w:ascii="仿宋_GB2312" w:hAnsi="仿宋_GB2312" w:eastAsia="仿宋_GB2312" w:cs="仿宋_GB2312"/>
          <w:sz w:val="32"/>
          <w:szCs w:val="32"/>
        </w:rPr>
        <w:t>等变化情况，对辖区单元网格零售点合理布局规划数进行动态调整。</w:t>
      </w:r>
    </w:p>
    <w:p w14:paraId="65F75B87">
      <w:pPr>
        <w:numPr>
          <w:ilvl w:val="2"/>
          <w:numId w:val="1"/>
        </w:numPr>
        <w:autoSpaceDN w:val="0"/>
        <w:adjustRightInd w:val="0"/>
        <w:snapToGrid w:val="0"/>
        <w:spacing w:line="336" w:lineRule="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零售点合理布局规划数动态调整情况应提交华宁县</w:t>
      </w:r>
      <w:r>
        <w:rPr>
          <w:rFonts w:hint="eastAsia" w:ascii="仿宋_GB2312" w:eastAsia="仿宋_GB2312"/>
          <w:sz w:val="32"/>
          <w:szCs w:val="32"/>
        </w:rPr>
        <w:t>烟草专卖局领导班子集体讨论决定。讨论通过的，应在</w:t>
      </w:r>
      <w:r>
        <w:rPr>
          <w:rFonts w:hint="eastAsia" w:ascii="仿宋_GB2312" w:hAnsi="仿宋_GB2312" w:eastAsia="仿宋_GB2312" w:cs="仿宋_GB2312"/>
          <w:sz w:val="32"/>
          <w:szCs w:val="32"/>
        </w:rPr>
        <w:t>五日内通过政府网站、行业网站及政务服务大厅等平台公示《云南省华宁县烟草制品</w:t>
      </w:r>
      <w:r>
        <w:rPr>
          <w:rFonts w:hint="eastAsia" w:ascii="仿宋_GB2312" w:hAnsi="仿宋_GB2312" w:eastAsia="仿宋_GB2312" w:cs="仿宋_GB2312"/>
          <w:sz w:val="32"/>
          <w:szCs w:val="32"/>
          <w:lang w:eastAsia="zh-CN"/>
        </w:rPr>
        <w:t>雪茄烟专营外</w:t>
      </w:r>
      <w:r>
        <w:rPr>
          <w:rFonts w:hint="eastAsia" w:ascii="仿宋_GB2312" w:hAnsi="仿宋_GB2312" w:eastAsia="仿宋_GB2312" w:cs="仿宋_GB2312"/>
          <w:sz w:val="32"/>
          <w:szCs w:val="32"/>
        </w:rPr>
        <w:t>零售点合理布局公示表》、《云南省华宁县烟草专卖局雪茄烟专营零售点合理布局公示表》，同时报上一级烟草专卖局备案。</w:t>
      </w:r>
    </w:p>
    <w:p w14:paraId="662F32FA">
      <w:pPr>
        <w:numPr>
          <w:ilvl w:val="2"/>
          <w:numId w:val="1"/>
        </w:numPr>
        <w:autoSpaceDN w:val="0"/>
        <w:adjustRightInd w:val="0"/>
        <w:snapToGrid w:val="0"/>
        <w:spacing w:line="336" w:lineRule="auto"/>
        <w:ind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零售点合理布局规划数动态调整情况</w:t>
      </w:r>
      <w:r>
        <w:rPr>
          <w:rFonts w:hint="eastAsia" w:ascii="仿宋_GB2312" w:hAnsi="仿宋_GB2312" w:eastAsia="仿宋_GB2312" w:cs="仿宋_GB2312"/>
          <w:kern w:val="28"/>
          <w:sz w:val="32"/>
          <w:szCs w:val="32"/>
        </w:rPr>
        <w:t>于公示之日起三日后开始实施</w:t>
      </w:r>
      <w:r>
        <w:rPr>
          <w:rFonts w:hint="eastAsia" w:ascii="仿宋_GB2312" w:hAnsi="仿宋_GB2312" w:eastAsia="仿宋_GB2312" w:cs="仿宋_GB2312"/>
          <w:sz w:val="32"/>
          <w:szCs w:val="32"/>
        </w:rPr>
        <w:t>。</w:t>
      </w:r>
    </w:p>
    <w:p w14:paraId="0CA57176">
      <w:pPr>
        <w:numPr>
          <w:ilvl w:val="2"/>
          <w:numId w:val="1"/>
        </w:numPr>
        <w:autoSpaceDN w:val="0"/>
        <w:adjustRightInd w:val="0"/>
        <w:snapToGrid w:val="0"/>
        <w:spacing w:line="336" w:lineRule="auto"/>
        <w:ind w:firstLine="680"/>
        <w:rPr>
          <w:rFonts w:hint="eastAsia" w:ascii="楷体" w:hAnsi="楷体" w:eastAsia="楷体" w:cs="楷体"/>
          <w:sz w:val="32"/>
          <w:szCs w:val="32"/>
        </w:rPr>
      </w:pPr>
      <w:r>
        <w:rPr>
          <w:rFonts w:hint="eastAsia" w:ascii="仿宋_GB2312" w:hAnsi="仿宋_GB2312" w:eastAsia="仿宋_GB2312" w:cs="仿宋_GB2312"/>
          <w:sz w:val="32"/>
          <w:szCs w:val="32"/>
        </w:rPr>
        <w:t>华宁县烟草专卖局每年年底向上一级烟草专卖局报告本年度烟草制品零售点合理布局规划数动态调整工作执行情况。</w:t>
      </w:r>
    </w:p>
    <w:p w14:paraId="253D1C7E">
      <w:pPr>
        <w:numPr>
          <w:ilvl w:val="2"/>
          <w:numId w:val="1"/>
        </w:numPr>
        <w:autoSpaceDN w:val="0"/>
        <w:adjustRightInd w:val="0"/>
        <w:snapToGrid w:val="0"/>
        <w:spacing w:line="336" w:lineRule="auto"/>
        <w:ind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00DD344C">
      <w:pPr>
        <w:numPr>
          <w:ilvl w:val="2"/>
          <w:numId w:val="1"/>
        </w:numPr>
        <w:autoSpaceDN w:val="0"/>
        <w:adjustRightInd w:val="0"/>
        <w:snapToGrid w:val="0"/>
        <w:spacing w:line="336" w:lineRule="auto"/>
        <w:ind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本制度由云南省华宁县烟草专卖局负责解释。</w:t>
      </w:r>
    </w:p>
    <w:p w14:paraId="73BEF50F">
      <w:pPr>
        <w:numPr>
          <w:ilvl w:val="2"/>
          <w:numId w:val="1"/>
        </w:numPr>
        <w:autoSpaceDN w:val="0"/>
        <w:adjustRightInd w:val="0"/>
        <w:snapToGrid w:val="0"/>
        <w:spacing w:line="336" w:lineRule="auto"/>
        <w:ind w:firstLine="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本制度自《云南省华宁县烟草制品零售点合理布局规划》实施之日起同时施行。</w:t>
      </w:r>
    </w:p>
    <w:p w14:paraId="3B380E97">
      <w:pPr>
        <w:adjustRightInd w:val="0"/>
        <w:snapToGrid w:val="0"/>
        <w:spacing w:line="336" w:lineRule="auto"/>
        <w:ind w:left="680"/>
        <w:jc w:val="left"/>
        <w:rPr>
          <w:rFonts w:ascii="仿宋_GB2312" w:hAnsi="仿宋_GB2312" w:eastAsia="仿宋_GB2312" w:cs="仿宋_GB2312"/>
          <w:sz w:val="32"/>
          <w:szCs w:val="32"/>
        </w:rPr>
      </w:pPr>
    </w:p>
    <w:p w14:paraId="3CB1D073">
      <w:pPr>
        <w:spacing w:before="55" w:line="343" w:lineRule="auto"/>
        <w:jc w:val="both"/>
        <w:rPr>
          <w:rFonts w:hint="eastAsia" w:ascii="仿宋_GB2312" w:hAnsi="仿宋_GB2312" w:eastAsia="仿宋_GB2312" w:cs="仿宋_GB2312"/>
          <w:spacing w:val="-2"/>
          <w:sz w:val="32"/>
          <w:szCs w:val="32"/>
          <w:lang w:eastAsia="zh-CN"/>
        </w:rPr>
      </w:pPr>
    </w:p>
    <w:p w14:paraId="4AC3909F">
      <w:pPr>
        <w:spacing w:before="55" w:line="343" w:lineRule="auto"/>
        <w:jc w:val="both"/>
        <w:rPr>
          <w:rFonts w:hint="eastAsia" w:ascii="仿宋_GB2312" w:hAnsi="仿宋_GB2312" w:eastAsia="仿宋_GB2312" w:cs="仿宋_GB2312"/>
          <w:spacing w:val="-2"/>
          <w:sz w:val="32"/>
          <w:szCs w:val="32"/>
          <w:lang w:eastAsia="zh-CN"/>
        </w:rPr>
      </w:pPr>
    </w:p>
    <w:p w14:paraId="451CDD6A">
      <w:pPr>
        <w:spacing w:before="55" w:line="343" w:lineRule="auto"/>
        <w:jc w:val="both"/>
        <w:rPr>
          <w:rFonts w:hint="eastAsia" w:ascii="仿宋_GB2312" w:hAnsi="仿宋_GB2312" w:eastAsia="仿宋_GB2312" w:cs="仿宋_GB2312"/>
          <w:spacing w:val="-2"/>
          <w:sz w:val="32"/>
          <w:szCs w:val="32"/>
          <w:lang w:eastAsia="zh-CN"/>
        </w:rPr>
      </w:pPr>
    </w:p>
    <w:p w14:paraId="14D554F0">
      <w:pPr>
        <w:spacing w:before="55" w:line="343" w:lineRule="auto"/>
        <w:jc w:val="both"/>
        <w:rPr>
          <w:rFonts w:hint="eastAsia" w:ascii="仿宋_GB2312" w:hAnsi="仿宋_GB2312" w:eastAsia="仿宋_GB2312" w:cs="仿宋_GB2312"/>
          <w:spacing w:val="-2"/>
          <w:sz w:val="32"/>
          <w:szCs w:val="32"/>
          <w:lang w:eastAsia="zh-CN"/>
        </w:rPr>
      </w:pPr>
    </w:p>
    <w:p w14:paraId="649C60DF">
      <w:pPr>
        <w:spacing w:before="55" w:line="343" w:lineRule="auto"/>
        <w:jc w:val="both"/>
        <w:rPr>
          <w:rFonts w:hint="eastAsia" w:ascii="仿宋_GB2312" w:hAnsi="仿宋_GB2312" w:eastAsia="仿宋_GB2312" w:cs="仿宋_GB2312"/>
          <w:spacing w:val="-2"/>
          <w:sz w:val="32"/>
          <w:szCs w:val="32"/>
          <w:lang w:eastAsia="zh-CN"/>
        </w:rPr>
      </w:pPr>
    </w:p>
    <w:p w14:paraId="286F795F">
      <w:pPr>
        <w:spacing w:before="55" w:line="343" w:lineRule="auto"/>
        <w:jc w:val="both"/>
        <w:rPr>
          <w:rFonts w:hint="eastAsia" w:ascii="仿宋_GB2312" w:hAnsi="仿宋_GB2312" w:eastAsia="仿宋_GB2312" w:cs="仿宋_GB2312"/>
          <w:spacing w:val="-2"/>
          <w:sz w:val="32"/>
          <w:szCs w:val="32"/>
          <w:lang w:eastAsia="zh-CN"/>
        </w:rPr>
      </w:pPr>
    </w:p>
    <w:p w14:paraId="2FA27E9B">
      <w:pPr>
        <w:spacing w:before="55" w:line="343" w:lineRule="auto"/>
        <w:jc w:val="both"/>
        <w:rPr>
          <w:rFonts w:hint="eastAsia" w:ascii="仿宋_GB2312" w:hAnsi="仿宋_GB2312" w:eastAsia="仿宋_GB2312" w:cs="仿宋_GB2312"/>
          <w:spacing w:val="-2"/>
          <w:sz w:val="32"/>
          <w:szCs w:val="32"/>
          <w:lang w:eastAsia="zh-CN"/>
        </w:rPr>
      </w:pPr>
    </w:p>
    <w:p w14:paraId="6C327506">
      <w:pPr>
        <w:spacing w:before="55" w:line="343" w:lineRule="auto"/>
        <w:jc w:val="both"/>
        <w:rPr>
          <w:rFonts w:hint="eastAsia" w:ascii="仿宋_GB2312" w:hAnsi="仿宋_GB2312" w:eastAsia="仿宋_GB2312" w:cs="仿宋_GB2312"/>
          <w:spacing w:val="-2"/>
          <w:sz w:val="32"/>
          <w:szCs w:val="32"/>
          <w:lang w:eastAsia="zh-CN"/>
        </w:rPr>
      </w:pPr>
    </w:p>
    <w:p w14:paraId="5D4F197E">
      <w:pPr>
        <w:spacing w:before="104" w:line="224" w:lineRule="auto"/>
        <w:rPr>
          <w:rFonts w:ascii="黑体" w:hAnsi="黑体" w:eastAsia="黑体" w:cs="黑体"/>
          <w:spacing w:val="8"/>
          <w:sz w:val="32"/>
          <w:szCs w:val="32"/>
        </w:rPr>
      </w:pPr>
      <w:r>
        <w:rPr>
          <w:rFonts w:hint="eastAsia" w:ascii="黑体" w:hAnsi="黑体" w:eastAsia="黑体" w:cs="黑体"/>
          <w:spacing w:val="8"/>
          <w:sz w:val="32"/>
          <w:szCs w:val="32"/>
        </w:rPr>
        <w:t>附件6</w:t>
      </w:r>
    </w:p>
    <w:p w14:paraId="0B89BD1B">
      <w:pPr>
        <w:snapToGrid w:val="0"/>
        <w:spacing w:line="317" w:lineRule="auto"/>
        <w:jc w:val="center"/>
        <w:rPr>
          <w:rFonts w:ascii="方正小标宋简体" w:eastAsia="方正小标宋简体"/>
          <w:sz w:val="44"/>
          <w:szCs w:val="44"/>
        </w:rPr>
      </w:pPr>
      <w:r>
        <w:rPr>
          <w:rFonts w:hint="eastAsia" w:ascii="方正小标宋简体" w:eastAsia="方正小标宋简体"/>
          <w:sz w:val="44"/>
          <w:szCs w:val="44"/>
        </w:rPr>
        <w:t>云南省华宁县烟草制品</w:t>
      </w:r>
    </w:p>
    <w:p w14:paraId="7E945688">
      <w:pPr>
        <w:snapToGrid w:val="0"/>
        <w:spacing w:line="317" w:lineRule="auto"/>
        <w:jc w:val="center"/>
        <w:rPr>
          <w:rFonts w:hint="eastAsia" w:ascii="方正小标宋简体" w:eastAsia="方正小标宋简体"/>
          <w:sz w:val="44"/>
          <w:szCs w:val="44"/>
        </w:rPr>
      </w:pPr>
      <w:r>
        <w:rPr>
          <w:rFonts w:hint="eastAsia" w:ascii="方正小标宋简体" w:eastAsia="方正小标宋简体"/>
          <w:sz w:val="44"/>
          <w:szCs w:val="44"/>
        </w:rPr>
        <w:t>零售点排队轮候制度</w:t>
      </w:r>
    </w:p>
    <w:p w14:paraId="66CA8F97">
      <w:pPr>
        <w:snapToGrid w:val="0"/>
        <w:spacing w:line="317" w:lineRule="auto"/>
        <w:jc w:val="center"/>
        <w:rPr>
          <w:rFonts w:ascii="仿宋_GB2312" w:hAnsi="仿宋_GB2312" w:eastAsia="仿宋_GB2312" w:cs="仿宋_GB2312"/>
          <w:sz w:val="32"/>
          <w:szCs w:val="32"/>
        </w:rPr>
      </w:pPr>
    </w:p>
    <w:p w14:paraId="1DA0EDD0">
      <w:pPr>
        <w:numPr>
          <w:ilvl w:val="2"/>
          <w:numId w:val="2"/>
        </w:numPr>
        <w:adjustRightInd w:val="0"/>
        <w:snapToGrid w:val="0"/>
        <w:spacing w:line="336"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为坚持公平、公正、公开原则，规范实施《云南省华宁县烟草制品零售点合理布局规划》，根据《中华人民共和国行政许可法》《烟草专卖许可证管理办法》《烟草专卖许可证管理办法实施细则》等法律法规规章和规范性文件的规定，结合华宁县实际，制定本制度。</w:t>
      </w:r>
    </w:p>
    <w:p w14:paraId="6E1A2CE7">
      <w:pPr>
        <w:numPr>
          <w:ilvl w:val="2"/>
          <w:numId w:val="2"/>
        </w:numPr>
        <w:adjustRightInd w:val="0"/>
        <w:snapToGrid w:val="0"/>
        <w:spacing w:line="336"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本制度适用于云南省华宁县行政辖区烟草制品零售点新办申请排队轮候管理。</w:t>
      </w:r>
    </w:p>
    <w:p w14:paraId="070289B3">
      <w:pPr>
        <w:numPr>
          <w:ilvl w:val="2"/>
          <w:numId w:val="2"/>
        </w:numPr>
        <w:adjustRightInd w:val="0"/>
        <w:snapToGrid w:val="0"/>
        <w:spacing w:line="336" w:lineRule="auto"/>
        <w:ind w:firstLine="680"/>
        <w:rPr>
          <w:rFonts w:ascii="黑体" w:hAnsi="黑体" w:eastAsia="黑体" w:cs="黑体"/>
          <w:sz w:val="32"/>
          <w:szCs w:val="32"/>
        </w:rPr>
      </w:pPr>
      <w:r>
        <w:rPr>
          <w:rFonts w:hint="eastAsia" w:ascii="仿宋_GB2312" w:hAnsi="仿宋_GB2312" w:eastAsia="仿宋_GB2312" w:cs="仿宋_GB2312"/>
          <w:kern w:val="28"/>
          <w:sz w:val="32"/>
          <w:szCs w:val="32"/>
        </w:rPr>
        <w:t>本县</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单元网格内的零售点实际数量大于或等于</w:t>
      </w:r>
      <w:r>
        <w:rPr>
          <w:rFonts w:hint="eastAsia" w:ascii="仿宋_GB2312" w:hAnsi="仿宋_GB2312" w:eastAsia="仿宋_GB2312" w:cs="仿宋_GB2312"/>
          <w:sz w:val="32"/>
          <w:szCs w:val="32"/>
        </w:rPr>
        <w:t>合理容量</w:t>
      </w:r>
      <w:r>
        <w:rPr>
          <w:rFonts w:hint="eastAsia" w:ascii="仿宋_GB2312" w:hAnsi="仿宋_GB2312" w:eastAsia="仿宋_GB2312" w:cs="仿宋_GB2312"/>
          <w:kern w:val="28"/>
          <w:sz w:val="32"/>
          <w:szCs w:val="32"/>
        </w:rPr>
        <w:t>时不再设新的零售点。新办申请人应按本制度首先提出排队轮候申请，直至该单元网格内的零售点实际数量小于</w:t>
      </w:r>
      <w:r>
        <w:rPr>
          <w:rFonts w:hint="eastAsia" w:ascii="仿宋_GB2312" w:hAnsi="仿宋_GB2312" w:eastAsia="仿宋_GB2312" w:cs="仿宋_GB2312"/>
          <w:sz w:val="32"/>
          <w:szCs w:val="32"/>
        </w:rPr>
        <w:t>合理容量时，再按照排队轮候的顺序依次提交新办申请。</w:t>
      </w:r>
    </w:p>
    <w:p w14:paraId="1A8DB0B0">
      <w:pPr>
        <w:numPr>
          <w:ilvl w:val="2"/>
          <w:numId w:val="2"/>
        </w:numPr>
        <w:adjustRightInd w:val="0"/>
        <w:snapToGrid w:val="0"/>
        <w:spacing w:line="336" w:lineRule="auto"/>
        <w:ind w:firstLine="646" w:firstLineChars="200"/>
        <w:rPr>
          <w:rFonts w:ascii="楷体" w:hAnsi="楷体" w:eastAsia="楷体" w:cs="楷体"/>
          <w:sz w:val="32"/>
          <w:szCs w:val="32"/>
        </w:rPr>
      </w:pPr>
      <w:r>
        <w:rPr>
          <w:rFonts w:hint="eastAsia" w:ascii="仿宋_GB2312" w:hAnsi="黑体" w:eastAsia="仿宋_GB2312"/>
          <w:sz w:val="32"/>
          <w:szCs w:val="32"/>
        </w:rPr>
        <w:t>在本制度首次施行时，根据</w:t>
      </w:r>
      <w:r>
        <w:rPr>
          <w:rFonts w:hint="eastAsia" w:ascii="仿宋_GB2312" w:hAnsi="仿宋_GB2312" w:eastAsia="仿宋_GB2312" w:cs="仿宋_GB2312"/>
          <w:kern w:val="28"/>
          <w:sz w:val="32"/>
          <w:szCs w:val="32"/>
        </w:rPr>
        <w:t>本县</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单元网格的合理容量公示情况，对符合排队轮候情形的单元网格，发证机关采取集中抽签方式确定该单元网格首次排队轮候顺序。</w:t>
      </w:r>
    </w:p>
    <w:p w14:paraId="309CAC4D">
      <w:pPr>
        <w:adjustRightInd w:val="0"/>
        <w:snapToGrid w:val="0"/>
        <w:spacing w:line="336" w:lineRule="auto"/>
        <w:ind w:firstLine="646" w:firstLineChars="200"/>
        <w:rPr>
          <w:rFonts w:ascii="楷体" w:hAnsi="楷体" w:eastAsia="楷体" w:cs="楷体"/>
          <w:sz w:val="32"/>
          <w:szCs w:val="32"/>
        </w:rPr>
      </w:pPr>
      <w:r>
        <w:rPr>
          <w:rFonts w:hint="eastAsia" w:ascii="仿宋_GB2312" w:hAnsi="黑体" w:eastAsia="仿宋_GB2312"/>
          <w:sz w:val="32"/>
          <w:szCs w:val="32"/>
        </w:rPr>
        <w:t>在本制度首次施行前，已执行排队轮候的，按原排队轮候顺序由</w:t>
      </w:r>
      <w:r>
        <w:rPr>
          <w:rFonts w:hint="eastAsia" w:ascii="仿宋_GB2312" w:hAnsi="仿宋_GB2312" w:eastAsia="仿宋_GB2312" w:cs="仿宋_GB2312"/>
          <w:kern w:val="28"/>
          <w:sz w:val="32"/>
          <w:szCs w:val="32"/>
        </w:rPr>
        <w:t>发证机关录入排队轮候系统。</w:t>
      </w:r>
    </w:p>
    <w:p w14:paraId="194270B9">
      <w:pPr>
        <w:numPr>
          <w:ilvl w:val="2"/>
          <w:numId w:val="2"/>
        </w:numPr>
        <w:adjustRightInd w:val="0"/>
        <w:snapToGrid w:val="0"/>
        <w:spacing w:line="336" w:lineRule="auto"/>
        <w:ind w:firstLine="646" w:firstLineChars="200"/>
        <w:rPr>
          <w:rFonts w:ascii="楷体" w:hAnsi="楷体" w:eastAsia="楷体" w:cs="楷体"/>
          <w:sz w:val="32"/>
          <w:szCs w:val="32"/>
        </w:rPr>
      </w:pPr>
      <w:r>
        <w:rPr>
          <w:rFonts w:hint="eastAsia" w:ascii="仿宋_GB2312" w:hAnsi="仿宋_GB2312" w:eastAsia="仿宋_GB2312" w:cs="仿宋_GB2312"/>
          <w:kern w:val="28"/>
          <w:sz w:val="32"/>
          <w:szCs w:val="32"/>
        </w:rPr>
        <w: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t>
      </w:r>
    </w:p>
    <w:p w14:paraId="690B6287">
      <w:pPr>
        <w:adjustRightInd w:val="0"/>
        <w:snapToGrid w:val="0"/>
        <w:spacing w:line="336" w:lineRule="auto"/>
        <w:ind w:firstLine="646" w:firstLineChars="200"/>
        <w:rPr>
          <w:rFonts w:ascii="楷体" w:hAnsi="楷体" w:eastAsia="楷体" w:cs="楷体"/>
          <w:sz w:val="32"/>
          <w:szCs w:val="32"/>
        </w:rPr>
      </w:pPr>
      <w:r>
        <w:rPr>
          <w:rFonts w:hint="eastAsia" w:ascii="仿宋_GB2312" w:hAnsi="仿宋_GB2312" w:eastAsia="仿宋_GB2312" w:cs="仿宋_GB2312"/>
          <w:kern w:val="28"/>
          <w:sz w:val="32"/>
          <w:szCs w:val="32"/>
        </w:rPr>
        <w:t>集中公证抽签现场按照对外发布方案确定单元网格首次排队轮候顺序，并在完成集中公证抽签后二个工作日内公示。</w:t>
      </w:r>
    </w:p>
    <w:p w14:paraId="1678D5F9">
      <w:pPr>
        <w:numPr>
          <w:ilvl w:val="2"/>
          <w:numId w:val="2"/>
        </w:numPr>
        <w:adjustRightInd w:val="0"/>
        <w:snapToGrid w:val="0"/>
        <w:spacing w:line="336" w:lineRule="auto"/>
        <w:ind w:firstLine="646" w:firstLineChars="200"/>
        <w:rPr>
          <w:rFonts w:ascii="楷体" w:hAnsi="楷体" w:eastAsia="楷体" w:cs="楷体"/>
          <w:sz w:val="32"/>
          <w:szCs w:val="32"/>
        </w:rPr>
      </w:pPr>
      <w:r>
        <w:rPr>
          <w:rFonts w:hint="eastAsia" w:ascii="仿宋_GB2312" w:hAnsi="仿宋_GB2312" w:eastAsia="仿宋_GB2312" w:cs="仿宋_GB2312"/>
          <w:sz w:val="32"/>
          <w:szCs w:val="32"/>
        </w:rPr>
        <w:t>零售点排队轮候采取单元网格管理。自愿加入排队轮候的申请人，应线上填写并提交《云南省华宁县烟草制品零售点排队轮候申请表》（详见附表）。申请人在填报信息时应准确、真实。</w:t>
      </w:r>
    </w:p>
    <w:p w14:paraId="6FF29EC5">
      <w:pPr>
        <w:numPr>
          <w:ilvl w:val="2"/>
          <w:numId w:val="2"/>
        </w:numPr>
        <w:adjustRightInd w:val="0"/>
        <w:snapToGrid w:val="0"/>
        <w:spacing w:line="336" w:lineRule="auto"/>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系统根据申请人线上提交时间，自动生成排队轮候顺序，并由系统自动推送告知申请人单元网格内当前排队轮候顺序号。</w:t>
      </w:r>
    </w:p>
    <w:p w14:paraId="2963A211">
      <w:pPr>
        <w:numPr>
          <w:ilvl w:val="2"/>
          <w:numId w:val="2"/>
        </w:numPr>
        <w:adjustRightInd w:val="0"/>
        <w:snapToGrid w:val="0"/>
        <w:spacing w:line="336" w:lineRule="auto"/>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发证机关应公开排队轮候情况，并接受公众监督。申请人可通过线上、线下等方式查询排队轮候情况。</w:t>
      </w:r>
    </w:p>
    <w:p w14:paraId="46212011">
      <w:pPr>
        <w:numPr>
          <w:ilvl w:val="2"/>
          <w:numId w:val="2"/>
        </w:numPr>
        <w:adjustRightInd w:val="0"/>
        <w:snapToGrid w:val="0"/>
        <w:spacing w:line="336" w:lineRule="auto"/>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当单元网格内可新增零售点时，由发证机关按照顺序号和申请表约定的联系方式在五个工作日内依次通知申请人提交新办申请。</w:t>
      </w:r>
    </w:p>
    <w:p w14:paraId="65798F25">
      <w:pPr>
        <w:numPr>
          <w:ilvl w:val="2"/>
          <w:numId w:val="2"/>
        </w:numPr>
        <w:adjustRightInd w:val="0"/>
        <w:snapToGrid w:val="0"/>
        <w:spacing w:line="336" w:lineRule="auto"/>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到号办理时，申请人提交的办证申请信息应与排队轮候登记信息一致。信息不一致的，申请人需重新登记排队轮候。</w:t>
      </w:r>
    </w:p>
    <w:p w14:paraId="3BAAE5DA">
      <w:pPr>
        <w:numPr>
          <w:ilvl w:val="2"/>
          <w:numId w:val="2"/>
        </w:numPr>
        <w:adjustRightInd w:val="0"/>
        <w:snapToGrid w:val="0"/>
        <w:spacing w:line="336" w:lineRule="auto"/>
        <w:ind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华宁县烟草专卖局每年年底向上一级烟草专卖局报告本年度烟草制品零售点排队轮候管理工作情况。</w:t>
      </w:r>
    </w:p>
    <w:p w14:paraId="5E1151F9">
      <w:pPr>
        <w:numPr>
          <w:ilvl w:val="2"/>
          <w:numId w:val="2"/>
        </w:numPr>
        <w:adjustRightInd w:val="0"/>
        <w:snapToGrid w:val="0"/>
        <w:spacing w:line="336" w:lineRule="auto"/>
        <w:ind w:firstLine="646" w:firstLineChars="200"/>
        <w:rPr>
          <w:rFonts w:ascii="黑体" w:hAnsi="黑体" w:eastAsia="黑体" w:cs="黑体"/>
          <w:sz w:val="32"/>
          <w:szCs w:val="32"/>
        </w:rPr>
      </w:pPr>
      <w:r>
        <w:rPr>
          <w:rFonts w:hint="eastAsia" w:ascii="仿宋_GB2312" w:hAnsi="仿宋_GB2312" w:eastAsia="仿宋_GB2312" w:cs="仿宋_GB2312"/>
          <w:sz w:val="32"/>
          <w:szCs w:val="32"/>
        </w:rPr>
        <w:t>发证机关接收和办理排队轮候业务，不得收取任何费用。</w:t>
      </w:r>
    </w:p>
    <w:p w14:paraId="698F0DA6">
      <w:pPr>
        <w:numPr>
          <w:ilvl w:val="2"/>
          <w:numId w:val="2"/>
        </w:numPr>
        <w:adjustRightInd w:val="0"/>
        <w:snapToGrid w:val="0"/>
        <w:spacing w:line="336"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14:paraId="5A7032A7">
      <w:pPr>
        <w:numPr>
          <w:ilvl w:val="2"/>
          <w:numId w:val="2"/>
        </w:numPr>
        <w:adjustRightInd w:val="0"/>
        <w:snapToGrid w:val="0"/>
        <w:spacing w:line="336" w:lineRule="auto"/>
        <w:ind w:firstLine="680"/>
        <w:rPr>
          <w:rFonts w:ascii="仿宋_GB2312" w:hAnsi="仿宋_GB2312" w:eastAsia="仿宋_GB2312" w:cs="仿宋_GB2312"/>
          <w:sz w:val="32"/>
          <w:szCs w:val="32"/>
        </w:rPr>
      </w:pPr>
      <w:r>
        <w:rPr>
          <w:rFonts w:hint="eastAsia" w:ascii="仿宋_GB2312" w:hAnsi="仿宋_GB2312" w:eastAsia="仿宋_GB2312" w:cs="仿宋_GB2312"/>
          <w:sz w:val="32"/>
          <w:szCs w:val="32"/>
        </w:rPr>
        <w:t>本制度由云南省华宁县烟草专卖局负责解释。</w:t>
      </w:r>
    </w:p>
    <w:p w14:paraId="33422C89">
      <w:pPr>
        <w:numPr>
          <w:ilvl w:val="2"/>
          <w:numId w:val="2"/>
        </w:numPr>
        <w:adjustRightInd w:val="0"/>
        <w:snapToGrid w:val="0"/>
        <w:spacing w:line="336" w:lineRule="auto"/>
        <w:ind w:firstLine="680"/>
        <w:rPr>
          <w:rFonts w:ascii="楷体" w:hAnsi="楷体" w:eastAsia="楷体" w:cs="楷体"/>
          <w:sz w:val="32"/>
          <w:szCs w:val="32"/>
        </w:rPr>
      </w:pPr>
      <w:r>
        <w:rPr>
          <w:rFonts w:hint="eastAsia" w:ascii="仿宋_GB2312" w:hAnsi="仿宋_GB2312" w:eastAsia="仿宋_GB2312" w:cs="仿宋_GB2312"/>
          <w:sz w:val="32"/>
          <w:szCs w:val="32"/>
        </w:rPr>
        <w:t>本制度自《云南省华宁县烟草制品零售点合理布局规划》实施之日起同时施行。</w:t>
      </w:r>
    </w:p>
    <w:p w14:paraId="779B53DA">
      <w:pPr>
        <w:adjustRightInd w:val="0"/>
        <w:snapToGrid w:val="0"/>
        <w:spacing w:line="336" w:lineRule="auto"/>
        <w:ind w:left="402" w:firstLine="646" w:firstLineChars="200"/>
        <w:rPr>
          <w:rFonts w:ascii="仿宋_GB2312" w:hAnsi="仿宋_GB2312" w:eastAsia="仿宋_GB2312" w:cs="仿宋_GB2312"/>
          <w:sz w:val="32"/>
          <w:szCs w:val="32"/>
        </w:rPr>
      </w:pPr>
    </w:p>
    <w:p w14:paraId="45A21478">
      <w:pPr>
        <w:adjustRightInd w:val="0"/>
        <w:snapToGrid w:val="0"/>
        <w:spacing w:line="336" w:lineRule="auto"/>
        <w:ind w:left="402" w:firstLine="646"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附表：云南省华宁县烟草制品零售点排队轮候申请表</w:t>
      </w:r>
    </w:p>
    <w:p w14:paraId="7BBE4CDD">
      <w:pPr>
        <w:widowControl/>
        <w:jc w:val="left"/>
        <w:rPr>
          <w:rFonts w:ascii="黑体" w:hAnsi="黑体" w:eastAsia="黑体" w:cs="黑体"/>
          <w:sz w:val="32"/>
          <w:szCs w:val="32"/>
        </w:rPr>
      </w:pPr>
      <w:r>
        <w:rPr>
          <w:rFonts w:ascii="黑体" w:hAnsi="黑体" w:eastAsia="黑体" w:cs="黑体"/>
          <w:sz w:val="32"/>
          <w:szCs w:val="32"/>
        </w:rPr>
        <w:br w:type="page"/>
      </w:r>
    </w:p>
    <w:p w14:paraId="68D515D1">
      <w:pPr>
        <w:spacing w:line="360" w:lineRule="auto"/>
        <w:rPr>
          <w:rFonts w:ascii="黑体" w:hAnsi="黑体" w:eastAsia="黑体" w:cs="黑体"/>
          <w:sz w:val="44"/>
          <w:szCs w:val="44"/>
        </w:rPr>
      </w:pPr>
      <w:r>
        <w:rPr>
          <w:rFonts w:hint="eastAsia" w:ascii="黑体" w:hAnsi="黑体" w:eastAsia="黑体" w:cs="黑体"/>
          <w:sz w:val="32"/>
          <w:szCs w:val="32"/>
        </w:rPr>
        <w:t>附表</w:t>
      </w:r>
    </w:p>
    <w:p w14:paraId="75B04BA9">
      <w:pPr>
        <w:spacing w:line="360" w:lineRule="auto"/>
        <w:ind w:left="402"/>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云南省华宁县烟草制品零售点排队轮候申请表</w:t>
      </w:r>
    </w:p>
    <w:tbl>
      <w:tblPr>
        <w:tblStyle w:val="7"/>
        <w:tblW w:w="0" w:type="auto"/>
        <w:tblInd w:w="96" w:type="dxa"/>
        <w:tblLayout w:type="fixed"/>
        <w:tblCellMar>
          <w:top w:w="0" w:type="dxa"/>
          <w:left w:w="108" w:type="dxa"/>
          <w:bottom w:w="0" w:type="dxa"/>
          <w:right w:w="108" w:type="dxa"/>
        </w:tblCellMar>
      </w:tblPr>
      <w:tblGrid>
        <w:gridCol w:w="2422"/>
        <w:gridCol w:w="2283"/>
        <w:gridCol w:w="1543"/>
        <w:gridCol w:w="2178"/>
      </w:tblGrid>
      <w:tr w14:paraId="25A02803">
        <w:tblPrEx>
          <w:tblCellMar>
            <w:top w:w="0" w:type="dxa"/>
            <w:left w:w="108" w:type="dxa"/>
            <w:bottom w:w="0" w:type="dxa"/>
            <w:right w:w="108" w:type="dxa"/>
          </w:tblCellMar>
        </w:tblPrEx>
        <w:trPr>
          <w:trHeight w:val="464"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E25B5">
            <w:pPr>
              <w:widowControl/>
              <w:jc w:val="center"/>
              <w:textAlignment w:val="center"/>
              <w:rPr>
                <w:rFonts w:ascii="宋体" w:hAnsi="宋体" w:cs="宋体"/>
                <w:b/>
                <w:bCs/>
                <w:sz w:val="24"/>
              </w:rPr>
            </w:pPr>
            <w:r>
              <w:rPr>
                <w:rFonts w:hint="eastAsia" w:ascii="宋体" w:hAnsi="宋体" w:cs="宋体"/>
                <w:b/>
                <w:bCs/>
                <w:kern w:val="0"/>
                <w:sz w:val="24"/>
                <w:lang w:bidi="ar"/>
              </w:rPr>
              <w:t>申请人基本信息</w:t>
            </w:r>
          </w:p>
        </w:tc>
      </w:tr>
      <w:tr w14:paraId="6E6545DE">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01962">
            <w:pPr>
              <w:widowControl/>
              <w:jc w:val="center"/>
              <w:textAlignment w:val="center"/>
              <w:rPr>
                <w:rFonts w:ascii="宋体" w:hAnsi="宋体" w:cs="宋体"/>
                <w:sz w:val="24"/>
              </w:rPr>
            </w:pPr>
            <w:r>
              <w:rPr>
                <w:rFonts w:hint="eastAsia" w:ascii="宋体" w:hAnsi="宋体" w:cs="宋体"/>
                <w:kern w:val="0"/>
                <w:sz w:val="24"/>
                <w:lang w:bidi="ar"/>
              </w:rPr>
              <w:t>申请人姓名</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D5C41">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B938C">
            <w:pPr>
              <w:widowControl/>
              <w:jc w:val="center"/>
              <w:textAlignment w:val="center"/>
              <w:rPr>
                <w:rFonts w:ascii="宋体" w:hAnsi="宋体" w:cs="宋体"/>
                <w:sz w:val="24"/>
              </w:rPr>
            </w:pPr>
            <w:r>
              <w:rPr>
                <w:rFonts w:hint="eastAsia" w:ascii="宋体" w:hAnsi="宋体" w:cs="宋体"/>
                <w:kern w:val="0"/>
                <w:sz w:val="24"/>
                <w:lang w:bidi="ar"/>
              </w:rPr>
              <w:t>申请日期</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A57B2">
            <w:pPr>
              <w:jc w:val="center"/>
              <w:rPr>
                <w:rFonts w:ascii="宋体" w:hAnsi="宋体" w:cs="宋体"/>
                <w:sz w:val="24"/>
              </w:rPr>
            </w:pPr>
          </w:p>
        </w:tc>
      </w:tr>
      <w:tr w14:paraId="2F6A4E62">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E899A">
            <w:pPr>
              <w:widowControl/>
              <w:jc w:val="center"/>
              <w:textAlignment w:val="center"/>
              <w:rPr>
                <w:rFonts w:ascii="宋体" w:hAnsi="宋体" w:cs="宋体"/>
                <w:sz w:val="24"/>
              </w:rPr>
            </w:pPr>
            <w:r>
              <w:rPr>
                <w:rFonts w:hint="eastAsia" w:ascii="宋体" w:hAnsi="宋体" w:cs="宋体"/>
                <w:kern w:val="0"/>
                <w:sz w:val="24"/>
                <w:lang w:bidi="ar"/>
              </w:rPr>
              <w:t>身份证号码</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9C66C">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266C0">
            <w:pPr>
              <w:widowControl/>
              <w:jc w:val="center"/>
              <w:textAlignment w:val="center"/>
              <w:rPr>
                <w:rFonts w:ascii="宋体" w:hAnsi="宋体" w:cs="宋体"/>
                <w:sz w:val="24"/>
              </w:rPr>
            </w:pPr>
            <w:r>
              <w:rPr>
                <w:rFonts w:hint="eastAsia" w:ascii="宋体" w:hAnsi="宋体" w:cs="宋体"/>
                <w:kern w:val="0"/>
                <w:sz w:val="24"/>
                <w:lang w:bidi="ar"/>
              </w:rPr>
              <w:t>联系电话</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11A0D">
            <w:pPr>
              <w:jc w:val="center"/>
              <w:rPr>
                <w:rFonts w:ascii="宋体" w:hAnsi="宋体" w:cs="宋体"/>
                <w:sz w:val="24"/>
              </w:rPr>
            </w:pPr>
          </w:p>
        </w:tc>
      </w:tr>
      <w:tr w14:paraId="0BF7CDAE">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D1C9C">
            <w:pPr>
              <w:widowControl/>
              <w:jc w:val="center"/>
              <w:textAlignment w:val="center"/>
              <w:rPr>
                <w:rFonts w:ascii="宋体" w:hAnsi="宋体" w:cs="宋体"/>
                <w:sz w:val="24"/>
              </w:rPr>
            </w:pPr>
            <w:r>
              <w:rPr>
                <w:rFonts w:hint="eastAsia" w:ascii="宋体" w:hAnsi="宋体" w:cs="宋体"/>
                <w:kern w:val="0"/>
                <w:sz w:val="24"/>
                <w:lang w:bidi="ar"/>
              </w:rPr>
              <w:t>归属街道</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65601">
            <w:pPr>
              <w:jc w:val="center"/>
              <w:rPr>
                <w:rFonts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92566">
            <w:pPr>
              <w:widowControl/>
              <w:jc w:val="center"/>
              <w:textAlignment w:val="center"/>
              <w:rPr>
                <w:rFonts w:ascii="宋体" w:hAnsi="宋体" w:cs="宋体"/>
                <w:sz w:val="24"/>
              </w:rPr>
            </w:pPr>
            <w:r>
              <w:rPr>
                <w:rFonts w:hint="eastAsia" w:ascii="宋体" w:hAnsi="宋体" w:cs="宋体"/>
                <w:kern w:val="0"/>
                <w:sz w:val="24"/>
                <w:lang w:bidi="ar"/>
              </w:rPr>
              <w:t>归属网格</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9A6DD">
            <w:pPr>
              <w:jc w:val="center"/>
              <w:rPr>
                <w:rFonts w:ascii="宋体" w:hAnsi="宋体" w:cs="宋体"/>
                <w:sz w:val="24"/>
              </w:rPr>
            </w:pPr>
          </w:p>
        </w:tc>
      </w:tr>
      <w:tr w14:paraId="74900AF2">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E48F0">
            <w:pPr>
              <w:widowControl/>
              <w:jc w:val="center"/>
              <w:textAlignment w:val="center"/>
              <w:rPr>
                <w:rFonts w:ascii="宋体" w:hAnsi="宋体" w:cs="宋体"/>
                <w:sz w:val="24"/>
              </w:rPr>
            </w:pPr>
            <w:r>
              <w:rPr>
                <w:rFonts w:hint="eastAsia" w:ascii="宋体" w:hAnsi="宋体" w:cs="宋体"/>
                <w:kern w:val="0"/>
                <w:sz w:val="24"/>
                <w:lang w:bidi="ar"/>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125BA">
            <w:pPr>
              <w:jc w:val="center"/>
              <w:rPr>
                <w:rFonts w:ascii="宋体" w:hAnsi="宋体" w:cs="宋体"/>
                <w:sz w:val="24"/>
              </w:rPr>
            </w:pPr>
          </w:p>
        </w:tc>
      </w:tr>
      <w:tr w14:paraId="5FDCCD13">
        <w:tblPrEx>
          <w:tblCellMar>
            <w:top w:w="0" w:type="dxa"/>
            <w:left w:w="108" w:type="dxa"/>
            <w:bottom w:w="0" w:type="dxa"/>
            <w:right w:w="108" w:type="dxa"/>
          </w:tblCellMar>
        </w:tblPrEx>
        <w:trPr>
          <w:trHeight w:val="495"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219A6">
            <w:pPr>
              <w:widowControl/>
              <w:jc w:val="center"/>
              <w:textAlignment w:val="center"/>
              <w:rPr>
                <w:rFonts w:ascii="宋体" w:hAnsi="宋体" w:cs="宋体"/>
                <w:b/>
                <w:bCs/>
                <w:sz w:val="24"/>
              </w:rPr>
            </w:pPr>
            <w:r>
              <w:rPr>
                <w:rFonts w:hint="eastAsia" w:ascii="宋体" w:hAnsi="宋体" w:cs="宋体"/>
                <w:b/>
                <w:bCs/>
                <w:kern w:val="0"/>
                <w:sz w:val="24"/>
                <w:lang w:bidi="ar"/>
              </w:rPr>
              <w:t>营业执照基本信息</w:t>
            </w:r>
          </w:p>
        </w:tc>
      </w:tr>
      <w:tr w14:paraId="17A84315">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B9F9A">
            <w:pPr>
              <w:widowControl/>
              <w:jc w:val="center"/>
              <w:textAlignment w:val="center"/>
              <w:rPr>
                <w:rFonts w:ascii="宋体" w:hAnsi="宋体" w:cs="宋体"/>
                <w:sz w:val="24"/>
              </w:rPr>
            </w:pPr>
            <w:r>
              <w:rPr>
                <w:rFonts w:hint="eastAsia" w:ascii="宋体" w:hAnsi="宋体" w:cs="宋体"/>
                <w:kern w:val="0"/>
                <w:sz w:val="24"/>
                <w:lang w:bidi="ar"/>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69D4D">
            <w:pPr>
              <w:jc w:val="center"/>
              <w:rPr>
                <w:rFonts w:ascii="宋体" w:hAnsi="宋体" w:cs="宋体"/>
                <w:sz w:val="24"/>
              </w:rPr>
            </w:pPr>
          </w:p>
        </w:tc>
      </w:tr>
      <w:tr w14:paraId="4DFD2EA5">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C5B86">
            <w:pPr>
              <w:widowControl/>
              <w:jc w:val="center"/>
              <w:textAlignment w:val="center"/>
              <w:rPr>
                <w:rFonts w:ascii="宋体" w:hAnsi="宋体" w:cs="宋体"/>
                <w:sz w:val="24"/>
              </w:rPr>
            </w:pPr>
            <w:r>
              <w:rPr>
                <w:rFonts w:hint="eastAsia" w:ascii="宋体" w:hAnsi="宋体" w:cs="宋体"/>
                <w:kern w:val="0"/>
                <w:sz w:val="24"/>
                <w:lang w:bidi="ar"/>
              </w:rPr>
              <w:t>企业名称</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394F3">
            <w:pPr>
              <w:jc w:val="center"/>
              <w:rPr>
                <w:rFonts w:ascii="宋体" w:hAnsi="宋体" w:cs="宋体"/>
                <w:sz w:val="24"/>
              </w:rPr>
            </w:pPr>
          </w:p>
        </w:tc>
      </w:tr>
      <w:tr w14:paraId="0B9E4723">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A54B7">
            <w:pPr>
              <w:widowControl/>
              <w:jc w:val="center"/>
              <w:textAlignment w:val="center"/>
              <w:rPr>
                <w:rFonts w:ascii="宋体" w:hAnsi="宋体" w:cs="宋体"/>
                <w:sz w:val="24"/>
              </w:rPr>
            </w:pPr>
            <w:r>
              <w:rPr>
                <w:rFonts w:hint="eastAsia" w:ascii="宋体" w:hAnsi="宋体" w:cs="宋体"/>
                <w:kern w:val="0"/>
                <w:sz w:val="24"/>
                <w:lang w:bidi="ar"/>
              </w:rPr>
              <w:t>企业类型</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CB2AC">
            <w:pPr>
              <w:jc w:val="center"/>
              <w:rPr>
                <w:rFonts w:ascii="宋体" w:hAnsi="宋体" w:cs="宋体"/>
                <w:sz w:val="24"/>
              </w:rPr>
            </w:pPr>
          </w:p>
        </w:tc>
      </w:tr>
      <w:tr w14:paraId="79CAA4A0">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8646E">
            <w:pPr>
              <w:widowControl/>
              <w:jc w:val="center"/>
              <w:textAlignment w:val="center"/>
              <w:rPr>
                <w:rFonts w:ascii="宋体" w:hAnsi="宋体" w:cs="宋体"/>
                <w:sz w:val="24"/>
              </w:rPr>
            </w:pPr>
            <w:r>
              <w:rPr>
                <w:rFonts w:hint="eastAsia" w:ascii="宋体" w:hAnsi="宋体" w:cs="宋体"/>
                <w:kern w:val="0"/>
                <w:sz w:val="24"/>
                <w:lang w:bidi="ar"/>
              </w:rPr>
              <w:t>经营地址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B6F6F">
            <w:pPr>
              <w:jc w:val="center"/>
              <w:rPr>
                <w:rFonts w:ascii="宋体" w:hAnsi="宋体" w:cs="宋体"/>
                <w:sz w:val="24"/>
              </w:rPr>
            </w:pPr>
          </w:p>
        </w:tc>
      </w:tr>
      <w:tr w14:paraId="3DA09D6B">
        <w:tblPrEx>
          <w:tblCellMar>
            <w:top w:w="0" w:type="dxa"/>
            <w:left w:w="108" w:type="dxa"/>
            <w:bottom w:w="0" w:type="dxa"/>
            <w:right w:w="108" w:type="dxa"/>
          </w:tblCellMar>
        </w:tblPrEx>
        <w:trPr>
          <w:trHeight w:val="2400"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5AF2887">
            <w:pPr>
              <w:widowControl/>
              <w:jc w:val="left"/>
              <w:textAlignment w:val="center"/>
              <w:rPr>
                <w:rStyle w:val="14"/>
                <w:rFonts w:hint="default"/>
                <w:color w:val="auto"/>
                <w:lang w:bidi="ar"/>
              </w:rPr>
            </w:pPr>
            <w:r>
              <w:rPr>
                <w:rStyle w:val="14"/>
                <w:rFonts w:hint="default"/>
                <w:color w:val="auto"/>
                <w:lang w:bidi="ar"/>
              </w:rPr>
              <w:t>申请人承诺：</w:t>
            </w:r>
          </w:p>
          <w:p w14:paraId="5AAA1EED">
            <w:pPr>
              <w:widowControl/>
              <w:ind w:firstLine="486" w:firstLineChars="200"/>
              <w:jc w:val="left"/>
              <w:textAlignment w:val="center"/>
              <w:rPr>
                <w:rStyle w:val="14"/>
                <w:rFonts w:hint="default"/>
                <w:b w:val="0"/>
                <w:bCs w:val="0"/>
                <w:color w:val="auto"/>
                <w:lang w:bidi="ar"/>
              </w:rPr>
            </w:pPr>
            <w:r>
              <w:rPr>
                <w:rStyle w:val="14"/>
                <w:rFonts w:hint="default"/>
                <w:b w:val="0"/>
                <w:bCs w:val="0"/>
                <w:color w:val="auto"/>
                <w:lang w:bidi="ar"/>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14:paraId="00EADA80">
            <w:pPr>
              <w:widowControl/>
              <w:ind w:firstLine="486" w:firstLineChars="200"/>
              <w:jc w:val="left"/>
              <w:textAlignment w:val="center"/>
              <w:rPr>
                <w:rStyle w:val="14"/>
                <w:rFonts w:hint="default"/>
                <w:b w:val="0"/>
                <w:bCs w:val="0"/>
                <w:color w:val="auto"/>
                <w:lang w:bidi="ar"/>
              </w:rPr>
            </w:pPr>
            <w:r>
              <w:rPr>
                <w:rStyle w:val="14"/>
                <w:rFonts w:hint="default"/>
                <w:b w:val="0"/>
                <w:bCs w:val="0"/>
                <w:color w:val="auto"/>
                <w:lang w:bidi="ar"/>
              </w:rPr>
              <w:t>2.申请人所提交的预登记信息确保与到号办理时提交的办证信息一致，若不一致的，申请人应重新登记轮候；</w:t>
            </w:r>
          </w:p>
          <w:p w14:paraId="66891422">
            <w:pPr>
              <w:widowControl/>
              <w:ind w:firstLine="486" w:firstLineChars="200"/>
              <w:jc w:val="left"/>
              <w:textAlignment w:val="center"/>
              <w:rPr>
                <w:rStyle w:val="14"/>
                <w:rFonts w:hint="default"/>
                <w:b w:val="0"/>
                <w:bCs w:val="0"/>
                <w:color w:val="auto"/>
                <w:lang w:bidi="ar"/>
              </w:rPr>
            </w:pPr>
            <w:r>
              <w:rPr>
                <w:rStyle w:val="14"/>
                <w:rFonts w:hint="default"/>
                <w:b w:val="0"/>
                <w:bCs w:val="0"/>
                <w:color w:val="auto"/>
                <w:lang w:bidi="ar"/>
              </w:rPr>
              <w: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14:paraId="0FE04224">
            <w:pPr>
              <w:widowControl/>
              <w:ind w:firstLine="486" w:firstLineChars="200"/>
              <w:jc w:val="left"/>
              <w:textAlignment w:val="center"/>
              <w:rPr>
                <w:rFonts w:ascii="宋体" w:hAnsi="宋体" w:cs="宋体"/>
                <w:b/>
                <w:bCs/>
                <w:sz w:val="24"/>
              </w:rPr>
            </w:pPr>
            <w:r>
              <w:rPr>
                <w:rStyle w:val="14"/>
                <w:rFonts w:hint="default"/>
                <w:color w:val="auto"/>
                <w:lang w:bidi="ar"/>
              </w:rPr>
              <w:t>申请人或代理人（签名或印章）：</w:t>
            </w:r>
            <w:r>
              <w:rPr>
                <w:rStyle w:val="15"/>
                <w:rFonts w:hint="default"/>
                <w:color w:val="auto"/>
                <w:lang w:bidi="ar"/>
              </w:rPr>
              <w:t xml:space="preserve">        </w:t>
            </w:r>
            <w:r>
              <w:rPr>
                <w:rStyle w:val="14"/>
                <w:rFonts w:hint="default"/>
                <w:color w:val="auto"/>
                <w:lang w:bidi="ar"/>
              </w:rPr>
              <w:t xml:space="preserve">                                                                         </w:t>
            </w:r>
          </w:p>
        </w:tc>
      </w:tr>
      <w:tr w14:paraId="29D381E7">
        <w:tblPrEx>
          <w:tblCellMar>
            <w:top w:w="0" w:type="dxa"/>
            <w:left w:w="108" w:type="dxa"/>
            <w:bottom w:w="0" w:type="dxa"/>
            <w:right w:w="108" w:type="dxa"/>
          </w:tblCellMar>
        </w:tblPrEx>
        <w:trPr>
          <w:trHeight w:val="1166"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BF144">
            <w:pPr>
              <w:widowControl/>
              <w:jc w:val="center"/>
              <w:textAlignment w:val="center"/>
              <w:rPr>
                <w:rFonts w:ascii="宋体" w:hAnsi="宋体" w:cs="宋体"/>
                <w:b/>
                <w:bCs/>
                <w:sz w:val="24"/>
              </w:rPr>
            </w:pPr>
            <w:r>
              <w:rPr>
                <w:rFonts w:hint="eastAsia" w:ascii="宋体" w:hAnsi="宋体" w:cs="宋体"/>
                <w:b/>
                <w:bCs/>
                <w:kern w:val="0"/>
                <w:sz w:val="24"/>
                <w:lang w:bidi="ar"/>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6DAFD52">
            <w:pPr>
              <w:jc w:val="center"/>
              <w:rPr>
                <w:rFonts w:ascii="宋体" w:hAnsi="宋体" w:cs="宋体"/>
                <w:b/>
                <w:bCs/>
                <w:sz w:val="24"/>
              </w:rPr>
            </w:pPr>
          </w:p>
        </w:tc>
      </w:tr>
    </w:tbl>
    <w:p w14:paraId="448A0E4D">
      <w:pPr>
        <w:spacing w:before="55" w:line="343" w:lineRule="auto"/>
        <w:jc w:val="both"/>
        <w:rPr>
          <w:rFonts w:hint="eastAsia" w:ascii="仿宋_GB2312" w:hAnsi="仿宋_GB2312" w:eastAsia="仿宋_GB2312" w:cs="仿宋_GB2312"/>
          <w:spacing w:val="-2"/>
          <w:sz w:val="32"/>
          <w:szCs w:val="32"/>
          <w:lang w:eastAsia="zh-CN"/>
        </w:rPr>
      </w:pPr>
    </w:p>
    <w:p w14:paraId="11828771">
      <w:pPr>
        <w:spacing w:before="55" w:line="343" w:lineRule="auto"/>
        <w:jc w:val="both"/>
        <w:rPr>
          <w:rFonts w:hint="eastAsia" w:ascii="仿宋_GB2312" w:hAnsi="仿宋_GB2312" w:eastAsia="仿宋_GB2312" w:cs="仿宋_GB2312"/>
          <w:spacing w:val="-2"/>
          <w:sz w:val="32"/>
          <w:szCs w:val="32"/>
          <w:lang w:eastAsia="zh-CN"/>
        </w:rPr>
      </w:pPr>
    </w:p>
    <w:sectPr>
      <w:pgSz w:w="11906" w:h="16838"/>
      <w:pgMar w:top="1440" w:right="1797" w:bottom="1440" w:left="1797" w:header="851" w:footer="992" w:gutter="0"/>
      <w:cols w:space="0" w:num="1"/>
      <w:rtlGutter w:val="0"/>
      <w:docGrid w:type="linesAndChars" w:linePitch="319"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BF650">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AF6CA">
    <w:pPr>
      <w:spacing w:before="1" w:line="177" w:lineRule="auto"/>
      <w:ind w:left="324"/>
      <w:rPr>
        <w:rFonts w:ascii="宋体" w:hAnsi="宋体" w:eastAsia="宋体" w:cs="宋体"/>
        <w:sz w:val="32"/>
        <w:szCs w:val="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HorizontalSpacing w:val="107"/>
  <w:drawingGridVerticalSpacing w:val="159"/>
  <w:displayHorizontalDrawingGridEvery w:val="2"/>
  <w:displayVerticalDrawingGridEvery w:val="2"/>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kyY2YzYmExYTdlY2M5YzBhN2JhNjFjNWFlY2Y4YWMifQ=="/>
  </w:docVars>
  <w:rsids>
    <w:rsidRoot w:val="000F0A11"/>
    <w:rsid w:val="00032635"/>
    <w:rsid w:val="00095F66"/>
    <w:rsid w:val="00097658"/>
    <w:rsid w:val="000A2CD9"/>
    <w:rsid w:val="000F0A11"/>
    <w:rsid w:val="00183321"/>
    <w:rsid w:val="00191978"/>
    <w:rsid w:val="001C4AB7"/>
    <w:rsid w:val="002201B8"/>
    <w:rsid w:val="002624BE"/>
    <w:rsid w:val="00264F91"/>
    <w:rsid w:val="002913A1"/>
    <w:rsid w:val="002A6388"/>
    <w:rsid w:val="002A6702"/>
    <w:rsid w:val="002B5E8C"/>
    <w:rsid w:val="003270DA"/>
    <w:rsid w:val="00346BF3"/>
    <w:rsid w:val="003B3254"/>
    <w:rsid w:val="003C03E5"/>
    <w:rsid w:val="003D18BB"/>
    <w:rsid w:val="0046111D"/>
    <w:rsid w:val="004835C7"/>
    <w:rsid w:val="00493256"/>
    <w:rsid w:val="004A048D"/>
    <w:rsid w:val="004A7F09"/>
    <w:rsid w:val="004D7C09"/>
    <w:rsid w:val="004F75CE"/>
    <w:rsid w:val="005168AD"/>
    <w:rsid w:val="00544453"/>
    <w:rsid w:val="0054542C"/>
    <w:rsid w:val="0060050D"/>
    <w:rsid w:val="00620378"/>
    <w:rsid w:val="006F22A8"/>
    <w:rsid w:val="006F4BC9"/>
    <w:rsid w:val="00713023"/>
    <w:rsid w:val="00766689"/>
    <w:rsid w:val="0077147C"/>
    <w:rsid w:val="007848F1"/>
    <w:rsid w:val="007C797B"/>
    <w:rsid w:val="007F1123"/>
    <w:rsid w:val="008032DC"/>
    <w:rsid w:val="00852FFA"/>
    <w:rsid w:val="00856349"/>
    <w:rsid w:val="008978C8"/>
    <w:rsid w:val="00905FE7"/>
    <w:rsid w:val="00943BC2"/>
    <w:rsid w:val="00994BC2"/>
    <w:rsid w:val="00997893"/>
    <w:rsid w:val="009C50E7"/>
    <w:rsid w:val="009E0382"/>
    <w:rsid w:val="009F6020"/>
    <w:rsid w:val="00AE13DB"/>
    <w:rsid w:val="00AF681B"/>
    <w:rsid w:val="00B108EE"/>
    <w:rsid w:val="00B10EDE"/>
    <w:rsid w:val="00B21C2B"/>
    <w:rsid w:val="00B434A9"/>
    <w:rsid w:val="00B470F2"/>
    <w:rsid w:val="00B9033C"/>
    <w:rsid w:val="00BB628E"/>
    <w:rsid w:val="00BE7912"/>
    <w:rsid w:val="00C262F2"/>
    <w:rsid w:val="00C76B1A"/>
    <w:rsid w:val="00C83F3E"/>
    <w:rsid w:val="00C858DA"/>
    <w:rsid w:val="00C91248"/>
    <w:rsid w:val="00CB0167"/>
    <w:rsid w:val="00D143D9"/>
    <w:rsid w:val="00D35A54"/>
    <w:rsid w:val="00D7588B"/>
    <w:rsid w:val="00D957D4"/>
    <w:rsid w:val="00E24697"/>
    <w:rsid w:val="00E44452"/>
    <w:rsid w:val="00E54F8E"/>
    <w:rsid w:val="00EB350E"/>
    <w:rsid w:val="00EC47F3"/>
    <w:rsid w:val="00EE4E25"/>
    <w:rsid w:val="00F04F2D"/>
    <w:rsid w:val="00F54960"/>
    <w:rsid w:val="00F54D4C"/>
    <w:rsid w:val="03891569"/>
    <w:rsid w:val="04AE4440"/>
    <w:rsid w:val="07B41CF4"/>
    <w:rsid w:val="0A2473A2"/>
    <w:rsid w:val="12782330"/>
    <w:rsid w:val="135B09DC"/>
    <w:rsid w:val="15BA519D"/>
    <w:rsid w:val="1A3B4046"/>
    <w:rsid w:val="219E2725"/>
    <w:rsid w:val="23B077F5"/>
    <w:rsid w:val="243E10E8"/>
    <w:rsid w:val="25794621"/>
    <w:rsid w:val="25B56E61"/>
    <w:rsid w:val="2AE4045E"/>
    <w:rsid w:val="2F4278D8"/>
    <w:rsid w:val="30C147ED"/>
    <w:rsid w:val="31521287"/>
    <w:rsid w:val="36A14890"/>
    <w:rsid w:val="38621A60"/>
    <w:rsid w:val="3E2E1675"/>
    <w:rsid w:val="419832E8"/>
    <w:rsid w:val="42D34E7E"/>
    <w:rsid w:val="54770BDC"/>
    <w:rsid w:val="57783679"/>
    <w:rsid w:val="5A4324DC"/>
    <w:rsid w:val="5C671A09"/>
    <w:rsid w:val="5E330447"/>
    <w:rsid w:val="5FD353BF"/>
    <w:rsid w:val="622B5A34"/>
    <w:rsid w:val="66F93864"/>
    <w:rsid w:val="6A0F7330"/>
    <w:rsid w:val="7180645F"/>
    <w:rsid w:val="72FF1FB2"/>
    <w:rsid w:val="731E7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eastAsia="Arial"/>
    </w:r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paragraph" w:styleId="13">
    <w:name w:val="List Paragraph"/>
    <w:basedOn w:val="1"/>
    <w:unhideWhenUsed/>
    <w:qFormat/>
    <w:uiPriority w:val="99"/>
    <w:pPr>
      <w:ind w:firstLine="420" w:firstLineChars="200"/>
    </w:pPr>
  </w:style>
  <w:style w:type="character" w:customStyle="1" w:styleId="14">
    <w:name w:val="font11"/>
    <w:basedOn w:val="8"/>
    <w:autoRedefine/>
    <w:qFormat/>
    <w:uiPriority w:val="0"/>
    <w:rPr>
      <w:rFonts w:hint="eastAsia" w:ascii="宋体" w:hAnsi="宋体" w:eastAsia="宋体" w:cs="宋体"/>
      <w:b/>
      <w:bCs/>
      <w:color w:val="000000"/>
      <w:sz w:val="24"/>
      <w:szCs w:val="24"/>
      <w:u w:val="none"/>
    </w:rPr>
  </w:style>
  <w:style w:type="character" w:customStyle="1" w:styleId="15">
    <w:name w:val="font21"/>
    <w:basedOn w:val="8"/>
    <w:autoRedefine/>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numbering" Target="numbering.xml"/><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DEB73-75EF-40E5-B5A4-3E6130BD50FF}">
  <ds:schemaRefs/>
</ds:datastoreItem>
</file>

<file path=docProps/app.xml><?xml version="1.0" encoding="utf-8"?>
<Properties xmlns="http://schemas.openxmlformats.org/officeDocument/2006/extended-properties" xmlns:vt="http://schemas.openxmlformats.org/officeDocument/2006/docPropsVTypes">
  <Template>Normal</Template>
  <Pages>35</Pages>
  <Words>9793</Words>
  <Characters>10070</Characters>
  <Lines>26</Lines>
  <Paragraphs>7</Paragraphs>
  <TotalTime>11</TotalTime>
  <ScaleCrop>false</ScaleCrop>
  <LinksUpToDate>false</LinksUpToDate>
  <CharactersWithSpaces>10336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2024-09-24T10:24:00Z</dcterms:created>
  <dc:creator>Windows 用户</dc:creator>
  <cp:lastModifiedBy>朱芳瑞</cp:lastModifiedBy>
  <dcterms:modified xsi:type="dcterms:W3CDTF">2026-08-17T01:56:49Z</dcterms:modified>
  <dc:title>云南省烟草专卖局关于印发云南省XX县（市、区）烟草制品零售点合理布局</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2024-09-24T10:25:02Z</vt:filetime>
  </property>
  <property fmtid="{D5CDD505-2E9C-101B-9397-08002B2CF9AE}" pid="4" name="KSOProductBuildVer">
    <vt:lpwstr>2052-12.1.0.28043</vt:lpwstr>
  </property>
  <property fmtid="{D5CDD505-2E9C-101B-9397-08002B2CF9AE}" pid="5" name="ICV">
    <vt:lpwstr>F9519CE4F13C45C485D2DF83D9BFDB18_12</vt:lpwstr>
  </property>
  <property fmtid="{D5CDD505-2E9C-101B-9397-08002B2CF9AE}" pid="6" name="KSOTemplateDocerSaveRecord">
    <vt:lpwstr>eyJoZGlkIjoiYjk5ODM0YmMxOWJiYWQyNDU4MGIzYWRmYTA0ZmI5NDciLCJ1c2VySWQiOiIyMDk2ODU2MzMifQ==</vt:lpwstr>
  </property>
</Properties>
</file>