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华宁县畜牧兽医渔业中心</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pPr>
        <w:jc w:val="center"/>
        <w:rPr>
          <w:rFonts w:hint="eastAsia" w:ascii="方正小标宋简体" w:hAnsi="方正小标宋简体" w:eastAsia="方正小标宋简体" w:cs="方正小标宋简体"/>
          <w:sz w:val="36"/>
          <w:szCs w:val="36"/>
          <w:highlight w:val="none"/>
        </w:rPr>
      </w:pPr>
    </w:p>
    <w:p>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pPr>
        <w:jc w:val="left"/>
        <w:rPr>
          <w:rFonts w:hint="eastAsia" w:ascii="黑体" w:hAnsi="黑体" w:eastAsia="黑体"/>
          <w:sz w:val="30"/>
          <w:szCs w:val="30"/>
          <w:highlight w:val="none"/>
        </w:rPr>
      </w:pP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both"/>
        <w:rPr>
          <w:rFonts w:hint="eastAsia" w:ascii="黑体" w:hAnsi="黑体" w:eastAsia="黑体"/>
          <w:sz w:val="32"/>
          <w:szCs w:val="32"/>
          <w:highlight w:val="none"/>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pPr>
        <w:pStyle w:val="2"/>
        <w:adjustRightInd w:val="0"/>
        <w:snapToGrid w:val="0"/>
        <w:spacing w:line="600" w:lineRule="exact"/>
        <w:ind w:firstLine="630" w:firstLineChars="210"/>
        <w:rPr>
          <w:rFonts w:hint="eastAsia"/>
          <w:bCs/>
          <w:szCs w:val="30"/>
          <w:highlight w:val="none"/>
          <w:lang w:eastAsia="zh-CN"/>
        </w:rPr>
      </w:pPr>
      <w:r>
        <w:rPr>
          <w:rFonts w:hint="eastAsia" w:ascii="Times New Roman" w:hAnsi="Times New Roman"/>
          <w:bCs/>
          <w:szCs w:val="30"/>
          <w:highlight w:val="none"/>
        </w:rPr>
        <w:t>负责畜牧业、渔业技术推广体系建设工作；负责种畜禽管理、畜禽遗传资源管理、良种繁育体系建设；负责畜牧标准化生产和畜禽养殖废弃物资资源化利用，畜牧业良种和配套技术试验、示范及推广；负责饲料及生鲜乳质量安全抽样和监测工作；负责种草养畜及饲草地项目技术指导；承担牧草种质资源保护及开发利用，饲草饲料和农副资源开发利用及生产技术推广等工作；负责渔业生产技术示范推广及服务，水生动物防疫检疫、水产品质量安全和鱼药鱼饲料质量监测工作；指导水产投入品使用、病害防控、水产种质资源保育等工作；指导畜禽养殖、渔业安全生产服务；负责动物疫病的预防、动物及动物产品的检疫工作；负责动物防疫、检疫技术指导和培训工作；负责实施动物疫病的监测、检测、诊断、流行病学调查、疫情报告以及其他预防、控制等技术工作；承担动物疫病净化、消灭的技术工作；承担检疫电子出证、兽药追溯、兽医卫生、动物疫情等信息化管理工作；配合兽药管理及畜产品质量安全监督工作；完成县农业农村局交办的其他工作任务。</w:t>
      </w:r>
    </w:p>
    <w:p>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pPr>
        <w:spacing w:line="600" w:lineRule="exact"/>
        <w:ind w:firstLine="600" w:firstLineChars="200"/>
        <w:rPr>
          <w:rFonts w:hint="eastAsia" w:ascii="Times New Roman" w:hAnsi="Times New Roman" w:eastAsia="仿宋_GB2312"/>
          <w:color w:val="auto"/>
          <w:sz w:val="30"/>
          <w:szCs w:val="30"/>
          <w:highlight w:val="none"/>
          <w:lang w:val="en-US" w:eastAsia="zh-CN"/>
        </w:rPr>
      </w:pPr>
      <w:r>
        <w:rPr>
          <w:rFonts w:hint="eastAsia" w:ascii="Times New Roman" w:hAnsi="Times New Roman" w:eastAsia="仿宋_GB2312"/>
          <w:color w:val="auto"/>
          <w:sz w:val="30"/>
          <w:szCs w:val="30"/>
          <w:highlight w:val="none"/>
          <w:lang w:val="en-US" w:eastAsia="zh-CN"/>
        </w:rPr>
        <w:t>我单位共设置0个内设机构。</w:t>
      </w:r>
    </w:p>
    <w:p>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w:t>
      </w:r>
      <w:r>
        <w:rPr>
          <w:rFonts w:hint="eastAsia" w:ascii="Times New Roman" w:hAnsi="Times New Roman" w:eastAsia="仿宋_GB2312"/>
          <w:sz w:val="30"/>
          <w:szCs w:val="30"/>
          <w:highlight w:val="none"/>
          <w:lang w:val="en-US" w:eastAsia="zh-CN"/>
        </w:rPr>
        <w:t>华宁县农业农村局</w:t>
      </w:r>
      <w:r>
        <w:rPr>
          <w:rFonts w:hint="eastAsia" w:ascii="仿宋_GB2312" w:eastAsia="仿宋_GB2312"/>
          <w:sz w:val="30"/>
          <w:szCs w:val="30"/>
          <w:highlight w:val="none"/>
          <w:lang w:val="en-US" w:eastAsia="zh-CN"/>
        </w:rPr>
        <w:t>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21</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19</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2</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2</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2</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21</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21</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年末遗属</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kern w:val="0"/>
          <w:sz w:val="30"/>
          <w:szCs w:val="30"/>
          <w:highlight w:val="none"/>
          <w:lang w:val="en-US" w:eastAsia="zh-CN"/>
        </w:rPr>
        <w:t>人。</w:t>
      </w:r>
    </w:p>
    <w:p>
      <w:pPr>
        <w:spacing w:line="600" w:lineRule="exact"/>
        <w:ind w:firstLine="600" w:firstLineChars="200"/>
        <w:jc w:val="left"/>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车辆编制2辆，在编实有车辆2辆，超编0辆。</w:t>
      </w:r>
    </w:p>
    <w:p>
      <w:pPr>
        <w:numPr>
          <w:ilvl w:val="0"/>
          <w:numId w:val="1"/>
        </w:num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重点工作概述</w:t>
      </w:r>
    </w:p>
    <w:p>
      <w:pPr>
        <w:spacing w:line="600" w:lineRule="exact"/>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黑体" w:hAnsi="黑体" w:eastAsia="黑体"/>
          <w:sz w:val="30"/>
          <w:szCs w:val="30"/>
          <w:highlight w:val="none"/>
          <w:lang w:val="en-US" w:eastAsia="zh-CN"/>
        </w:rPr>
        <w:t xml:space="preserve">    </w:t>
      </w:r>
      <w:r>
        <w:rPr>
          <w:rFonts w:hint="eastAsia" w:ascii="Times New Roman" w:hAnsi="Times New Roman" w:eastAsia="仿宋_GB2312" w:cs="Arial"/>
          <w:color w:val="auto"/>
          <w:kern w:val="0"/>
          <w:sz w:val="30"/>
          <w:szCs w:val="30"/>
          <w:highlight w:val="none"/>
        </w:rPr>
        <w:t>1.加强重大动物疫病防控工作</w:t>
      </w:r>
      <w:r>
        <w:rPr>
          <w:rFonts w:hint="eastAsia" w:ascii="Times New Roman" w:hAnsi="Times New Roman" w:eastAsia="仿宋_GB2312" w:cs="Arial"/>
          <w:color w:val="auto"/>
          <w:kern w:val="0"/>
          <w:sz w:val="30"/>
          <w:szCs w:val="30"/>
          <w:highlight w:val="none"/>
          <w:lang w:eastAsia="zh-CN"/>
        </w:rPr>
        <w:t>。开展202</w:t>
      </w:r>
      <w:r>
        <w:rPr>
          <w:rFonts w:hint="eastAsia" w:ascii="Times New Roman" w:hAnsi="Times New Roman" w:eastAsia="仿宋_GB2312" w:cs="Arial"/>
          <w:color w:val="auto"/>
          <w:kern w:val="0"/>
          <w:sz w:val="30"/>
          <w:szCs w:val="30"/>
          <w:highlight w:val="none"/>
          <w:lang w:val="en-US" w:eastAsia="zh-CN"/>
        </w:rPr>
        <w:t>5</w:t>
      </w:r>
      <w:r>
        <w:rPr>
          <w:rFonts w:hint="eastAsia" w:ascii="Times New Roman" w:hAnsi="Times New Roman" w:eastAsia="仿宋_GB2312" w:cs="Arial"/>
          <w:color w:val="auto"/>
          <w:kern w:val="0"/>
          <w:sz w:val="30"/>
          <w:szCs w:val="30"/>
          <w:highlight w:val="none"/>
          <w:lang w:eastAsia="zh-CN"/>
        </w:rPr>
        <w:t>年重大动物疫病强制免疫，落实动物疫病强制免疫“先打后补”政策；组织实施非洲猪瘟等重大动物疫病监测和流行病学调查，落实非洲猪瘟常态化防控措施；开展家畜布鲁氏菌病专项监测；创建种畜禽场净化场和非洲猪瘟无疫小区。</w:t>
      </w:r>
    </w:p>
    <w:p>
      <w:pPr>
        <w:spacing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2.加强动物卫生监督工作</w:t>
      </w:r>
      <w:r>
        <w:rPr>
          <w:rFonts w:hint="eastAsia" w:ascii="Times New Roman" w:hAnsi="Times New Roman" w:eastAsia="仿宋_GB2312" w:cs="Arial"/>
          <w:color w:val="auto"/>
          <w:kern w:val="0"/>
          <w:sz w:val="30"/>
          <w:szCs w:val="30"/>
          <w:highlight w:val="none"/>
          <w:lang w:eastAsia="zh-CN"/>
        </w:rPr>
        <w:t>。严格产地检疫，充分发挥基层区域动监所的职能，不断完善规范产地检疫工作；严格屠宰检疫，严格执行屠宰检疫申报与准宰制度、同步检验检疫制度，落实生猪屠宰“两项制度”，做好“瘦肉精”抽检和企业自检工作；推进养殖环节病死畜禽无害处理全链条信息化管理；做好生猪等活畜禽运输车辆备案工作。</w:t>
      </w:r>
    </w:p>
    <w:p>
      <w:pPr>
        <w:spacing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3.加强畜牧业生产发展及畜禽粪污处理监督工作。做好畜禽养殖领域安全生产排查工作</w:t>
      </w:r>
      <w:r>
        <w:rPr>
          <w:rFonts w:hint="eastAsia" w:ascii="Times New Roman" w:hAnsi="Times New Roman" w:eastAsia="仿宋_GB2312" w:cs="Arial"/>
          <w:color w:val="auto"/>
          <w:kern w:val="0"/>
          <w:sz w:val="30"/>
          <w:szCs w:val="30"/>
          <w:highlight w:val="none"/>
          <w:lang w:eastAsia="zh-CN"/>
        </w:rPr>
        <w:t>；完善202</w:t>
      </w:r>
      <w:r>
        <w:rPr>
          <w:rFonts w:hint="eastAsia" w:ascii="Times New Roman" w:hAnsi="Times New Roman" w:eastAsia="仿宋_GB2312" w:cs="Arial"/>
          <w:color w:val="auto"/>
          <w:kern w:val="0"/>
          <w:sz w:val="30"/>
          <w:szCs w:val="30"/>
          <w:highlight w:val="none"/>
          <w:lang w:val="en-US" w:eastAsia="zh-CN"/>
        </w:rPr>
        <w:t>5</w:t>
      </w:r>
      <w:r>
        <w:rPr>
          <w:rFonts w:hint="eastAsia" w:ascii="Times New Roman" w:hAnsi="Times New Roman" w:eastAsia="仿宋_GB2312" w:cs="Arial"/>
          <w:color w:val="auto"/>
          <w:kern w:val="0"/>
          <w:sz w:val="30"/>
          <w:szCs w:val="30"/>
          <w:highlight w:val="none"/>
          <w:lang w:eastAsia="zh-CN"/>
        </w:rPr>
        <w:t>年草原生态保护补助奖励政策资金兑付工作。</w:t>
      </w:r>
    </w:p>
    <w:p>
      <w:pPr>
        <w:spacing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4.加强兽药、饲料、生鲜乳安全监管工作。对饲料及饲料添加剂经营场所开展饲料及饲料添加剂专项监督检查</w:t>
      </w:r>
      <w:r>
        <w:rPr>
          <w:rFonts w:hint="eastAsia" w:ascii="Times New Roman" w:hAnsi="Times New Roman" w:eastAsia="仿宋_GB2312" w:cs="Arial"/>
          <w:color w:val="auto"/>
          <w:kern w:val="0"/>
          <w:sz w:val="30"/>
          <w:szCs w:val="30"/>
          <w:highlight w:val="none"/>
          <w:lang w:eastAsia="zh-CN"/>
        </w:rPr>
        <w:t>；规范生鲜乳生产及收购环节的质量安全管理，保障乳制品质量安全，未发生重大动物疫情及畜产品质量安全事故。</w:t>
      </w:r>
    </w:p>
    <w:p>
      <w:pPr>
        <w:spacing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lang w:val="en-US" w:eastAsia="zh-CN"/>
        </w:rPr>
        <w:t>5</w:t>
      </w:r>
      <w:r>
        <w:rPr>
          <w:rFonts w:hint="eastAsia" w:ascii="Times New Roman" w:hAnsi="Times New Roman" w:eastAsia="仿宋_GB2312" w:cs="Arial"/>
          <w:color w:val="auto"/>
          <w:kern w:val="0"/>
          <w:sz w:val="30"/>
          <w:szCs w:val="30"/>
          <w:highlight w:val="none"/>
        </w:rPr>
        <w:t>.抓好渔业行政执法监管</w:t>
      </w:r>
      <w:r>
        <w:rPr>
          <w:rFonts w:hint="eastAsia" w:ascii="Times New Roman" w:hAnsi="Times New Roman" w:eastAsia="仿宋_GB2312" w:cs="Arial"/>
          <w:color w:val="auto"/>
          <w:kern w:val="0"/>
          <w:sz w:val="30"/>
          <w:szCs w:val="30"/>
          <w:highlight w:val="none"/>
          <w:lang w:eastAsia="zh-CN"/>
        </w:rPr>
        <w:t>，做好渔业基础培训，开展水生野生动物保护宣传及专项执法检查，组织实施外来</w:t>
      </w:r>
      <w:r>
        <w:rPr>
          <w:rFonts w:hint="eastAsia" w:eastAsia="仿宋_GB2312" w:cs="Arial"/>
          <w:color w:val="auto"/>
          <w:kern w:val="0"/>
          <w:sz w:val="30"/>
          <w:szCs w:val="30"/>
          <w:highlight w:val="none"/>
          <w:lang w:eastAsia="zh-CN"/>
        </w:rPr>
        <w:t>物种</w:t>
      </w:r>
      <w:r>
        <w:rPr>
          <w:rFonts w:hint="eastAsia" w:ascii="Times New Roman" w:hAnsi="Times New Roman" w:eastAsia="仿宋_GB2312" w:cs="Arial"/>
          <w:color w:val="auto"/>
          <w:kern w:val="0"/>
          <w:sz w:val="30"/>
          <w:szCs w:val="30"/>
          <w:highlight w:val="none"/>
          <w:lang w:eastAsia="zh-CN"/>
        </w:rPr>
        <w:t>入侵调查。</w:t>
      </w:r>
    </w:p>
    <w:p>
      <w:pPr>
        <w:spacing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lang w:val="en-US" w:eastAsia="zh-CN"/>
        </w:rPr>
        <w:t>6</w:t>
      </w:r>
      <w:r>
        <w:rPr>
          <w:rFonts w:hint="eastAsia" w:ascii="Times New Roman" w:hAnsi="Times New Roman" w:eastAsia="仿宋_GB2312" w:cs="Arial"/>
          <w:color w:val="auto"/>
          <w:kern w:val="0"/>
          <w:sz w:val="30"/>
          <w:szCs w:val="30"/>
          <w:highlight w:val="none"/>
        </w:rPr>
        <w:t>.认真完成上级布置的各种报表工作。</w:t>
      </w:r>
    </w:p>
    <w:p>
      <w:pPr>
        <w:spacing w:line="600" w:lineRule="exact"/>
        <w:ind w:firstLine="600" w:firstLineChars="200"/>
        <w:jc w:val="left"/>
        <w:rPr>
          <w:rFonts w:hint="eastAsia" w:ascii="仿宋_GB2312" w:hAnsi="宋体" w:eastAsia="仿宋_GB2312" w:cs="Arial"/>
          <w:kern w:val="0"/>
          <w:sz w:val="30"/>
          <w:szCs w:val="30"/>
          <w:highlight w:val="none"/>
        </w:rPr>
      </w:pPr>
      <w:r>
        <w:rPr>
          <w:rFonts w:hint="eastAsia" w:ascii="Times New Roman" w:hAnsi="Times New Roman" w:eastAsia="仿宋_GB2312" w:cs="Arial"/>
          <w:color w:val="auto"/>
          <w:kern w:val="0"/>
          <w:sz w:val="30"/>
          <w:szCs w:val="30"/>
          <w:highlight w:val="none"/>
          <w:lang w:val="en-US" w:eastAsia="zh-CN"/>
        </w:rPr>
        <w:t>7</w:t>
      </w:r>
      <w:r>
        <w:rPr>
          <w:rFonts w:hint="eastAsia" w:ascii="Times New Roman" w:hAnsi="Times New Roman" w:eastAsia="仿宋_GB2312" w:cs="Arial"/>
          <w:color w:val="auto"/>
          <w:kern w:val="0"/>
          <w:sz w:val="30"/>
          <w:szCs w:val="30"/>
          <w:highlight w:val="none"/>
        </w:rPr>
        <w:t>.认真完成业务工作外的其他工作，抓好党风廉政建设、综治维稳、法治宣传教育、扫黑除恶等工作。</w:t>
      </w: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pPr>
        <w:spacing w:line="600" w:lineRule="exact"/>
        <w:ind w:firstLine="600" w:firstLineChars="200"/>
        <w:jc w:val="left"/>
        <w:rPr>
          <w:rFonts w:hint="eastAsia" w:ascii="Times New Roman" w:hAnsi="Times New Roman" w:eastAsia="仿宋_GB2312"/>
          <w:sz w:val="30"/>
          <w:szCs w:val="30"/>
          <w:highlight w:val="none"/>
          <w:lang w:eastAsia="zh-CN"/>
        </w:rPr>
      </w:pPr>
      <w:r>
        <w:rPr>
          <w:rFonts w:hint="eastAsia" w:ascii="Times New Roman" w:hAnsi="Times New Roman" w:eastAsia="仿宋_GB2312"/>
          <w:sz w:val="30"/>
          <w:szCs w:val="30"/>
          <w:highlight w:val="none"/>
          <w:lang w:eastAsia="zh-CN"/>
        </w:rPr>
        <w:t>华宁县畜牧兽医渔业中心202</w:t>
      </w:r>
      <w:r>
        <w:rPr>
          <w:rFonts w:hint="eastAsia" w:ascii="Times New Roman" w:hAnsi="Times New Roman" w:eastAsia="仿宋_GB2312"/>
          <w:sz w:val="30"/>
          <w:szCs w:val="30"/>
          <w:highlight w:val="none"/>
          <w:lang w:val="en-US" w:eastAsia="zh-CN"/>
        </w:rPr>
        <w:t>5</w:t>
      </w:r>
      <w:r>
        <w:rPr>
          <w:rFonts w:hint="eastAsia" w:ascii="Times New Roman" w:hAnsi="Times New Roman" w:eastAsia="仿宋_GB2312"/>
          <w:sz w:val="30"/>
          <w:szCs w:val="30"/>
          <w:highlight w:val="none"/>
          <w:lang w:eastAsia="zh-CN"/>
        </w:rPr>
        <w:t>年度没有政府性基金收入，故《政府性基金预算财政拨款收入支出决算表》为空表。</w:t>
      </w:r>
    </w:p>
    <w:p>
      <w:pPr>
        <w:spacing w:line="600" w:lineRule="exact"/>
        <w:ind w:firstLine="600" w:firstLineChars="200"/>
        <w:jc w:val="left"/>
        <w:rPr>
          <w:rFonts w:hint="eastAsia" w:ascii="仿宋_GB2312" w:eastAsia="仿宋_GB2312"/>
          <w:sz w:val="30"/>
          <w:szCs w:val="30"/>
          <w:highlight w:val="none"/>
          <w:lang w:eastAsia="zh-CN"/>
        </w:rPr>
      </w:pPr>
      <w:r>
        <w:rPr>
          <w:rFonts w:hint="eastAsia" w:ascii="Times New Roman" w:hAnsi="Times New Roman" w:eastAsia="仿宋_GB2312"/>
          <w:sz w:val="30"/>
          <w:szCs w:val="30"/>
          <w:highlight w:val="none"/>
          <w:lang w:eastAsia="zh-CN"/>
        </w:rPr>
        <w:t>华宁县畜牧兽医渔业中心202</w:t>
      </w:r>
      <w:r>
        <w:rPr>
          <w:rFonts w:hint="eastAsia" w:ascii="Times New Roman" w:hAnsi="Times New Roman" w:eastAsia="仿宋_GB2312"/>
          <w:sz w:val="30"/>
          <w:szCs w:val="30"/>
          <w:highlight w:val="none"/>
          <w:lang w:val="en-US" w:eastAsia="zh-CN"/>
        </w:rPr>
        <w:t>5</w:t>
      </w:r>
      <w:r>
        <w:rPr>
          <w:rFonts w:hint="eastAsia" w:ascii="Times New Roman" w:hAnsi="Times New Roman" w:eastAsia="仿宋_GB2312"/>
          <w:sz w:val="30"/>
          <w:szCs w:val="30"/>
          <w:highlight w:val="none"/>
          <w:lang w:eastAsia="zh-CN"/>
        </w:rPr>
        <w:t>年度无国有资本经营预算财政拨款收入，《国有资本经营预算财政拨款收入支出决算表》为空表。</w:t>
      </w: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华宁县畜牧兽医渔业中心</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6</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853</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997.72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6</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841</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997.72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99.82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收入；其他收入</w:t>
      </w:r>
      <w:r>
        <w:rPr>
          <w:rFonts w:hint="eastAsia" w:ascii="仿宋_GB2312" w:hAnsi="仿宋_GB2312" w:eastAsia="仿宋_GB2312" w:cs="仿宋_GB2312"/>
          <w:color w:val="auto"/>
          <w:sz w:val="30"/>
          <w:lang w:val="zh-CN"/>
        </w:rPr>
        <w:t>12</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0.18</w:t>
      </w:r>
      <w:r>
        <w:rPr>
          <w:rFonts w:hint="eastAsia" w:ascii="仿宋_GB2312" w:eastAsia="仿宋_GB2312"/>
          <w:sz w:val="30"/>
          <w:szCs w:val="30"/>
          <w:highlight w:val="none"/>
        </w:rPr>
        <w:t>%。</w:t>
      </w:r>
    </w:p>
    <w:p>
      <w:pPr>
        <w:widowControl/>
        <w:snapToGrid w:val="0"/>
        <w:spacing w:before="100" w:after="100" w:line="600" w:lineRule="exact"/>
        <w:ind w:firstLine="538"/>
        <w:jc w:val="both"/>
        <w:rPr>
          <w:rFonts w:hint="eastAsia" w:ascii="仿宋_GB2312" w:eastAsia="仿宋_GB2312"/>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528</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250.70</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7.16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514</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823.20</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7.00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Times New Roman" w:hAnsi="Times New Roman" w:eastAsia="仿宋_GB2312" w:cs="仿宋_GB2312"/>
          <w:color w:val="auto"/>
          <w:sz w:val="30"/>
          <w:lang w:val="zh-CN" w:eastAsia="zh-CN"/>
        </w:rPr>
        <w:t>主要原因是：</w:t>
      </w:r>
      <w:r>
        <w:rPr>
          <w:rFonts w:hint="eastAsia" w:ascii="Times New Roman" w:hAnsi="Times New Roman" w:eastAsia="仿宋_GB2312" w:cs="仿宋_GB2312"/>
          <w:color w:val="auto"/>
          <w:sz w:val="30"/>
          <w:lang w:val="en-US" w:eastAsia="zh-CN"/>
        </w:rPr>
        <w:t>2025年农业保险保费补贴经费减少；2024年拨付了2023年市级村级动物防疫（协检）员工资及人身意外伤害保险补助经费；2024年拨付死亡抚恤金及丧葬经费。2025年生猪屠宰监管及屠宰环节无害化处理补助资金减少。</w:t>
      </w:r>
      <w:r>
        <w:rPr>
          <w:rFonts w:hint="eastAsia" w:ascii="仿宋_GB2312" w:eastAsia="仿宋_GB2312"/>
          <w:sz w:val="30"/>
          <w:szCs w:val="30"/>
          <w:highlight w:val="none"/>
          <w:lang w:eastAsia="zh-CN"/>
        </w:rPr>
        <w:t>其他收入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13</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427.50</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52.81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Times New Roman" w:hAnsi="Times New Roman" w:eastAsia="仿宋_GB2312" w:cs="仿宋_GB2312"/>
          <w:color w:val="auto"/>
          <w:sz w:val="30"/>
          <w:lang w:val="zh-CN" w:eastAsia="zh-CN"/>
        </w:rPr>
        <w:t>主要原因是：2025年畜牧兽医渔业中心办公经费收入减少。</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华宁县畜牧兽医渔业中心</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6</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853</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959.72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3</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955</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111.87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57.71</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2</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898</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847.85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42.29</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对附属单位补助支出。</w:t>
      </w:r>
    </w:p>
    <w:p>
      <w:pPr>
        <w:spacing w:line="600" w:lineRule="exact"/>
        <w:ind w:firstLine="600" w:firstLineChars="200"/>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529</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016.09</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7.17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449</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588.13</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12.83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Times New Roman" w:hAnsi="Times New Roman" w:eastAsia="仿宋_GB2312"/>
          <w:color w:val="auto"/>
          <w:sz w:val="30"/>
          <w:szCs w:val="30"/>
          <w:highlight w:val="none"/>
          <w:lang w:eastAsia="zh-CN"/>
        </w:rPr>
        <w:t>主要原因是：</w:t>
      </w:r>
      <w:r>
        <w:rPr>
          <w:rFonts w:hint="eastAsia" w:ascii="Times New Roman" w:hAnsi="Times New Roman" w:eastAsia="仿宋_GB2312"/>
          <w:color w:val="auto"/>
          <w:sz w:val="30"/>
          <w:szCs w:val="30"/>
          <w:highlight w:val="none"/>
          <w:lang w:val="en-US" w:eastAsia="zh-CN"/>
        </w:rPr>
        <w:t>2024年底新招考2人，调入1人，所以2025年事业人员工资及社保费支出增加</w:t>
      </w:r>
      <w:r>
        <w:rPr>
          <w:rFonts w:hint="eastAsia" w:ascii="Times New Roman" w:hAnsi="Times New Roman" w:eastAsia="仿宋_GB2312"/>
          <w:color w:val="auto"/>
          <w:sz w:val="30"/>
          <w:szCs w:val="30"/>
          <w:highlight w:val="none"/>
          <w:lang w:eastAsia="zh-CN"/>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978</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604.22</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25.24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主要原因是：2025年农业保险保费补贴经费减少；2024年拨付了2023年市级村级动物防疫（协检）员工资及人身意外伤害保险补助经费；2024年拨付死亡抚恤金及丧葬经费。2025年生猪屠宰监管及屠宰环节无害化处理补助资金减少。</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华宁县畜牧兽医渔业中心</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3</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955</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111.87</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3</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865</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215.96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97.73</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89</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895.91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2.27</w:t>
      </w:r>
      <w:r>
        <w:rPr>
          <w:rFonts w:hint="eastAsia" w:ascii="仿宋_GB2312" w:hAnsi="仿宋_GB2312" w:eastAsia="仿宋_GB2312" w:cs="仿宋_GB2312"/>
          <w:sz w:val="30"/>
          <w:szCs w:val="30"/>
          <w:highlight w:val="none"/>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华宁县畜牧兽医渔业中心</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2</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898</w:t>
      </w:r>
      <w:r>
        <w:rPr>
          <w:rFonts w:hint="eastAsia" w:ascii="Times New Roman" w:hAnsi="Times New Roman" w:eastAsia="仿宋_GB2312" w:cs="仿宋_GB2312"/>
          <w:color w:val="auto"/>
          <w:sz w:val="30"/>
          <w:lang w:val="zh-CN"/>
        </w:rPr>
        <w:t>,</w:t>
      </w:r>
      <w:r>
        <w:rPr>
          <w:rFonts w:hint="eastAsia" w:ascii="仿宋_GB2312" w:hAnsi="仿宋_GB2312" w:eastAsia="仿宋_GB2312" w:cs="仿宋_GB2312"/>
          <w:color w:val="auto"/>
          <w:sz w:val="30"/>
          <w:lang w:val="zh-CN"/>
        </w:rPr>
        <w:t>847.85</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玉财农〔2022〕248号2023年中央农业资源及生态保护补助资金2,400,914.85</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，主要用于</w:t>
      </w:r>
      <w:r>
        <w:rPr>
          <w:rFonts w:hint="eastAsia" w:ascii="Times New Roman" w:hAnsi="Times New Roman" w:eastAsia="仿宋_GB2312"/>
          <w:sz w:val="30"/>
          <w:szCs w:val="30"/>
          <w:highlight w:val="none"/>
          <w:lang w:val="en-US" w:eastAsia="zh-CN"/>
        </w:rPr>
        <w:t>2023年</w:t>
      </w:r>
      <w:r>
        <w:rPr>
          <w:rFonts w:hint="eastAsia" w:ascii="Times New Roman" w:hAnsi="Times New Roman" w:eastAsia="仿宋_GB2312"/>
          <w:sz w:val="30"/>
          <w:szCs w:val="30"/>
          <w:highlight w:val="none"/>
        </w:rPr>
        <w:t>一卡通草原补奖</w:t>
      </w:r>
      <w:r>
        <w:rPr>
          <w:rFonts w:hint="eastAsia" w:ascii="Times New Roman" w:hAnsi="Times New Roman" w:eastAsia="仿宋_GB2312"/>
          <w:sz w:val="30"/>
          <w:szCs w:val="30"/>
          <w:highlight w:val="none"/>
          <w:lang w:eastAsia="zh-CN"/>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玉财金〔2022〕130号2023年中央财政农业保险保费补贴经费</w:t>
      </w:r>
    </w:p>
    <w:p>
      <w:pPr>
        <w:keepNext w:val="0"/>
        <w:keepLines w:val="0"/>
        <w:pageBreakBefore w:val="0"/>
        <w:widowControl/>
        <w:kinsoku/>
        <w:wordWrap w:val="0"/>
        <w:overflowPunct/>
        <w:topLinePunct w:val="0"/>
        <w:autoSpaceDE/>
        <w:autoSpaceDN/>
        <w:bidi w:val="0"/>
        <w:adjustRightInd/>
        <w:snapToGrid w:val="0"/>
        <w:spacing w:before="100" w:after="100" w:line="600" w:lineRule="exact"/>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300,000.00元，主要用于2023年育肥猪保险</w:t>
      </w:r>
      <w:r>
        <w:rPr>
          <w:rFonts w:hint="eastAsia" w:ascii="仿宋_GB2312" w:eastAsia="仿宋_GB2312"/>
          <w:sz w:val="30"/>
          <w:szCs w:val="30"/>
          <w:highlight w:val="none"/>
          <w:lang w:eastAsia="zh-CN"/>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玉财农〔2022〕252号2023年中央动物防疫等补助资金80,000.00元，主要用于化解2023年牛羊口蹄疫疫苗款</w:t>
      </w:r>
      <w:r>
        <w:rPr>
          <w:rFonts w:hint="eastAsia" w:ascii="仿宋_GB2312" w:eastAsia="仿宋_GB2312"/>
          <w:sz w:val="30"/>
          <w:szCs w:val="30"/>
          <w:highlight w:val="none"/>
          <w:lang w:eastAsia="zh-CN"/>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玉财农〔2021〕256号2022年中央动物防疫等补助经费31,900.00元，</w:t>
      </w:r>
      <w:r>
        <w:rPr>
          <w:rFonts w:hint="eastAsia" w:ascii="仿宋_GB2312" w:eastAsia="仿宋_GB2312"/>
          <w:sz w:val="30"/>
          <w:szCs w:val="30"/>
          <w:highlight w:val="none"/>
        </w:rPr>
        <w:t>主要用于化解2022年兽医实验室检测耗材款15,900.00</w:t>
      </w:r>
      <w:r>
        <w:rPr>
          <w:rFonts w:hint="eastAsia" w:ascii="仿宋_GB2312" w:eastAsia="仿宋_GB2312"/>
          <w:sz w:val="30"/>
          <w:szCs w:val="30"/>
          <w:highlight w:val="none"/>
          <w:lang w:eastAsia="zh-CN"/>
        </w:rPr>
        <w:t>元；化解2022年小反刍兽疫疫苗款16,000.00元。</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玉财农〔2024〕204号2025年重大动物疫病防控省级配套资金19,500.00元，</w:t>
      </w:r>
      <w:r>
        <w:rPr>
          <w:rFonts w:hint="eastAsia" w:ascii="仿宋_GB2312" w:eastAsia="仿宋_GB2312"/>
          <w:sz w:val="30"/>
          <w:szCs w:val="30"/>
          <w:highlight w:val="none"/>
        </w:rPr>
        <w:t>主要用于2024年动物疫病强制免疫“先打后补”补助资金</w:t>
      </w:r>
      <w:r>
        <w:rPr>
          <w:rFonts w:hint="eastAsia" w:ascii="仿宋_GB2312" w:eastAsia="仿宋_GB2312"/>
          <w:sz w:val="30"/>
          <w:szCs w:val="30"/>
          <w:highlight w:val="none"/>
          <w:lang w:eastAsia="zh-CN"/>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玉财农〔2024〕202号2025年农业防灾减灾和水利救灾（动物防疫补助）资金18,550.00元，</w:t>
      </w:r>
      <w:r>
        <w:rPr>
          <w:rFonts w:hint="eastAsia" w:ascii="仿宋_GB2312" w:eastAsia="仿宋_GB2312"/>
          <w:sz w:val="30"/>
          <w:szCs w:val="30"/>
          <w:highlight w:val="none"/>
        </w:rPr>
        <w:t>主要用于2024年动物疫病强制免疫“先打后补”补助资金</w:t>
      </w:r>
      <w:r>
        <w:rPr>
          <w:rFonts w:hint="eastAsia" w:ascii="仿宋_GB2312" w:eastAsia="仿宋_GB2312"/>
          <w:sz w:val="30"/>
          <w:szCs w:val="30"/>
          <w:highlight w:val="none"/>
          <w:lang w:eastAsia="zh-CN"/>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玉财农〔2023〕238号2024年中央动物防疫补助经费11,600.00元，</w:t>
      </w:r>
      <w:r>
        <w:rPr>
          <w:rFonts w:hint="eastAsia" w:ascii="仿宋_GB2312" w:eastAsia="仿宋_GB2312"/>
          <w:sz w:val="30"/>
          <w:szCs w:val="30"/>
          <w:highlight w:val="none"/>
        </w:rPr>
        <w:t>主要用于2024年布病阳性羊只扑杀及无害化处理经</w:t>
      </w:r>
      <w:r>
        <w:rPr>
          <w:rFonts w:hint="eastAsia" w:ascii="仿宋_GB2312" w:eastAsia="仿宋_GB2312"/>
          <w:sz w:val="30"/>
          <w:szCs w:val="30"/>
          <w:highlight w:val="none"/>
          <w:lang w:eastAsia="zh-CN"/>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FF0000"/>
          <w:sz w:val="30"/>
          <w:szCs w:val="30"/>
          <w:highlight w:val="none"/>
        </w:rPr>
      </w:pPr>
      <w:r>
        <w:rPr>
          <w:rFonts w:hint="eastAsia" w:ascii="仿宋_GB2312" w:eastAsia="仿宋_GB2312"/>
          <w:sz w:val="30"/>
          <w:szCs w:val="30"/>
          <w:highlight w:val="none"/>
          <w:lang w:eastAsia="zh-CN"/>
        </w:rPr>
        <w:t>玉财农〔2023〕21号2023年重大动物疫病防控省级补助经费16,000.00元，</w:t>
      </w:r>
      <w:r>
        <w:rPr>
          <w:rFonts w:hint="eastAsia" w:ascii="仿宋_GB2312" w:eastAsia="仿宋_GB2312"/>
          <w:sz w:val="30"/>
          <w:szCs w:val="30"/>
          <w:highlight w:val="none"/>
        </w:rPr>
        <w:t>主要用于化解2023年小反刍兽疫疫苗款</w:t>
      </w:r>
      <w:r>
        <w:rPr>
          <w:rFonts w:hint="eastAsia" w:ascii="仿宋_GB2312" w:eastAsia="仿宋_GB2312"/>
          <w:sz w:val="30"/>
          <w:szCs w:val="30"/>
          <w:highlight w:val="none"/>
          <w:lang w:eastAsia="zh-CN"/>
        </w:rPr>
        <w:t>。</w:t>
      </w:r>
    </w:p>
    <w:p>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华宁县畜牧兽医渔业中心</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6</w:t>
      </w:r>
      <w:r>
        <w:rPr>
          <w:rFonts w:hint="eastAsia" w:ascii="仿宋_GB2312" w:eastAsia="仿宋_GB2312"/>
          <w:sz w:val="30"/>
          <w:szCs w:val="30"/>
          <w:highlight w:val="none"/>
          <w:lang w:eastAsia="zh-CN"/>
        </w:rPr>
        <w:t>,</w:t>
      </w:r>
      <w:r>
        <w:rPr>
          <w:rFonts w:hint="eastAsia" w:ascii="仿宋_GB2312" w:hAnsi="仿宋_GB2312" w:eastAsia="仿宋_GB2312" w:cs="仿宋_GB2312"/>
          <w:color w:val="auto"/>
          <w:kern w:val="0"/>
          <w:sz w:val="30"/>
          <w:lang w:val="zh-CN"/>
        </w:rPr>
        <w:t>841</w:t>
      </w:r>
      <w:r>
        <w:rPr>
          <w:rFonts w:hint="eastAsia" w:ascii="仿宋_GB2312" w:eastAsia="仿宋_GB2312"/>
          <w:sz w:val="30"/>
          <w:szCs w:val="30"/>
          <w:highlight w:val="none"/>
          <w:lang w:eastAsia="zh-CN"/>
        </w:rPr>
        <w:t>,</w:t>
      </w:r>
      <w:r>
        <w:rPr>
          <w:rFonts w:hint="eastAsia" w:ascii="仿宋_GB2312" w:hAnsi="仿宋_GB2312" w:eastAsia="仿宋_GB2312" w:cs="仿宋_GB2312"/>
          <w:color w:val="auto"/>
          <w:kern w:val="0"/>
          <w:sz w:val="30"/>
          <w:lang w:val="zh-CN"/>
        </w:rPr>
        <w:t>997.72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99.83</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514</w:t>
      </w:r>
      <w:r>
        <w:rPr>
          <w:rFonts w:hint="eastAsia" w:ascii="仿宋_GB2312" w:eastAsia="仿宋_GB2312"/>
          <w:sz w:val="30"/>
          <w:szCs w:val="30"/>
          <w:highlight w:val="none"/>
          <w:lang w:eastAsia="zh-CN"/>
        </w:rPr>
        <w:t>,</w:t>
      </w:r>
      <w:r>
        <w:rPr>
          <w:rFonts w:hint="eastAsia" w:ascii="仿宋_GB2312" w:hAnsi="仿宋_GB2312" w:eastAsia="仿宋_GB2312" w:cs="仿宋_GB2312"/>
          <w:color w:val="auto"/>
          <w:kern w:val="0"/>
          <w:sz w:val="30"/>
          <w:lang w:val="zh-CN"/>
        </w:rPr>
        <w:t>823.20</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7.00</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163.37</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eastAsia="仿宋_GB2312"/>
          <w:sz w:val="30"/>
          <w:szCs w:val="30"/>
          <w:highlight w:val="none"/>
          <w:lang w:eastAsia="zh-CN"/>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eastAsia="仿宋_GB2312"/>
          <w:sz w:val="30"/>
          <w:szCs w:val="30"/>
          <w:highlight w:val="none"/>
          <w:lang w:eastAsia="zh-CN"/>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eastAsia="仿宋_GB2312"/>
          <w:sz w:val="30"/>
          <w:szCs w:val="30"/>
          <w:highlight w:val="none"/>
          <w:lang w:eastAsia="zh-CN"/>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eastAsia="仿宋_GB2312"/>
          <w:sz w:val="30"/>
          <w:szCs w:val="30"/>
          <w:highlight w:val="none"/>
          <w:lang w:eastAsia="zh-CN"/>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eastAsia="仿宋_GB2312"/>
          <w:sz w:val="30"/>
          <w:szCs w:val="30"/>
          <w:highlight w:val="none"/>
          <w:lang w:eastAsia="zh-CN"/>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eastAsia="仿宋_GB2312"/>
          <w:sz w:val="30"/>
          <w:szCs w:val="30"/>
          <w:highlight w:val="none"/>
          <w:lang w:eastAsia="zh-CN"/>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eastAsia="仿宋_GB2312"/>
          <w:sz w:val="30"/>
          <w:szCs w:val="30"/>
          <w:highlight w:val="none"/>
          <w:lang w:eastAsia="zh-CN"/>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both"/>
        <w:rPr>
          <w:rFonts w:hint="eastAsia" w:ascii="Times New Roman" w:hAnsi="Times New Roman"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494</w:t>
      </w:r>
      <w:r>
        <w:rPr>
          <w:rFonts w:hint="eastAsia" w:ascii="Times New Roman" w:hAnsi="Times New Roman" w:eastAsia="仿宋_GB2312"/>
          <w:sz w:val="30"/>
          <w:szCs w:val="30"/>
          <w:highlight w:val="none"/>
          <w:lang w:eastAsia="zh-CN"/>
        </w:rPr>
        <w:t>,</w:t>
      </w:r>
      <w:r>
        <w:rPr>
          <w:rFonts w:hint="eastAsia" w:ascii="仿宋_GB2312" w:hAnsi="仿宋_GB2312" w:eastAsia="仿宋_GB2312" w:cs="仿宋_GB2312"/>
          <w:color w:val="auto"/>
          <w:kern w:val="0"/>
          <w:sz w:val="30"/>
          <w:lang w:val="en-US" w:eastAsia="zh-CN"/>
        </w:rPr>
        <w:t>456.94</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7.23</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71.94</w:t>
      </w:r>
      <w:r>
        <w:rPr>
          <w:rFonts w:hint="eastAsia" w:ascii="仿宋_GB2312" w:eastAsia="仿宋_GB2312"/>
          <w:sz w:val="30"/>
          <w:szCs w:val="30"/>
          <w:highlight w:val="none"/>
          <w:lang w:val="en-US" w:eastAsia="zh-CN"/>
        </w:rPr>
        <w:t>%，</w:t>
      </w:r>
      <w:r>
        <w:rPr>
          <w:rFonts w:hint="eastAsia" w:ascii="Times New Roman" w:hAnsi="Times New Roman" w:eastAsia="仿宋_GB2312" w:cs="Arial"/>
          <w:kern w:val="0"/>
          <w:sz w:val="30"/>
          <w:szCs w:val="30"/>
          <w:highlight w:val="none"/>
        </w:rPr>
        <w:t>主要用于</w:t>
      </w:r>
      <w:r>
        <w:rPr>
          <w:rFonts w:hint="eastAsia" w:ascii="Times New Roman" w:hAnsi="Times New Roman" w:eastAsia="仿宋_GB2312"/>
          <w:sz w:val="30"/>
          <w:szCs w:val="30"/>
          <w:highlight w:val="none"/>
          <w:lang w:eastAsia="zh-CN"/>
        </w:rPr>
        <w:t>事业单位基本养老金缴费372,537.92元</w:t>
      </w:r>
      <w:r>
        <w:rPr>
          <w:rFonts w:hint="eastAsia" w:ascii="Times New Roman" w:hAnsi="Times New Roman" w:eastAsia="仿宋_GB2312" w:cs="Arial"/>
          <w:kern w:val="0"/>
          <w:sz w:val="30"/>
          <w:szCs w:val="30"/>
          <w:highlight w:val="none"/>
        </w:rPr>
        <w:t>；机关事业单位职业年金缴费支出113,498.02</w:t>
      </w:r>
      <w:r>
        <w:rPr>
          <w:rFonts w:hint="eastAsia" w:ascii="Times New Roman" w:hAnsi="Times New Roman" w:eastAsia="仿宋_GB2312" w:cs="Arial"/>
          <w:kern w:val="0"/>
          <w:sz w:val="30"/>
          <w:szCs w:val="30"/>
          <w:highlight w:val="none"/>
          <w:lang w:eastAsia="zh-CN"/>
        </w:rPr>
        <w:t>元；</w:t>
      </w:r>
      <w:r>
        <w:rPr>
          <w:rFonts w:hint="eastAsia" w:ascii="Times New Roman" w:hAnsi="Times New Roman" w:eastAsia="仿宋_GB2312" w:cs="Arial"/>
          <w:kern w:val="0"/>
          <w:sz w:val="30"/>
          <w:szCs w:val="30"/>
          <w:highlight w:val="none"/>
        </w:rPr>
        <w:t>死亡抚恤金支</w:t>
      </w:r>
      <w:r>
        <w:rPr>
          <w:rFonts w:hint="eastAsia" w:ascii="Times New Roman" w:hAnsi="Times New Roman" w:eastAsia="仿宋_GB2312" w:cs="Arial"/>
          <w:kern w:val="0"/>
          <w:sz w:val="30"/>
          <w:szCs w:val="30"/>
          <w:highlight w:val="none"/>
          <w:lang w:eastAsia="zh-CN"/>
        </w:rPr>
        <w:t>出（遗属补助）</w:t>
      </w:r>
      <w:r>
        <w:rPr>
          <w:rFonts w:hint="eastAsia" w:ascii="Times New Roman" w:hAnsi="Times New Roman" w:eastAsia="仿宋_GB2312" w:cs="Arial"/>
          <w:kern w:val="0"/>
          <w:sz w:val="30"/>
          <w:szCs w:val="30"/>
          <w:highlight w:val="none"/>
        </w:rPr>
        <w:t>8,421.00元</w:t>
      </w:r>
      <w:r>
        <w:rPr>
          <w:rFonts w:hint="eastAsia" w:ascii="Times New Roman" w:hAnsi="Times New Roman" w:eastAsia="仿宋_GB2312" w:cs="Arial"/>
          <w:kern w:val="0"/>
          <w:sz w:val="30"/>
          <w:szCs w:val="30"/>
          <w:highlight w:val="none"/>
          <w:lang w:eastAsia="zh-CN"/>
        </w:rPr>
        <w:t>。造成预决算差异的主要原因是</w:t>
      </w:r>
      <w:r>
        <w:rPr>
          <w:rFonts w:hint="eastAsia" w:ascii="Times New Roman" w:hAnsi="Times New Roman" w:eastAsia="仿宋_GB2312" w:cs="Arial"/>
          <w:kern w:val="0"/>
          <w:sz w:val="30"/>
          <w:szCs w:val="30"/>
          <w:highlight w:val="none"/>
          <w:lang w:val="en-US" w:eastAsia="zh-CN"/>
        </w:rPr>
        <w:t>2025年</w:t>
      </w:r>
      <w:r>
        <w:rPr>
          <w:rFonts w:hint="eastAsia" w:ascii="Times New Roman" w:hAnsi="Times New Roman" w:eastAsia="仿宋_GB2312" w:cs="Arial"/>
          <w:color w:val="auto"/>
          <w:kern w:val="0"/>
          <w:sz w:val="30"/>
          <w:szCs w:val="30"/>
          <w:highlight w:val="none"/>
          <w:lang w:val="en-US" w:eastAsia="zh-CN"/>
        </w:rPr>
        <w:t>1至12月</w:t>
      </w:r>
      <w:r>
        <w:rPr>
          <w:rFonts w:hint="eastAsia" w:ascii="Times New Roman" w:hAnsi="Times New Roman" w:eastAsia="仿宋_GB2312" w:cs="Arial"/>
          <w:kern w:val="0"/>
          <w:sz w:val="30"/>
          <w:szCs w:val="30"/>
          <w:highlight w:val="none"/>
          <w:lang w:val="en-US" w:eastAsia="zh-CN"/>
        </w:rPr>
        <w:t>退休人员生活补助尚未拨付</w:t>
      </w:r>
      <w:r>
        <w:rPr>
          <w:rFonts w:hint="eastAsia" w:ascii="Times New Roman" w:hAnsi="Times New Roman"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365</w:t>
      </w:r>
      <w:r>
        <w:rPr>
          <w:rFonts w:hint="eastAsia" w:ascii="Times New Roman" w:hAnsi="Times New Roman" w:eastAsia="仿宋_GB2312" w:cs="Arial"/>
          <w:kern w:val="0"/>
          <w:sz w:val="30"/>
          <w:szCs w:val="30"/>
          <w:highlight w:val="none"/>
        </w:rPr>
        <w:t>,</w:t>
      </w:r>
      <w:r>
        <w:rPr>
          <w:rFonts w:hint="eastAsia" w:ascii="仿宋_GB2312" w:hAnsi="仿宋_GB2312" w:eastAsia="仿宋_GB2312" w:cs="仿宋_GB2312"/>
          <w:color w:val="auto"/>
          <w:kern w:val="0"/>
          <w:sz w:val="30"/>
          <w:lang w:val="zh-CN"/>
        </w:rPr>
        <w:t>449.31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5.34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97.61</w:t>
      </w:r>
      <w:r>
        <w:rPr>
          <w:rFonts w:hint="eastAsia" w:ascii="仿宋_GB2312" w:eastAsia="仿宋_GB2312"/>
          <w:sz w:val="30"/>
          <w:szCs w:val="30"/>
          <w:highlight w:val="none"/>
          <w:lang w:val="en-US" w:eastAsia="zh-CN"/>
        </w:rPr>
        <w:t>%，</w:t>
      </w:r>
      <w:r>
        <w:rPr>
          <w:rFonts w:hint="eastAsia" w:ascii="Times New Roman" w:hAnsi="Times New Roman" w:eastAsia="仿宋_GB2312" w:cs="Arial"/>
          <w:kern w:val="0"/>
          <w:sz w:val="30"/>
          <w:szCs w:val="30"/>
          <w:highlight w:val="none"/>
        </w:rPr>
        <w:t>主要用于</w:t>
      </w:r>
      <w:r>
        <w:rPr>
          <w:rFonts w:hint="eastAsia" w:eastAsia="仿宋_GB2312" w:cs="Arial"/>
          <w:kern w:val="0"/>
          <w:sz w:val="30"/>
          <w:szCs w:val="30"/>
          <w:highlight w:val="none"/>
          <w:lang w:eastAsia="zh-CN"/>
        </w:rPr>
        <w:t>事业人员</w:t>
      </w:r>
      <w:r>
        <w:rPr>
          <w:rFonts w:hint="eastAsia" w:ascii="Times New Roman" w:hAnsi="Times New Roman" w:eastAsia="仿宋_GB2312" w:cs="Arial"/>
          <w:kern w:val="0"/>
          <w:sz w:val="30"/>
          <w:szCs w:val="30"/>
          <w:highlight w:val="none"/>
        </w:rPr>
        <w:t>医疗保险缴费支出194,237.57元；公务员医疗补助150,690.18</w:t>
      </w:r>
      <w:r>
        <w:rPr>
          <w:rFonts w:hint="eastAsia" w:eastAsia="仿宋_GB2312" w:cs="Arial"/>
          <w:kern w:val="0"/>
          <w:sz w:val="30"/>
          <w:szCs w:val="30"/>
          <w:highlight w:val="none"/>
          <w:lang w:eastAsia="zh-CN"/>
        </w:rPr>
        <w:t>元；其他行政事业单位医疗支出（工伤保险、大病险）20,521.56元。</w:t>
      </w:r>
      <w:r>
        <w:rPr>
          <w:rFonts w:hint="eastAsia" w:ascii="Times New Roman" w:hAnsi="Times New Roman" w:eastAsia="仿宋_GB2312" w:cs="Arial"/>
          <w:kern w:val="0"/>
          <w:sz w:val="30"/>
          <w:szCs w:val="30"/>
          <w:highlight w:val="none"/>
          <w:lang w:eastAsia="zh-CN"/>
        </w:rPr>
        <w:t>造成预决算差异的主要原因是</w:t>
      </w:r>
      <w:r>
        <w:rPr>
          <w:rFonts w:hint="eastAsia" w:ascii="Times New Roman" w:hAnsi="Times New Roman" w:eastAsia="仿宋_GB2312"/>
          <w:color w:val="auto"/>
          <w:sz w:val="30"/>
          <w:szCs w:val="30"/>
          <w:highlight w:val="none"/>
          <w:lang w:eastAsia="zh-CN"/>
        </w:rPr>
        <w:t>2024年1</w:t>
      </w:r>
      <w:r>
        <w:rPr>
          <w:rFonts w:hint="eastAsia" w:eastAsia="仿宋_GB2312"/>
          <w:color w:val="auto"/>
          <w:sz w:val="30"/>
          <w:szCs w:val="30"/>
          <w:highlight w:val="none"/>
          <w:lang w:val="en-US" w:eastAsia="zh-CN"/>
        </w:rPr>
        <w:t>1</w:t>
      </w:r>
      <w:r>
        <w:rPr>
          <w:rFonts w:hint="eastAsia" w:ascii="Times New Roman" w:hAnsi="Times New Roman" w:eastAsia="仿宋_GB2312"/>
          <w:color w:val="auto"/>
          <w:sz w:val="30"/>
          <w:szCs w:val="30"/>
          <w:highlight w:val="none"/>
          <w:lang w:eastAsia="zh-CN"/>
        </w:rPr>
        <w:t>至12月职工基本医疗保险、公务员医疗补助尚未拨付</w:t>
      </w:r>
      <w:r>
        <w:rPr>
          <w:rFonts w:hint="eastAsia" w:ascii="Times New Roman" w:hAnsi="Times New Roman"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eastAsia="仿宋_GB2312"/>
          <w:sz w:val="30"/>
          <w:szCs w:val="30"/>
          <w:highlight w:val="none"/>
          <w:lang w:eastAsia="zh-CN"/>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eastAsia="仿宋_GB2312"/>
          <w:sz w:val="30"/>
          <w:szCs w:val="30"/>
          <w:highlight w:val="none"/>
          <w:lang w:eastAsia="zh-CN"/>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both"/>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5</w:t>
      </w:r>
      <w:r>
        <w:rPr>
          <w:rFonts w:hint="eastAsia" w:ascii="Times New Roman" w:hAnsi="Times New Roman" w:eastAsia="仿宋_GB2312" w:cs="Arial"/>
          <w:kern w:val="0"/>
          <w:sz w:val="30"/>
          <w:szCs w:val="30"/>
          <w:highlight w:val="none"/>
        </w:rPr>
        <w:t>,</w:t>
      </w:r>
      <w:r>
        <w:rPr>
          <w:rFonts w:hint="eastAsia" w:ascii="仿宋_GB2312" w:hAnsi="仿宋_GB2312" w:eastAsia="仿宋_GB2312" w:cs="仿宋_GB2312"/>
          <w:color w:val="auto"/>
          <w:kern w:val="0"/>
          <w:sz w:val="30"/>
          <w:lang w:val="zh-CN"/>
        </w:rPr>
        <w:t>695</w:t>
      </w:r>
      <w:r>
        <w:rPr>
          <w:rFonts w:hint="eastAsia" w:ascii="Times New Roman" w:hAnsi="Times New Roman" w:eastAsia="仿宋_GB2312" w:cs="Arial"/>
          <w:kern w:val="0"/>
          <w:sz w:val="30"/>
          <w:szCs w:val="30"/>
          <w:highlight w:val="none"/>
        </w:rPr>
        <w:t>,</w:t>
      </w:r>
      <w:r>
        <w:rPr>
          <w:rFonts w:hint="eastAsia" w:ascii="仿宋_GB2312" w:hAnsi="仿宋_GB2312" w:eastAsia="仿宋_GB2312" w:cs="仿宋_GB2312"/>
          <w:color w:val="auto"/>
          <w:kern w:val="0"/>
          <w:sz w:val="30"/>
          <w:lang w:val="zh-CN"/>
        </w:rPr>
        <w:t>241.47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83.24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202.20</w:t>
      </w:r>
      <w:r>
        <w:rPr>
          <w:rFonts w:hint="eastAsia" w:ascii="仿宋_GB2312" w:eastAsia="仿宋_GB2312"/>
          <w:sz w:val="30"/>
          <w:szCs w:val="30"/>
          <w:highlight w:val="none"/>
          <w:lang w:val="en-US" w:eastAsia="zh-CN"/>
        </w:rPr>
        <w:t>%，</w:t>
      </w:r>
      <w:r>
        <w:rPr>
          <w:rFonts w:hint="eastAsia" w:ascii="Times New Roman" w:hAnsi="Times New Roman" w:eastAsia="仿宋_GB2312" w:cs="仿宋_GB2312"/>
          <w:color w:val="auto"/>
          <w:kern w:val="0"/>
          <w:sz w:val="30"/>
          <w:lang w:val="en-US"/>
        </w:rPr>
        <w:t>主要用于农业生态资源保护</w:t>
      </w:r>
      <w:r>
        <w:rPr>
          <w:rFonts w:hint="eastAsia" w:ascii="Times New Roman" w:hAnsi="Times New Roman" w:eastAsia="仿宋_GB2312" w:cs="仿宋_GB2312"/>
          <w:color w:val="auto"/>
          <w:kern w:val="0"/>
          <w:sz w:val="30"/>
          <w:lang w:val="en-US" w:eastAsia="zh-CN"/>
        </w:rPr>
        <w:t>补助（2023年一卡通草原补奖）2,400,914.85元；病虫害控制177,550.00元；农业保险保费补贴300,000.00元；事业运行（人员经费和公用经费）2,816,776.62元</w:t>
      </w:r>
      <w:r>
        <w:rPr>
          <w:rFonts w:hint="eastAsia" w:ascii="Times New Roman" w:hAnsi="Times New Roman" w:eastAsia="仿宋_GB2312" w:cs="仿宋_GB2312"/>
          <w:color w:val="auto"/>
          <w:kern w:val="0"/>
          <w:sz w:val="30"/>
          <w:lang w:val="en-US"/>
        </w:rPr>
        <w:t>；</w:t>
      </w:r>
      <w:r>
        <w:rPr>
          <w:rFonts w:hint="eastAsia" w:ascii="Times New Roman" w:hAnsi="Times New Roman" w:eastAsia="仿宋_GB2312" w:cs="仿宋_GB2312"/>
          <w:color w:val="auto"/>
          <w:kern w:val="0"/>
          <w:sz w:val="30"/>
          <w:lang w:val="en-US" w:eastAsia="zh-CN"/>
        </w:rPr>
        <w:t>造成预决算差异的主要原因是2025年拨付了县级以上的专款。</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eastAsia="仿宋_GB2312"/>
          <w:sz w:val="30"/>
          <w:szCs w:val="30"/>
          <w:highlight w:val="none"/>
          <w:lang w:eastAsia="zh-CN"/>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286</w:t>
      </w:r>
      <w:r>
        <w:rPr>
          <w:rFonts w:hint="eastAsia" w:ascii="Times New Roman" w:hAnsi="Times New Roman" w:eastAsia="仿宋_GB2312"/>
          <w:color w:val="auto"/>
          <w:sz w:val="30"/>
          <w:szCs w:val="30"/>
          <w:highlight w:val="none"/>
          <w:lang w:eastAsia="zh-CN"/>
        </w:rPr>
        <w:t>,</w:t>
      </w:r>
      <w:r>
        <w:rPr>
          <w:rFonts w:hint="eastAsia" w:ascii="仿宋_GB2312" w:hAnsi="仿宋_GB2312" w:eastAsia="仿宋_GB2312" w:cs="仿宋_GB2312"/>
          <w:color w:val="auto"/>
          <w:kern w:val="0"/>
          <w:sz w:val="30"/>
          <w:lang w:val="zh-CN"/>
        </w:rPr>
        <w:t>850.00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4.19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92.60</w:t>
      </w:r>
      <w:r>
        <w:rPr>
          <w:rFonts w:hint="eastAsia" w:ascii="仿宋_GB2312" w:eastAsia="仿宋_GB2312"/>
          <w:sz w:val="30"/>
          <w:szCs w:val="30"/>
          <w:highlight w:val="none"/>
          <w:lang w:val="en-US" w:eastAsia="zh-CN"/>
        </w:rPr>
        <w:t>%，</w:t>
      </w:r>
      <w:r>
        <w:rPr>
          <w:rFonts w:hint="eastAsia" w:ascii="Times New Roman" w:hAnsi="Times New Roman" w:eastAsia="仿宋_GB2312" w:cs="Arial"/>
          <w:color w:val="auto"/>
          <w:kern w:val="0"/>
          <w:sz w:val="30"/>
          <w:szCs w:val="30"/>
          <w:highlight w:val="none"/>
        </w:rPr>
        <w:t>主要用于</w:t>
      </w:r>
      <w:r>
        <w:rPr>
          <w:rFonts w:hint="eastAsia" w:ascii="Times New Roman" w:hAnsi="Times New Roman" w:eastAsia="仿宋_GB2312"/>
          <w:color w:val="auto"/>
          <w:sz w:val="30"/>
          <w:szCs w:val="30"/>
          <w:highlight w:val="none"/>
          <w:lang w:eastAsia="zh-CN"/>
        </w:rPr>
        <w:t>单位职工住房公积金缴纳支出</w:t>
      </w:r>
      <w:r>
        <w:rPr>
          <w:rFonts w:hint="eastAsia" w:ascii="仿宋_GB2312" w:hAnsi="仿宋_GB2312" w:eastAsia="仿宋_GB2312" w:cs="仿宋_GB2312"/>
          <w:color w:val="auto"/>
          <w:kern w:val="0"/>
          <w:sz w:val="30"/>
          <w:lang w:val="zh-CN"/>
        </w:rPr>
        <w:t>286</w:t>
      </w:r>
      <w:r>
        <w:rPr>
          <w:rFonts w:hint="eastAsia" w:ascii="Times New Roman" w:hAnsi="Times New Roman" w:eastAsia="仿宋_GB2312"/>
          <w:color w:val="auto"/>
          <w:sz w:val="30"/>
          <w:szCs w:val="30"/>
          <w:highlight w:val="none"/>
          <w:lang w:eastAsia="zh-CN"/>
        </w:rPr>
        <w:t>,</w:t>
      </w:r>
      <w:r>
        <w:rPr>
          <w:rFonts w:hint="eastAsia" w:ascii="仿宋_GB2312" w:hAnsi="仿宋_GB2312" w:eastAsia="仿宋_GB2312" w:cs="仿宋_GB2312"/>
          <w:color w:val="auto"/>
          <w:kern w:val="0"/>
          <w:sz w:val="30"/>
          <w:lang w:val="zh-CN"/>
        </w:rPr>
        <w:t>850.00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造成预决算差异的主要原因是</w:t>
      </w:r>
      <w:r>
        <w:rPr>
          <w:rFonts w:hint="eastAsia" w:ascii="Times New Roman" w:hAnsi="Times New Roman" w:eastAsia="仿宋_GB2312" w:cs="Arial"/>
          <w:color w:val="auto"/>
          <w:kern w:val="0"/>
          <w:sz w:val="30"/>
          <w:szCs w:val="30"/>
          <w:highlight w:val="none"/>
          <w:lang w:val="en-US" w:eastAsia="zh-CN"/>
        </w:rPr>
        <w:t>2025年部分月份公积金尚未拨付</w:t>
      </w:r>
      <w:r>
        <w:rPr>
          <w:rFonts w:hint="eastAsia" w:ascii="Times New Roman" w:hAnsi="Times New Roman"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Times New Roman" w:hAnsi="Times New Roman" w:eastAsia="仿宋_GB2312"/>
          <w:sz w:val="30"/>
          <w:szCs w:val="30"/>
          <w:highlight w:val="none"/>
          <w:lang w:eastAsia="zh-CN"/>
        </w:rPr>
        <w:t>年初无此项预算。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Times New Roman" w:hAnsi="Times New Roman" w:eastAsia="仿宋_GB2312"/>
          <w:sz w:val="30"/>
          <w:szCs w:val="30"/>
          <w:highlight w:val="none"/>
          <w:lang w:eastAsia="zh-CN"/>
        </w:rPr>
        <w:t>年初无此项预算。</w:t>
      </w:r>
    </w:p>
    <w:p>
      <w:pPr>
        <w:widowControl/>
        <w:numPr>
          <w:ilvl w:val="0"/>
          <w:numId w:val="2"/>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13</w:t>
      </w:r>
      <w:r>
        <w:rPr>
          <w:rFonts w:hint="eastAsia" w:ascii="Times New Roman" w:hAnsi="Times New Roman" w:eastAsia="仿宋_GB2312"/>
          <w:color w:val="auto"/>
          <w:sz w:val="30"/>
          <w:szCs w:val="30"/>
          <w:highlight w:val="none"/>
          <w:lang w:eastAsia="zh-CN"/>
        </w:rPr>
        <w:t>,</w:t>
      </w:r>
      <w:r>
        <w:rPr>
          <w:rFonts w:hint="eastAsia" w:ascii="仿宋_GB2312" w:hAnsi="仿宋_GB2312" w:eastAsia="仿宋_GB2312" w:cs="仿宋_GB2312"/>
          <w:color w:val="000000"/>
          <w:kern w:val="0"/>
          <w:sz w:val="30"/>
          <w:lang w:val="en-US" w:eastAsia="zh-CN"/>
        </w:rPr>
        <w:t>200.00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元，完成</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eastAsia="仿宋_GB2312"/>
          <w:color w:val="auto"/>
          <w:sz w:val="30"/>
          <w:szCs w:val="30"/>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13</w:t>
      </w:r>
      <w:r>
        <w:rPr>
          <w:rFonts w:hint="eastAsia" w:ascii="Times New Roman" w:hAnsi="Times New Roman" w:eastAsia="仿宋_GB2312"/>
          <w:color w:val="auto"/>
          <w:sz w:val="30"/>
          <w:szCs w:val="30"/>
          <w:highlight w:val="none"/>
          <w:lang w:eastAsia="zh-CN"/>
        </w:rPr>
        <w:t>,</w:t>
      </w:r>
      <w:r>
        <w:rPr>
          <w:rFonts w:hint="eastAsia" w:ascii="仿宋_GB2312" w:hAnsi="仿宋_GB2312" w:eastAsia="仿宋_GB2312" w:cs="仿宋_GB2312"/>
          <w:color w:val="000000"/>
          <w:sz w:val="30"/>
          <w:lang w:val="zh-CN"/>
        </w:rPr>
        <w:t>200.00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w:t>
      </w:r>
      <w:r>
        <w:rPr>
          <w:rFonts w:hint="eastAsia" w:ascii="Times New Roman" w:hAnsi="Times New Roman" w:eastAsia="仿宋_GB2312" w:cs="Arial"/>
          <w:kern w:val="0"/>
          <w:sz w:val="30"/>
          <w:szCs w:val="30"/>
          <w:highlight w:val="none"/>
          <w:lang w:eastAsia="zh-CN"/>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w:t>
      </w:r>
      <w:r>
        <w:rPr>
          <w:rFonts w:hint="eastAsia" w:ascii="Times New Roman" w:hAnsi="Times New Roman" w:eastAsia="仿宋_GB2312" w:cs="Arial"/>
          <w:kern w:val="0"/>
          <w:sz w:val="30"/>
          <w:szCs w:val="30"/>
          <w:highlight w:val="none"/>
          <w:lang w:eastAsia="zh-CN"/>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w:t>
      </w:r>
      <w:r>
        <w:rPr>
          <w:rFonts w:hint="eastAsia" w:ascii="Times New Roman" w:hAnsi="Times New Roman" w:eastAsia="仿宋_GB2312" w:cs="Arial"/>
          <w:kern w:val="0"/>
          <w:sz w:val="30"/>
          <w:szCs w:val="30"/>
          <w:highlight w:val="none"/>
          <w:lang w:eastAsia="zh-CN"/>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w:t>
      </w:r>
      <w:r>
        <w:rPr>
          <w:rFonts w:hint="eastAsia" w:ascii="Times New Roman" w:hAnsi="Times New Roman" w:eastAsia="仿宋_GB2312" w:cs="Arial"/>
          <w:kern w:val="0"/>
          <w:sz w:val="30"/>
          <w:szCs w:val="30"/>
          <w:highlight w:val="none"/>
          <w:lang w:eastAsia="zh-CN"/>
        </w:rPr>
        <w:t>：上年无此项支出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w:t>
      </w:r>
      <w:r>
        <w:rPr>
          <w:rFonts w:hint="eastAsia" w:ascii="Times New Roman" w:hAnsi="Times New Roman" w:eastAsia="仿宋_GB2312" w:cs="Arial"/>
          <w:kern w:val="0"/>
          <w:sz w:val="30"/>
          <w:szCs w:val="30"/>
          <w:highlight w:val="none"/>
          <w:lang w:eastAsia="zh-CN"/>
        </w:rPr>
        <w:t>：上年无此项支出</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w:t>
      </w:r>
      <w:r>
        <w:rPr>
          <w:rFonts w:hint="eastAsia" w:ascii="Times New Roman" w:hAnsi="Times New Roman" w:eastAsia="仿宋_GB2312" w:cs="Arial"/>
          <w:kern w:val="0"/>
          <w:sz w:val="30"/>
          <w:szCs w:val="30"/>
          <w:highlight w:val="none"/>
          <w:lang w:eastAsia="zh-CN"/>
        </w:rPr>
        <w:t>上年无此项支出</w:t>
      </w:r>
      <w:r>
        <w:rPr>
          <w:rFonts w:hint="eastAsia" w:eastAsia="仿宋_GB2312" w:cs="Arial"/>
          <w:kern w:val="0"/>
          <w:sz w:val="30"/>
          <w:szCs w:val="30"/>
          <w:highlight w:val="none"/>
          <w:lang w:eastAsia="zh-CN"/>
        </w:rPr>
        <w:t>。</w:t>
      </w:r>
      <w:bookmarkStart w:id="0" w:name="_GoBack"/>
      <w:bookmarkEnd w:id="0"/>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预算为13,200.00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预算为13,200.00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一般公共预算财政拨款“三公”经费支出决算数小于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w:t>
      </w:r>
      <w:r>
        <w:rPr>
          <w:rFonts w:hint="eastAsia" w:ascii="Times New Roman" w:hAnsi="Times New Roman" w:eastAsia="仿宋_GB2312"/>
          <w:color w:val="auto"/>
          <w:sz w:val="30"/>
          <w:szCs w:val="30"/>
          <w:highlight w:val="none"/>
          <w:lang w:val="en-US" w:eastAsia="zh-CN"/>
        </w:rPr>
        <w:t>2025年没有报销接待费</w:t>
      </w:r>
      <w:r>
        <w:rPr>
          <w:rFonts w:hint="eastAsia" w:ascii="仿宋_GB2312" w:eastAsia="仿宋_GB2312"/>
          <w:sz w:val="30"/>
          <w:szCs w:val="30"/>
          <w:highlight w:val="none"/>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元，上年无此项支出</w:t>
      </w:r>
      <w:r>
        <w:rPr>
          <w:rFonts w:hint="eastAsia" w:ascii="仿宋_GB2312" w:eastAsia="仿宋_GB2312"/>
          <w:sz w:val="30"/>
          <w:szCs w:val="30"/>
          <w:highlight w:val="none"/>
        </w:rPr>
        <w:t>；公务用车购置费支出决算增加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，上年无此项支出；公务用车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，上年无此项支出；公务接待费支出决算增加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，上年无此项支出</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w:t>
      </w:r>
      <w:r>
        <w:rPr>
          <w:rFonts w:hint="eastAsia" w:ascii="仿宋_GB2312" w:eastAsia="仿宋_GB2312"/>
          <w:sz w:val="30"/>
          <w:szCs w:val="30"/>
          <w:highlight w:val="none"/>
        </w:rPr>
        <w:t>，上年无此项支出</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w:t>
      </w:r>
      <w:r>
        <w:rPr>
          <w:rFonts w:hint="eastAsia" w:ascii="仿宋_GB2312" w:eastAsia="仿宋_GB2312"/>
          <w:sz w:val="30"/>
          <w:szCs w:val="30"/>
          <w:highlight w:val="none"/>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w:t>
      </w:r>
      <w:r>
        <w:rPr>
          <w:rFonts w:hint="eastAsia" w:ascii="仿宋_GB2312" w:eastAsia="仿宋_GB2312"/>
          <w:sz w:val="30"/>
          <w:szCs w:val="30"/>
          <w:highlight w:val="none"/>
          <w:lang w:eastAsia="zh-CN"/>
        </w:rPr>
        <w:t>较</w:t>
      </w:r>
      <w:r>
        <w:rPr>
          <w:rFonts w:hint="eastAsia" w:ascii="仿宋_GB2312" w:eastAsia="仿宋_GB2312"/>
          <w:sz w:val="30"/>
          <w:szCs w:val="30"/>
          <w:highlight w:val="none"/>
          <w:lang w:val="en-US" w:eastAsia="zh-CN"/>
        </w:rPr>
        <w:t>2024年无</w:t>
      </w:r>
      <w:r>
        <w:rPr>
          <w:rFonts w:hint="eastAsia" w:ascii="仿宋_GB2312" w:eastAsia="仿宋_GB2312"/>
          <w:sz w:val="30"/>
          <w:szCs w:val="30"/>
          <w:highlight w:val="none"/>
        </w:rPr>
        <w:t>增减</w:t>
      </w:r>
      <w:r>
        <w:rPr>
          <w:rFonts w:hint="eastAsia" w:ascii="仿宋_GB2312" w:eastAsia="仿宋_GB2312"/>
          <w:sz w:val="30"/>
          <w:szCs w:val="30"/>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pPr>
        <w:widowControl/>
        <w:numPr>
          <w:ilvl w:val="0"/>
          <w:numId w:val="3"/>
        </w:numPr>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pPr>
        <w:widowControl/>
        <w:numPr>
          <w:ilvl w:val="0"/>
          <w:numId w:val="3"/>
        </w:numPr>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p>
    <w:p>
      <w:pPr>
        <w:widowControl/>
        <w:numPr>
          <w:ilvl w:val="0"/>
          <w:numId w:val="0"/>
        </w:numPr>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Times New Roman" w:hAnsi="Times New Roman" w:eastAsia="仿宋_GB2312"/>
          <w:sz w:val="30"/>
          <w:szCs w:val="30"/>
          <w:highlight w:val="none"/>
          <w:lang w:eastAsia="zh-CN"/>
        </w:rPr>
        <w:t>不存在需要说明的事项。</w:t>
      </w:r>
    </w:p>
    <w:p>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华宁县畜牧兽医渔业中心</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Times New Roman" w:hAnsi="Times New Roman" w:eastAsia="仿宋_GB2312" w:cs="方正小标宋简体"/>
          <w:sz w:val="30"/>
          <w:szCs w:val="30"/>
          <w:highlight w:val="none"/>
        </w:rPr>
        <w:t>与上年对比无变化，主要原因是华宁县畜牧兽医渔业中心为其他事业单位，无机关运行经费。</w:t>
      </w:r>
    </w:p>
    <w:p>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pPr>
        <w:widowControl/>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华宁县畜牧兽医渔业中心</w:t>
      </w:r>
      <w:r>
        <w:rPr>
          <w:rFonts w:hint="eastAsia" w:ascii="仿宋_GB2312" w:hAnsi="仿宋_GB2312" w:eastAsia="仿宋_GB2312" w:cs="仿宋_GB2312"/>
          <w:sz w:val="30"/>
          <w:szCs w:val="30"/>
          <w:highlight w:val="none"/>
          <w:lang w:eastAsia="zh-CN"/>
        </w:rPr>
        <w:t>资产总额764,484.23</w:t>
      </w:r>
    </w:p>
    <w:p>
      <w:pPr>
        <w:widowControl/>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元，其中，流动资产1,347.54元，固定资产763,136.69元（净值），对外投资及有价证券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 xml:space="preserve">。与上年相比，本年资产总额减少222,830.10 </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 xml:space="preserve">，其中固定资产减少146,968.40 </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1</w:t>
      </w:r>
      <w:r>
        <w:rPr>
          <w:rFonts w:hint="eastAsia" w:ascii="仿宋_GB2312" w:hAnsi="黑体" w:eastAsia="仿宋_GB2312" w:cs="方正小标宋简体"/>
          <w:color w:val="000000"/>
          <w:kern w:val="0"/>
          <w:sz w:val="30"/>
          <w:szCs w:val="30"/>
          <w:highlight w:val="none"/>
        </w:rPr>
        <w:t>项，账面原值9,640.00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50.00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7"/>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tblPrEx>
          <w:tblLayout w:type="fixed"/>
          <w:tblCellMar>
            <w:top w:w="0" w:type="dxa"/>
            <w:left w:w="0" w:type="dxa"/>
            <w:bottom w:w="0" w:type="dxa"/>
            <w:right w:w="0" w:type="dxa"/>
          </w:tblCellMar>
        </w:tblPrEx>
        <w:trPr>
          <w:trHeight w:val="495"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47"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415"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45"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95"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58"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563"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495" w:hRule="atLeast"/>
        </w:trPr>
        <w:tc>
          <w:tcPr>
            <w:tcW w:w="142" w:type="dxa"/>
            <w:vAlign w:val="center"/>
          </w:tcPr>
          <w:p>
            <w:pPr>
              <w:widowControl/>
              <w:jc w:val="left"/>
              <w:rPr>
                <w:rFonts w:ascii="Times New Roman" w:hAnsi="Times New Roman" w:eastAsia="Times New Roman"/>
                <w:kern w:val="0"/>
                <w:sz w:val="20"/>
                <w:szCs w:val="20"/>
                <w:highlight w:val="none"/>
              </w:rPr>
            </w:pPr>
          </w:p>
        </w:tc>
      </w:tr>
    </w:tbl>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16</w:t>
      </w:r>
      <w:r>
        <w:rPr>
          <w:rFonts w:hint="eastAsia" w:ascii="仿宋_GB2312" w:hAnsi="黑体" w:eastAsia="仿宋_GB2312" w:cs="方正小标宋简体"/>
          <w:color w:val="000000"/>
          <w:kern w:val="0"/>
          <w:sz w:val="30"/>
          <w:szCs w:val="30"/>
          <w:highlight w:val="none"/>
        </w:rPr>
        <w:t>,</w:t>
      </w:r>
      <w:r>
        <w:rPr>
          <w:rFonts w:hint="eastAsia" w:ascii="仿宋_GB2312" w:hAnsi="仿宋_GB2312" w:eastAsia="仿宋_GB2312" w:cs="仿宋_GB2312"/>
          <w:color w:val="auto"/>
          <w:sz w:val="30"/>
          <w:lang w:val="zh-CN"/>
        </w:rPr>
        <w:t>631.00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16</w:t>
      </w:r>
      <w:r>
        <w:rPr>
          <w:rFonts w:hint="eastAsia" w:ascii="仿宋_GB2312" w:hAnsi="黑体" w:eastAsia="仿宋_GB2312" w:cs="方正小标宋简体"/>
          <w:color w:val="000000"/>
          <w:kern w:val="0"/>
          <w:sz w:val="30"/>
          <w:szCs w:val="30"/>
          <w:highlight w:val="none"/>
        </w:rPr>
        <w:t>,</w:t>
      </w:r>
      <w:r>
        <w:rPr>
          <w:rFonts w:hint="eastAsia" w:ascii="仿宋_GB2312" w:hAnsi="仿宋_GB2312" w:eastAsia="仿宋_GB2312" w:cs="仿宋_GB2312"/>
          <w:color w:val="auto"/>
          <w:sz w:val="30"/>
          <w:lang w:val="zh-CN"/>
        </w:rPr>
        <w:t>631.00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pPr>
        <w:ind w:firstLine="600" w:firstLineChars="200"/>
        <w:jc w:val="left"/>
        <w:rPr>
          <w:rFonts w:hint="eastAsia" w:ascii="Times New Roman" w:hAnsi="Times New Roman" w:eastAsia="仿宋_GB2312" w:cs="方正小标宋简体"/>
          <w:color w:val="FF0000"/>
          <w:sz w:val="30"/>
          <w:szCs w:val="30"/>
          <w:highlight w:val="none"/>
        </w:rPr>
      </w:pPr>
      <w:r>
        <w:rPr>
          <w:rFonts w:hint="eastAsia" w:ascii="Times New Roman" w:hAnsi="Times New Roman" w:eastAsia="仿宋_GB2312" w:cs="方正小标宋简体"/>
          <w:sz w:val="30"/>
          <w:szCs w:val="30"/>
          <w:highlight w:val="none"/>
        </w:rPr>
        <w:t>无其他重要事项说明。</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各部门依据国家有关法律法规规定及其履行职能情况编制，反映部门和单位所有预算收支和结余执行结果及绩效等情况的综合性年度报告，是改进部门预算执行以及编制后续年度部门预算的参考和依据。</w:t>
      </w:r>
    </w:p>
    <w:p>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楷体_GBK">
    <w:panose1 w:val="03000509000000000000"/>
    <w:charset w:val="86"/>
    <w:family w:val="script"/>
    <w:pitch w:val="default"/>
    <w:sig w:usb0="00000001" w:usb1="080E0000" w:usb2="00000000" w:usb3="00000000" w:csb0="00040000" w:csb1="00000000"/>
  </w:font>
  <w:font w:name="Dotum">
    <w:panose1 w:val="020B0600000101010101"/>
    <w:charset w:val="81"/>
    <w:family w:val="swiss"/>
    <w:pitch w:val="default"/>
    <w:sig w:usb0="B00002AF" w:usb1="69D77CFB" w:usb2="00000030" w:usb3="00000000" w:csb0="4008009F" w:csb1="DFD70000"/>
  </w:font>
  <w:font w:name="MingLiU">
    <w:panose1 w:val="02020509000000000000"/>
    <w:charset w:val="88"/>
    <w:family w:val="modern"/>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Malgun Gothic">
    <w:panose1 w:val="020B0503020000020004"/>
    <w:charset w:val="81"/>
    <w:family w:val="auto"/>
    <w:pitch w:val="default"/>
    <w:sig w:usb0="900002AF" w:usb1="01D77CFB" w:usb2="00000012" w:usb3="00000000" w:csb0="00080001" w:csb1="00000000"/>
  </w:font>
  <w:font w:name="GungsuhChe">
    <w:panose1 w:val="02030609000101010101"/>
    <w:charset w:val="81"/>
    <w:family w:val="auto"/>
    <w:pitch w:val="default"/>
    <w:sig w:usb0="B00002AF" w:usb1="69D77CFB" w:usb2="00000030" w:usb3="00000000" w:csb0="4008009F" w:csb1="DFD70000"/>
  </w:font>
  <w:font w:name="-apple-system">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3"/>
                            <w:rPr>
                              <w:rStyle w:val="6"/>
                            </w:rPr>
                          </w:pPr>
                          <w:r>
                            <w:rPr>
                              <w:rStyle w:val="6"/>
                              <w:sz w:val="28"/>
                              <w:szCs w:val="28"/>
                            </w:rPr>
                            <w:fldChar w:fldCharType="begin"/>
                          </w:r>
                          <w:r>
                            <w:rPr>
                              <w:rStyle w:val="6"/>
                              <w:sz w:val="28"/>
                              <w:szCs w:val="28"/>
                            </w:rPr>
                            <w:instrText xml:space="preserve">PAGE  </w:instrText>
                          </w:r>
                          <w:r>
                            <w:rPr>
                              <w:sz w:val="28"/>
                              <w:szCs w:val="28"/>
                            </w:rPr>
                            <w:fldChar w:fldCharType="separate"/>
                          </w:r>
                          <w:r>
                            <w:rPr>
                              <w:rStyle w:val="6"/>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GhpgkvTAAAA&#10;BQEAAA8AAAAAAAAAAQAgAAAAIgAAAGRycy9kb3ducmV2LnhtbFBLAQIUABQAAAAIAIdO4kCY3bFM&#10;sAEAAEkDAAAOAAAAAAAAAAEAIAAAACIBAABkcnMvZTJvRG9jLnhtbFBLBQYAAAAABgAGAFkBAABE&#10;BQAAAAA=&#10;">
              <v:fill on="f" focussize="0,0"/>
              <v:stroke on="f" weight="1.25pt"/>
              <v:imagedata o:title=""/>
              <o:lock v:ext="edit" aspectratio="f"/>
              <v:textbox inset="0mm,0mm,0mm,0mm" style="mso-fit-shape-to-text:t;">
                <w:txbxContent>
                  <w:p>
                    <w:pPr>
                      <w:pStyle w:val="3"/>
                      <w:rPr>
                        <w:rStyle w:val="6"/>
                      </w:rPr>
                    </w:pPr>
                    <w:r>
                      <w:rPr>
                        <w:rStyle w:val="6"/>
                        <w:sz w:val="28"/>
                        <w:szCs w:val="28"/>
                      </w:rPr>
                      <w:fldChar w:fldCharType="begin"/>
                    </w:r>
                    <w:r>
                      <w:rPr>
                        <w:rStyle w:val="6"/>
                        <w:sz w:val="28"/>
                        <w:szCs w:val="28"/>
                      </w:rPr>
                      <w:instrText xml:space="preserve">PAGE  </w:instrText>
                    </w:r>
                    <w:r>
                      <w:rPr>
                        <w:sz w:val="28"/>
                        <w:szCs w:val="28"/>
                      </w:rPr>
                      <w:fldChar w:fldCharType="separate"/>
                    </w:r>
                    <w:r>
                      <w:rPr>
                        <w:rStyle w:val="6"/>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rPr>
        <w:rStyle w:val="6"/>
      </w:rPr>
      <w:fldChar w:fldCharType="begin"/>
    </w:r>
    <w:r>
      <w:rPr>
        <w:rStyle w:val="6"/>
      </w:rPr>
      <w:instrText xml:space="preserve">PAGE  </w:instrText>
    </w:r>
    <w:r>
      <w:fldChar w:fldCharType="separate"/>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D02787"/>
    <w:multiLevelType w:val="singleLevel"/>
    <w:tmpl w:val="6AD02787"/>
    <w:lvl w:ilvl="0" w:tentative="0">
      <w:start w:val="4"/>
      <w:numFmt w:val="chineseCounting"/>
      <w:suff w:val="nothing"/>
      <w:lvlText w:val="%1、"/>
      <w:lvlJc w:val="left"/>
      <w:rPr>
        <w:rFonts w:hint="eastAsia"/>
      </w:rPr>
    </w:lvl>
  </w:abstractNum>
  <w:abstractNum w:abstractNumId="1">
    <w:nsid w:val="6AD02A0C"/>
    <w:multiLevelType w:val="singleLevel"/>
    <w:tmpl w:val="6AD02A0C"/>
    <w:lvl w:ilvl="0" w:tentative="0">
      <w:start w:val="3"/>
      <w:numFmt w:val="chineseCounting"/>
      <w:suff w:val="nothing"/>
      <w:lvlText w:val="%1、"/>
      <w:lvlJc w:val="left"/>
    </w:lvl>
  </w:abstractNum>
  <w:abstractNum w:abstractNumId="2">
    <w:nsid w:val="6AD04FB7"/>
    <w:multiLevelType w:val="singleLevel"/>
    <w:tmpl w:val="6AD04FB7"/>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1461E92"/>
    <w:rsid w:val="58E07522"/>
    <w:rsid w:val="6267767F"/>
    <w:rsid w:val="76F83FEF"/>
  </w:rsids>
  <m:mathPr>
    <m:interSp m:val="0"/>
    <m:intraSp m:val="0"/>
    <m:lMargin m:val="0"/>
    <m:mathFont m:val="Cambria Math"/>
    <m:postSp m:val="0"/>
    <m:preSp m:val="0"/>
    <m:rMargin m:val="0"/>
    <m:wrapIndent m:val="1440"/>
    <m:brkBin m:val="before"/>
    <m:brkBinSub m:val="--"/>
    <m:defJc m:val="centerGroup"/>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679949-b43d-4702-88e3-cb5d1c2664c2}">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32</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Administrator</cp:lastModifiedBy>
  <cp:lastPrinted>2024-07-30T06:24:00Z</cp:lastPrinted>
  <dcterms:modified xsi:type="dcterms:W3CDTF">2026-10-16T03:45:02Z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y fmtid="{D5CDD505-2E9C-101B-9397-08002B2CF9AE}" pid="3" name="ICV">
    <vt:lpwstr>D45296F7F2444F3C8CDB43DA2E9FADD3</vt:lpwstr>
  </property>
</Properties>
</file>