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A888E">
      <w:pPr>
        <w:jc w:val="center"/>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olor w:val="auto"/>
          <w:sz w:val="36"/>
          <w:lang w:val="zh-CN"/>
        </w:rPr>
        <w:t>华宁县宁阳中学</w:t>
      </w:r>
      <w:r>
        <w:rPr>
          <w:rFonts w:hint="eastAsia" w:ascii="方正小标宋简体" w:hAnsi="方正小标宋简体" w:eastAsia="方正小标宋简体" w:cs="方正小标宋简体"/>
          <w:color w:val="auto"/>
          <w:sz w:val="36"/>
          <w:szCs w:val="36"/>
          <w:highlight w:val="none"/>
          <w:lang w:val="en-US" w:eastAsia="zh-CN"/>
        </w:rPr>
        <w:t>2025年度</w:t>
      </w:r>
      <w:r>
        <w:rPr>
          <w:rFonts w:hint="eastAsia" w:ascii="方正小标宋简体" w:hAnsi="方正小标宋简体" w:eastAsia="方正小标宋简体" w:cs="方正小标宋简体"/>
          <w:color w:val="auto"/>
          <w:sz w:val="36"/>
          <w:szCs w:val="36"/>
          <w:highlight w:val="none"/>
        </w:rPr>
        <w:t>部门决算</w:t>
      </w:r>
    </w:p>
    <w:p w14:paraId="13459BC5">
      <w:pPr>
        <w:jc w:val="center"/>
        <w:rPr>
          <w:rFonts w:hint="eastAsia" w:ascii="方正小标宋简体" w:hAnsi="方正小标宋简体" w:eastAsia="方正小标宋简体" w:cs="方正小标宋简体"/>
          <w:color w:val="auto"/>
          <w:sz w:val="36"/>
          <w:szCs w:val="36"/>
          <w:highlight w:val="none"/>
        </w:rPr>
      </w:pPr>
    </w:p>
    <w:p w14:paraId="642D33AF">
      <w:pPr>
        <w:jc w:val="center"/>
        <w:outlineLvl w:val="0"/>
        <w:rPr>
          <w:rFonts w:hint="eastAsia" w:ascii="方正小标宋简体" w:hAnsi="方正小标宋简体" w:eastAsia="方正小标宋简体" w:cs="方正小标宋简体"/>
          <w:color w:val="auto"/>
          <w:sz w:val="36"/>
          <w:szCs w:val="36"/>
          <w:highlight w:val="none"/>
          <w:lang w:eastAsia="zh-CN"/>
        </w:rPr>
      </w:pPr>
      <w:r>
        <w:rPr>
          <w:rFonts w:hint="eastAsia" w:ascii="方正小标宋简体" w:hAnsi="方正小标宋简体" w:eastAsia="方正小标宋简体" w:cs="方正小标宋简体"/>
          <w:color w:val="auto"/>
          <w:sz w:val="36"/>
          <w:szCs w:val="36"/>
          <w:highlight w:val="none"/>
          <w:lang w:eastAsia="zh-CN"/>
        </w:rPr>
        <w:t>目录</w:t>
      </w:r>
    </w:p>
    <w:p w14:paraId="453C0041">
      <w:pPr>
        <w:jc w:val="left"/>
        <w:rPr>
          <w:rFonts w:hint="eastAsia" w:ascii="黑体" w:hAnsi="黑体" w:eastAsia="黑体"/>
          <w:color w:val="auto"/>
          <w:sz w:val="30"/>
          <w:szCs w:val="30"/>
          <w:highlight w:val="none"/>
        </w:rPr>
      </w:pPr>
    </w:p>
    <w:p w14:paraId="462277FB">
      <w:pPr>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 xml:space="preserve">第一部分  </w:t>
      </w:r>
      <w:r>
        <w:rPr>
          <w:rFonts w:hint="eastAsia" w:ascii="黑体" w:hAnsi="黑体" w:eastAsia="黑体"/>
          <w:color w:val="auto"/>
          <w:sz w:val="30"/>
          <w:szCs w:val="30"/>
          <w:highlight w:val="none"/>
          <w:lang w:eastAsia="zh-CN"/>
        </w:rPr>
        <w:t>单位</w:t>
      </w:r>
      <w:r>
        <w:rPr>
          <w:rFonts w:hint="eastAsia" w:ascii="黑体" w:hAnsi="黑体" w:eastAsia="黑体"/>
          <w:color w:val="auto"/>
          <w:sz w:val="30"/>
          <w:szCs w:val="30"/>
          <w:highlight w:val="none"/>
        </w:rPr>
        <w:t>概况</w:t>
      </w:r>
    </w:p>
    <w:p w14:paraId="0AA9C80D">
      <w:pPr>
        <w:spacing w:line="240" w:lineRule="atLeast"/>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rPr>
        <w:t>一、主要职</w:t>
      </w:r>
      <w:r>
        <w:rPr>
          <w:rFonts w:hint="eastAsia" w:ascii="楷体" w:hAnsi="楷体" w:eastAsia="楷体"/>
          <w:color w:val="auto"/>
          <w:sz w:val="30"/>
          <w:szCs w:val="30"/>
          <w:highlight w:val="none"/>
          <w:lang w:eastAsia="zh-CN"/>
        </w:rPr>
        <w:t>责</w:t>
      </w:r>
    </w:p>
    <w:p w14:paraId="0C2C40D5">
      <w:pPr>
        <w:spacing w:line="240" w:lineRule="atLeast"/>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rPr>
        <w:t>二、</w:t>
      </w:r>
      <w:r>
        <w:rPr>
          <w:rFonts w:hint="eastAsia" w:ascii="楷体" w:hAnsi="楷体" w:eastAsia="楷体"/>
          <w:color w:val="auto"/>
          <w:sz w:val="30"/>
          <w:szCs w:val="30"/>
          <w:highlight w:val="none"/>
          <w:lang w:eastAsia="zh-CN"/>
        </w:rPr>
        <w:t>基本情况</w:t>
      </w:r>
    </w:p>
    <w:p w14:paraId="0F7085A3">
      <w:pPr>
        <w:spacing w:line="240" w:lineRule="atLeast"/>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三、重点工作概述</w:t>
      </w:r>
    </w:p>
    <w:p w14:paraId="44A1EFAB">
      <w:pPr>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 xml:space="preserve">第二部分  </w:t>
      </w:r>
      <w:r>
        <w:rPr>
          <w:rFonts w:hint="eastAsia" w:ascii="黑体" w:hAnsi="黑体" w:eastAsia="黑体"/>
          <w:color w:val="auto"/>
          <w:sz w:val="30"/>
          <w:szCs w:val="30"/>
          <w:highlight w:val="none"/>
          <w:lang w:val="en-US" w:eastAsia="zh-CN"/>
        </w:rPr>
        <w:t>2025年度</w:t>
      </w:r>
      <w:r>
        <w:rPr>
          <w:rFonts w:hint="eastAsia" w:ascii="黑体" w:hAnsi="黑体" w:eastAsia="黑体"/>
          <w:color w:val="auto"/>
          <w:sz w:val="30"/>
          <w:szCs w:val="30"/>
          <w:highlight w:val="none"/>
        </w:rPr>
        <w:t>部门决算表</w:t>
      </w:r>
    </w:p>
    <w:p w14:paraId="1F0FCD98">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一、收入支出决算表</w:t>
      </w:r>
    </w:p>
    <w:p w14:paraId="1C14CA57">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二、收入决算表</w:t>
      </w:r>
    </w:p>
    <w:p w14:paraId="2A0EAF50">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三、支出决算表</w:t>
      </w:r>
    </w:p>
    <w:p w14:paraId="1CB41DEB">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四、财政拨款收入支出决算表</w:t>
      </w:r>
    </w:p>
    <w:p w14:paraId="05504F9B">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五、一般公共预算财政拨款收入支出决算表</w:t>
      </w:r>
    </w:p>
    <w:p w14:paraId="3CD85145">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六、一般公共预算财政拨款基本支出决算表</w:t>
      </w:r>
    </w:p>
    <w:p w14:paraId="0A298BB1">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rPr>
        <w:t>七、</w:t>
      </w:r>
      <w:r>
        <w:rPr>
          <w:rFonts w:hint="eastAsia" w:ascii="楷体" w:hAnsi="楷体" w:eastAsia="楷体"/>
          <w:color w:val="auto"/>
          <w:sz w:val="30"/>
          <w:szCs w:val="30"/>
          <w:highlight w:val="none"/>
          <w:lang w:eastAsia="zh-CN"/>
        </w:rPr>
        <w:t>一般公共预算财政拨款项目支出决算表</w:t>
      </w:r>
    </w:p>
    <w:p w14:paraId="1313F069">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八</w:t>
      </w:r>
      <w:r>
        <w:rPr>
          <w:rFonts w:hint="eastAsia" w:ascii="楷体" w:hAnsi="楷体" w:eastAsia="楷体"/>
          <w:color w:val="auto"/>
          <w:sz w:val="30"/>
          <w:szCs w:val="30"/>
          <w:highlight w:val="none"/>
        </w:rPr>
        <w:t>、政府性基金预算财政拨款收入支出决算表</w:t>
      </w:r>
    </w:p>
    <w:p w14:paraId="28112881">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val="en-US" w:eastAsia="zh-CN"/>
        </w:rPr>
        <w:t>九、国有资本经营预算财政拨款收入支出决算表</w:t>
      </w:r>
    </w:p>
    <w:p w14:paraId="4067BB14">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十</w:t>
      </w: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财政拨款</w:t>
      </w:r>
      <w:r>
        <w:rPr>
          <w:rFonts w:hint="eastAsia" w:ascii="楷体" w:hAnsi="楷体" w:eastAsia="楷体"/>
          <w:color w:val="auto"/>
          <w:sz w:val="30"/>
          <w:szCs w:val="30"/>
          <w:highlight w:val="none"/>
        </w:rPr>
        <w:t>“三公”经费、行政参公单位机关运行经费情况表</w:t>
      </w:r>
    </w:p>
    <w:p w14:paraId="2069CC75">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lang w:val="en-US" w:eastAsia="zh-CN"/>
        </w:rPr>
        <w:t>十一、一般公共预算财政拨款“三公”经费情况表</w:t>
      </w:r>
    </w:p>
    <w:p w14:paraId="06BF231F">
      <w:pPr>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第三部</w:t>
      </w:r>
      <w:r>
        <w:rPr>
          <w:rFonts w:hint="eastAsia" w:ascii="黑体" w:hAnsi="黑体" w:eastAsia="黑体"/>
          <w:color w:val="auto"/>
          <w:sz w:val="30"/>
          <w:szCs w:val="30"/>
          <w:highlight w:val="none"/>
          <w:lang w:eastAsia="zh-CN"/>
        </w:rPr>
        <w:t>分</w:t>
      </w:r>
      <w:r>
        <w:rPr>
          <w:rFonts w:hint="eastAsia" w:ascii="黑体" w:hAnsi="黑体" w:eastAsia="黑体"/>
          <w:color w:val="auto"/>
          <w:sz w:val="30"/>
          <w:szCs w:val="30"/>
          <w:highlight w:val="none"/>
        </w:rPr>
        <w:t xml:space="preserve">  </w:t>
      </w:r>
      <w:r>
        <w:rPr>
          <w:rFonts w:hint="eastAsia" w:ascii="黑体" w:hAnsi="黑体" w:eastAsia="黑体"/>
          <w:color w:val="auto"/>
          <w:sz w:val="30"/>
          <w:szCs w:val="30"/>
          <w:highlight w:val="none"/>
          <w:lang w:val="en-US" w:eastAsia="zh-CN"/>
        </w:rPr>
        <w:t>2025年度</w:t>
      </w:r>
      <w:r>
        <w:rPr>
          <w:rFonts w:hint="eastAsia" w:ascii="黑体" w:hAnsi="黑体" w:eastAsia="黑体"/>
          <w:color w:val="auto"/>
          <w:sz w:val="30"/>
          <w:szCs w:val="30"/>
          <w:highlight w:val="none"/>
        </w:rPr>
        <w:t>部门决算情况说明</w:t>
      </w:r>
    </w:p>
    <w:p w14:paraId="6A3EB00A">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一、收入决算情况说明</w:t>
      </w:r>
    </w:p>
    <w:p w14:paraId="77E981BF">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二、支出决算情况说明</w:t>
      </w:r>
    </w:p>
    <w:p w14:paraId="460A1B32">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三、一般公共预算财政拨款支出决算情况说明</w:t>
      </w:r>
    </w:p>
    <w:p w14:paraId="76B3996D">
      <w:pPr>
        <w:widowControl/>
        <w:snapToGrid w:val="0"/>
        <w:spacing w:before="100" w:after="100" w:line="360" w:lineRule="auto"/>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四、财政拨款“三公”经费支出决算情况说明</w:t>
      </w:r>
    </w:p>
    <w:p w14:paraId="112F8709">
      <w:pPr>
        <w:widowControl/>
        <w:snapToGrid w:val="0"/>
        <w:spacing w:before="100" w:after="100" w:line="360" w:lineRule="auto"/>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lang w:eastAsia="zh-CN"/>
        </w:rPr>
        <w:t>第四部分</w:t>
      </w:r>
      <w:r>
        <w:rPr>
          <w:rFonts w:hint="eastAsia" w:ascii="楷体" w:hAnsi="楷体" w:eastAsia="楷体"/>
          <w:color w:val="auto"/>
          <w:sz w:val="30"/>
          <w:szCs w:val="30"/>
          <w:highlight w:val="none"/>
          <w:lang w:val="en-US" w:eastAsia="zh-CN"/>
        </w:rPr>
        <w:t xml:space="preserve">  </w:t>
      </w:r>
      <w:r>
        <w:rPr>
          <w:rFonts w:hint="eastAsia" w:ascii="黑体" w:hAnsi="黑体" w:eastAsia="黑体"/>
          <w:color w:val="auto"/>
          <w:sz w:val="30"/>
          <w:szCs w:val="30"/>
          <w:highlight w:val="none"/>
        </w:rPr>
        <w:t>其他重要事项及相关口径情况说明</w:t>
      </w:r>
    </w:p>
    <w:p w14:paraId="50FB3C1C">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一、</w:t>
      </w:r>
      <w:r>
        <w:rPr>
          <w:rFonts w:hint="eastAsia" w:ascii="楷体" w:hAnsi="楷体" w:eastAsia="楷体"/>
          <w:color w:val="auto"/>
          <w:sz w:val="30"/>
          <w:szCs w:val="30"/>
          <w:highlight w:val="none"/>
        </w:rPr>
        <w:t>机关运行经费支出情况</w:t>
      </w:r>
    </w:p>
    <w:p w14:paraId="44D06222">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二、</w:t>
      </w:r>
      <w:r>
        <w:rPr>
          <w:rFonts w:hint="eastAsia" w:ascii="楷体" w:hAnsi="楷体" w:eastAsia="楷体"/>
          <w:color w:val="auto"/>
          <w:sz w:val="30"/>
          <w:szCs w:val="30"/>
          <w:highlight w:val="none"/>
        </w:rPr>
        <w:t>国有资产占用情况</w:t>
      </w:r>
    </w:p>
    <w:p w14:paraId="02DFAC3C">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w:t>
      </w:r>
      <w:r>
        <w:rPr>
          <w:rFonts w:hint="eastAsia" w:ascii="楷体" w:hAnsi="楷体" w:eastAsia="楷体"/>
          <w:color w:val="auto"/>
          <w:sz w:val="30"/>
          <w:szCs w:val="30"/>
          <w:highlight w:val="none"/>
        </w:rPr>
        <w:t>政府采购支出情况</w:t>
      </w:r>
    </w:p>
    <w:p w14:paraId="2B9F3C3D">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eastAsia="zh-CN"/>
        </w:rPr>
        <w:t>四、</w:t>
      </w:r>
      <w:r>
        <w:rPr>
          <w:rFonts w:hint="eastAsia" w:ascii="楷体" w:hAnsi="楷体" w:eastAsia="楷体"/>
          <w:color w:val="auto"/>
          <w:sz w:val="30"/>
          <w:szCs w:val="30"/>
          <w:highlight w:val="none"/>
          <w:lang w:val="en-US" w:eastAsia="zh-CN"/>
        </w:rPr>
        <w:t>单位绩效自评情况</w:t>
      </w:r>
    </w:p>
    <w:p w14:paraId="6F0D3109">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eastAsia="zh-CN"/>
        </w:rPr>
        <w:t>五、</w:t>
      </w:r>
      <w:r>
        <w:rPr>
          <w:rFonts w:hint="eastAsia" w:ascii="楷体" w:hAnsi="楷体" w:eastAsia="楷体"/>
          <w:color w:val="auto"/>
          <w:sz w:val="30"/>
          <w:szCs w:val="30"/>
          <w:highlight w:val="none"/>
          <w:lang w:val="en-US" w:eastAsia="zh-CN"/>
        </w:rPr>
        <w:t>其他重要事项情况说明</w:t>
      </w:r>
    </w:p>
    <w:p w14:paraId="44CFA220">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val="en-US" w:eastAsia="zh-CN"/>
        </w:rPr>
        <w:t>六、相关口径说明</w:t>
      </w:r>
    </w:p>
    <w:p w14:paraId="1BE8D1CD">
      <w:pPr>
        <w:widowControl/>
        <w:snapToGrid w:val="0"/>
        <w:spacing w:before="100" w:after="100" w:line="360" w:lineRule="auto"/>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第</w:t>
      </w:r>
      <w:r>
        <w:rPr>
          <w:rFonts w:hint="eastAsia" w:ascii="黑体" w:hAnsi="黑体" w:eastAsia="黑体"/>
          <w:color w:val="auto"/>
          <w:sz w:val="30"/>
          <w:szCs w:val="30"/>
          <w:highlight w:val="none"/>
          <w:lang w:eastAsia="zh-CN"/>
        </w:rPr>
        <w:t>五</w:t>
      </w:r>
      <w:r>
        <w:rPr>
          <w:rFonts w:hint="eastAsia" w:ascii="黑体" w:hAnsi="黑体" w:eastAsia="黑体"/>
          <w:color w:val="auto"/>
          <w:sz w:val="30"/>
          <w:szCs w:val="30"/>
          <w:highlight w:val="none"/>
        </w:rPr>
        <w:t>部分  名词解释</w:t>
      </w:r>
    </w:p>
    <w:p w14:paraId="2BDEC77B">
      <w:pPr>
        <w:jc w:val="center"/>
        <w:rPr>
          <w:rFonts w:hint="eastAsia" w:ascii="黑体" w:hAnsi="黑体" w:eastAsia="黑体"/>
          <w:color w:val="auto"/>
          <w:sz w:val="32"/>
          <w:szCs w:val="32"/>
          <w:highlight w:val="none"/>
        </w:rPr>
      </w:pPr>
    </w:p>
    <w:p w14:paraId="7F3254EB">
      <w:pPr>
        <w:jc w:val="center"/>
        <w:rPr>
          <w:rFonts w:hint="eastAsia" w:ascii="黑体" w:hAnsi="黑体" w:eastAsia="黑体"/>
          <w:color w:val="auto"/>
          <w:sz w:val="32"/>
          <w:szCs w:val="32"/>
          <w:highlight w:val="none"/>
        </w:rPr>
      </w:pPr>
    </w:p>
    <w:p w14:paraId="790E552A">
      <w:pPr>
        <w:jc w:val="center"/>
        <w:rPr>
          <w:rFonts w:hint="eastAsia" w:ascii="黑体" w:hAnsi="黑体" w:eastAsia="黑体"/>
          <w:color w:val="auto"/>
          <w:sz w:val="32"/>
          <w:szCs w:val="32"/>
          <w:highlight w:val="none"/>
        </w:rPr>
      </w:pPr>
    </w:p>
    <w:p w14:paraId="0A207CA4">
      <w:pPr>
        <w:jc w:val="center"/>
        <w:rPr>
          <w:rFonts w:hint="eastAsia" w:ascii="黑体" w:hAnsi="黑体" w:eastAsia="黑体"/>
          <w:color w:val="auto"/>
          <w:sz w:val="32"/>
          <w:szCs w:val="32"/>
          <w:highlight w:val="none"/>
        </w:rPr>
      </w:pPr>
    </w:p>
    <w:p w14:paraId="686E852F">
      <w:pPr>
        <w:jc w:val="center"/>
        <w:rPr>
          <w:rFonts w:hint="eastAsia" w:ascii="黑体" w:hAnsi="黑体" w:eastAsia="黑体"/>
          <w:color w:val="auto"/>
          <w:sz w:val="32"/>
          <w:szCs w:val="32"/>
          <w:highlight w:val="none"/>
        </w:rPr>
      </w:pPr>
    </w:p>
    <w:p w14:paraId="403EC197">
      <w:pPr>
        <w:jc w:val="center"/>
        <w:rPr>
          <w:rFonts w:hint="eastAsia" w:ascii="黑体" w:hAnsi="黑体" w:eastAsia="黑体"/>
          <w:color w:val="auto"/>
          <w:sz w:val="32"/>
          <w:szCs w:val="32"/>
          <w:highlight w:val="none"/>
        </w:rPr>
      </w:pPr>
    </w:p>
    <w:p w14:paraId="288ED7BD">
      <w:pPr>
        <w:jc w:val="center"/>
        <w:rPr>
          <w:rFonts w:hint="eastAsia" w:ascii="黑体" w:hAnsi="黑体" w:eastAsia="黑体"/>
          <w:color w:val="auto"/>
          <w:sz w:val="32"/>
          <w:szCs w:val="32"/>
          <w:highlight w:val="none"/>
        </w:rPr>
      </w:pPr>
    </w:p>
    <w:p w14:paraId="45E559BB">
      <w:pPr>
        <w:jc w:val="both"/>
        <w:rPr>
          <w:rFonts w:hint="eastAsia" w:ascii="黑体" w:hAnsi="黑体" w:eastAsia="黑体"/>
          <w:color w:val="auto"/>
          <w:sz w:val="32"/>
          <w:szCs w:val="32"/>
          <w:highlight w:val="none"/>
        </w:rPr>
      </w:pPr>
    </w:p>
    <w:p w14:paraId="0AB4CD5F">
      <w:pPr>
        <w:jc w:val="center"/>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 xml:space="preserve">第一部分  </w:t>
      </w:r>
      <w:r>
        <w:rPr>
          <w:rFonts w:hint="eastAsia" w:ascii="黑体" w:hAnsi="黑体" w:eastAsia="黑体"/>
          <w:color w:val="auto"/>
          <w:sz w:val="32"/>
          <w:szCs w:val="32"/>
          <w:highlight w:val="none"/>
          <w:lang w:eastAsia="zh-CN"/>
        </w:rPr>
        <w:t>单位</w:t>
      </w:r>
      <w:r>
        <w:rPr>
          <w:rFonts w:hint="eastAsia" w:ascii="黑体" w:hAnsi="黑体" w:eastAsia="黑体"/>
          <w:color w:val="auto"/>
          <w:sz w:val="32"/>
          <w:szCs w:val="32"/>
          <w:highlight w:val="none"/>
        </w:rPr>
        <w:t>概况</w:t>
      </w:r>
    </w:p>
    <w:p w14:paraId="4CA5D8CE">
      <w:pPr>
        <w:spacing w:line="600" w:lineRule="exact"/>
        <w:ind w:firstLine="600" w:firstLineChars="200"/>
        <w:outlineLvl w:val="1"/>
        <w:rPr>
          <w:rFonts w:hint="eastAsia" w:ascii="黑体" w:hAnsi="黑体" w:eastAsia="黑体"/>
          <w:color w:val="auto"/>
          <w:sz w:val="30"/>
          <w:szCs w:val="30"/>
          <w:highlight w:val="none"/>
          <w:lang w:eastAsia="zh-CN"/>
        </w:rPr>
      </w:pPr>
      <w:r>
        <w:rPr>
          <w:rFonts w:hint="eastAsia" w:ascii="黑体" w:hAnsi="黑体" w:eastAsia="黑体"/>
          <w:color w:val="auto"/>
          <w:sz w:val="30"/>
          <w:szCs w:val="30"/>
          <w:highlight w:val="none"/>
        </w:rPr>
        <w:t>一、主要</w:t>
      </w:r>
      <w:r>
        <w:rPr>
          <w:rFonts w:hint="eastAsia" w:ascii="黑体" w:hAnsi="黑体" w:eastAsia="黑体"/>
          <w:color w:val="auto"/>
          <w:sz w:val="30"/>
          <w:szCs w:val="30"/>
          <w:highlight w:val="none"/>
          <w:lang w:eastAsia="zh-CN"/>
        </w:rPr>
        <w:t>职责</w:t>
      </w:r>
    </w:p>
    <w:p w14:paraId="6F7F9335">
      <w:pPr>
        <w:spacing w:line="600" w:lineRule="exact"/>
        <w:ind w:firstLine="600" w:firstLineChars="200"/>
        <w:outlineLvl w:val="1"/>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 xml:space="preserve">全面执行、贯彻党和国家的教育方针、政策、法律、法规，认真执行国家的课程计划和有关规定，实施初中义务教育，保障适龄青少年接受义务教育；按照学校章程，规定、调整学校发展规划，建立健全和完善相关规章制度，依法办学，促进基础教育发展；按教育规律办学，实行初中学历教育。开展素质教育，不断提高教育质量，以人为本，培养学生，促进学生全面发展；积极争取社会各方面的支持，督促、协调、开展学校的教育教学工作；全面负责本校思想政治教育和党建工作，确保正确办学方向，维护受教育者、教师及教职工的合法权益；做好经费收支管理工作，做好学校教师的人员调配、考核、聘任、职称评聘等工作，管理好校产及各类资产；建立健全安全制度及应急机制，对师生进行安全教育，加强管理，及时消除隐患，预防事故发生；完成主管部门交办的其他工作。     </w:t>
      </w:r>
    </w:p>
    <w:p w14:paraId="613B1030">
      <w:pPr>
        <w:spacing w:line="600" w:lineRule="exact"/>
        <w:ind w:firstLine="600" w:firstLineChars="200"/>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二、基本情况</w:t>
      </w:r>
    </w:p>
    <w:p w14:paraId="78853370">
      <w:pPr>
        <w:spacing w:line="600" w:lineRule="exact"/>
        <w:ind w:firstLine="600" w:firstLineChars="200"/>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（一）机构设置情况</w:t>
      </w:r>
    </w:p>
    <w:p w14:paraId="5A5D1225">
      <w:pPr>
        <w:spacing w:line="600" w:lineRule="exact"/>
        <w:ind w:firstLine="600" w:firstLineChars="200"/>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我单位为基层预算单位，无下属单位。</w:t>
      </w:r>
    </w:p>
    <w:p w14:paraId="16CFBA0E">
      <w:pPr>
        <w:spacing w:line="600" w:lineRule="exact"/>
        <w:ind w:firstLine="600" w:firstLineChars="200"/>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（二）</w:t>
      </w:r>
      <w:r>
        <w:rPr>
          <w:rFonts w:hint="eastAsia" w:ascii="楷体" w:hAnsi="楷体" w:eastAsia="楷体"/>
          <w:color w:val="auto"/>
          <w:sz w:val="30"/>
          <w:szCs w:val="30"/>
          <w:highlight w:val="none"/>
        </w:rPr>
        <w:t>决算单位构成</w:t>
      </w:r>
    </w:p>
    <w:p w14:paraId="59225528">
      <w:pPr>
        <w:spacing w:line="600" w:lineRule="exact"/>
        <w:ind w:firstLine="600" w:firstLineChars="200"/>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eastAsia="zh-CN"/>
        </w:rPr>
        <w:t>我单位作为二级预算单位</w:t>
      </w:r>
      <w:r>
        <w:rPr>
          <w:rFonts w:hint="eastAsia" w:ascii="仿宋_GB2312" w:eastAsia="仿宋_GB2312"/>
          <w:color w:val="auto"/>
          <w:sz w:val="30"/>
          <w:szCs w:val="30"/>
          <w:highlight w:val="none"/>
        </w:rPr>
        <w:t>纳入</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部门决算编报</w:t>
      </w:r>
      <w:r>
        <w:rPr>
          <w:rFonts w:hint="eastAsia" w:ascii="仿宋_GB2312" w:eastAsia="仿宋_GB2312"/>
          <w:color w:val="auto"/>
          <w:sz w:val="30"/>
          <w:szCs w:val="30"/>
          <w:highlight w:val="none"/>
          <w:lang w:eastAsia="zh-CN"/>
        </w:rPr>
        <w:t>范围</w:t>
      </w:r>
      <w:r>
        <w:rPr>
          <w:rFonts w:hint="eastAsia" w:ascii="仿宋_GB2312" w:eastAsia="仿宋_GB2312"/>
          <w:color w:val="auto"/>
          <w:sz w:val="30"/>
          <w:szCs w:val="30"/>
          <w:highlight w:val="none"/>
        </w:rPr>
        <w:t>。</w:t>
      </w:r>
    </w:p>
    <w:p w14:paraId="6F52CDEF">
      <w:pPr>
        <w:ind w:firstLine="600" w:firstLineChars="200"/>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三</w:t>
      </w: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单位</w:t>
      </w:r>
      <w:r>
        <w:rPr>
          <w:rFonts w:hint="eastAsia" w:ascii="楷体" w:hAnsi="楷体" w:eastAsia="楷体"/>
          <w:color w:val="auto"/>
          <w:sz w:val="30"/>
          <w:szCs w:val="30"/>
          <w:highlight w:val="none"/>
        </w:rPr>
        <w:t xml:space="preserve">人员和车辆的编制及实有情况 </w:t>
      </w:r>
    </w:p>
    <w:p w14:paraId="72888D72">
      <w:pPr>
        <w:spacing w:line="600" w:lineRule="exact"/>
        <w:ind w:firstLine="600" w:firstLineChars="200"/>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lang w:eastAsia="zh-CN"/>
        </w:rPr>
        <w:t>我单位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年末</w:t>
      </w:r>
      <w:r>
        <w:rPr>
          <w:rFonts w:hint="eastAsia" w:ascii="仿宋_GB2312" w:eastAsia="仿宋_GB2312"/>
          <w:color w:val="auto"/>
          <w:sz w:val="30"/>
          <w:szCs w:val="30"/>
          <w:highlight w:val="none"/>
          <w:lang w:eastAsia="zh-CN"/>
        </w:rPr>
        <w:t>编制内</w:t>
      </w:r>
      <w:r>
        <w:rPr>
          <w:rFonts w:hint="eastAsia" w:ascii="仿宋_GB2312" w:eastAsia="仿宋_GB2312"/>
          <w:color w:val="auto"/>
          <w:sz w:val="30"/>
          <w:szCs w:val="30"/>
          <w:highlight w:val="none"/>
        </w:rPr>
        <w:t>实有人员</w:t>
      </w:r>
      <w:r>
        <w:rPr>
          <w:rFonts w:hint="eastAsia" w:ascii="仿宋_GB2312" w:hAnsi="仿宋_GB2312" w:eastAsia="仿宋_GB2312" w:cs="仿宋_GB2312"/>
          <w:color w:val="auto"/>
          <w:sz w:val="30"/>
          <w:szCs w:val="30"/>
          <w:lang w:val="en-US" w:eastAsia="zh-CN"/>
        </w:rPr>
        <w:t>113</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b w:val="0"/>
          <w:bCs w:val="0"/>
          <w:color w:val="auto"/>
          <w:kern w:val="0"/>
          <w:sz w:val="30"/>
          <w:szCs w:val="30"/>
          <w:highlight w:val="none"/>
          <w:lang w:eastAsia="zh-CN"/>
        </w:rPr>
        <w:t>包括</w:t>
      </w:r>
      <w:r>
        <w:rPr>
          <w:rFonts w:hint="eastAsia" w:ascii="仿宋_GB2312" w:hAnsi="宋体" w:eastAsia="仿宋_GB2312" w:cs="Arial"/>
          <w:color w:val="auto"/>
          <w:kern w:val="0"/>
          <w:sz w:val="30"/>
          <w:szCs w:val="30"/>
          <w:highlight w:val="none"/>
          <w:lang w:eastAsia="zh-CN"/>
        </w:rPr>
        <w:t>财政拨款开支经费的</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111</w:t>
      </w:r>
      <w:r>
        <w:rPr>
          <w:rFonts w:hint="eastAsia" w:ascii="仿宋_GB2312" w:hAnsi="宋体" w:eastAsia="仿宋_GB2312" w:cs="Arial"/>
          <w:color w:val="auto"/>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2</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p>
    <w:p w14:paraId="1682E7E1">
      <w:pPr>
        <w:spacing w:line="600" w:lineRule="exact"/>
        <w:ind w:firstLine="600" w:firstLineChars="200"/>
        <w:rPr>
          <w:rFonts w:hint="eastAsia" w:ascii="仿宋_GB2312" w:hAnsi="宋体" w:eastAsia="仿宋_GB2312" w:cs="Arial"/>
          <w:color w:val="auto"/>
          <w:kern w:val="0"/>
          <w:sz w:val="30"/>
          <w:szCs w:val="30"/>
          <w:highlight w:val="none"/>
          <w:lang w:val="en-US" w:eastAsia="zh-CN"/>
        </w:rPr>
      </w:pPr>
      <w:r>
        <w:rPr>
          <w:rFonts w:hint="eastAsia" w:ascii="仿宋_GB2312" w:eastAsia="仿宋_GB2312"/>
          <w:color w:val="auto"/>
          <w:sz w:val="30"/>
          <w:szCs w:val="30"/>
          <w:highlight w:val="none"/>
          <w:lang w:eastAsia="zh-CN"/>
        </w:rPr>
        <w:t>我单位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年末</w:t>
      </w:r>
      <w:r>
        <w:rPr>
          <w:rFonts w:hint="eastAsia" w:ascii="仿宋_GB2312" w:eastAsia="仿宋_GB2312"/>
          <w:color w:val="auto"/>
          <w:sz w:val="30"/>
          <w:szCs w:val="30"/>
          <w:highlight w:val="none"/>
          <w:lang w:eastAsia="zh-CN"/>
        </w:rPr>
        <w:t>其他人员</w:t>
      </w:r>
      <w:r>
        <w:rPr>
          <w:rFonts w:hint="eastAsia" w:ascii="仿宋_GB2312" w:hAnsi="仿宋_GB2312" w:eastAsia="仿宋_GB2312" w:cs="仿宋_GB2312"/>
          <w:color w:val="auto"/>
          <w:sz w:val="30"/>
          <w:szCs w:val="30"/>
          <w:lang w:val="en-US" w:eastAsia="zh-CN"/>
        </w:rPr>
        <w:t>12</w:t>
      </w:r>
      <w:r>
        <w:rPr>
          <w:rFonts w:hint="eastAsia" w:ascii="仿宋_GB2312" w:eastAsia="仿宋_GB2312"/>
          <w:color w:val="auto"/>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12</w:t>
      </w:r>
      <w:r>
        <w:rPr>
          <w:rFonts w:hint="eastAsia" w:ascii="仿宋_GB2312" w:eastAsia="仿宋_GB2312"/>
          <w:color w:val="auto"/>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color w:val="auto"/>
          <w:sz w:val="30"/>
          <w:szCs w:val="30"/>
          <w:highlight w:val="none"/>
          <w:lang w:eastAsia="zh-CN"/>
        </w:rPr>
        <w:t>人。</w:t>
      </w:r>
    </w:p>
    <w:p w14:paraId="77CDBEE9">
      <w:pPr>
        <w:spacing w:line="600" w:lineRule="exact"/>
        <w:ind w:firstLine="600" w:firstLineChars="200"/>
        <w:rPr>
          <w:rFonts w:hint="eastAsia" w:ascii="仿宋_GB2312" w:hAnsi="宋体" w:eastAsia="仿宋_GB2312" w:cs="Arial"/>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color w:val="auto"/>
          <w:kern w:val="0"/>
          <w:sz w:val="30"/>
          <w:szCs w:val="30"/>
          <w:highlight w:val="none"/>
        </w:rPr>
        <w:t>退休人员</w:t>
      </w:r>
      <w:r>
        <w:rPr>
          <w:rFonts w:hint="eastAsia" w:ascii="仿宋_GB2312" w:hAnsi="宋体" w:eastAsia="仿宋_GB2312" w:cs="Arial"/>
          <w:i w:val="0"/>
          <w:iCs w:val="0"/>
          <w:color w:val="auto"/>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）。年末</w:t>
      </w:r>
      <w:r>
        <w:rPr>
          <w:rFonts w:hint="eastAsia" w:ascii="仿宋_GB2312" w:hAnsi="宋体" w:eastAsia="仿宋_GB2312" w:cs="Arial"/>
          <w:color w:val="auto"/>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40</w:t>
      </w:r>
      <w:r>
        <w:rPr>
          <w:rFonts w:hint="eastAsia" w:ascii="仿宋_GB2312" w:hAnsi="宋体" w:eastAsia="仿宋_GB2312" w:cs="Arial"/>
          <w:color w:val="auto"/>
          <w:kern w:val="0"/>
          <w:sz w:val="30"/>
          <w:szCs w:val="30"/>
          <w:highlight w:val="none"/>
          <w:lang w:val="en-US" w:eastAsia="zh-CN"/>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人，退休</w:t>
      </w:r>
      <w:r>
        <w:rPr>
          <w:rFonts w:hint="eastAsia" w:ascii="仿宋_GB2312" w:hAnsi="仿宋_GB2312" w:eastAsia="仿宋_GB2312" w:cs="仿宋_GB2312"/>
          <w:color w:val="auto"/>
          <w:sz w:val="30"/>
          <w:szCs w:val="30"/>
          <w:lang w:val="en-US" w:eastAsia="zh-CN"/>
        </w:rPr>
        <w:t>40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1405</w:t>
      </w:r>
      <w:r>
        <w:rPr>
          <w:rFonts w:hint="eastAsia" w:ascii="仿宋_GB2312" w:hAnsi="宋体" w:eastAsia="仿宋_GB2312" w:cs="Arial"/>
          <w:color w:val="auto"/>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color w:val="auto"/>
          <w:kern w:val="0"/>
          <w:sz w:val="30"/>
          <w:szCs w:val="30"/>
          <w:highlight w:val="none"/>
          <w:lang w:val="en-US" w:eastAsia="zh-CN"/>
        </w:rPr>
        <w:t>人。</w:t>
      </w:r>
    </w:p>
    <w:p w14:paraId="0904BA1C">
      <w:pPr>
        <w:spacing w:line="600" w:lineRule="exact"/>
        <w:ind w:firstLine="600" w:firstLineChars="200"/>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b w:val="0"/>
          <w:bCs w:val="0"/>
          <w:color w:val="auto"/>
          <w:sz w:val="30"/>
          <w:szCs w:val="30"/>
          <w:highlight w:val="none"/>
          <w:u w:val="none"/>
          <w:lang w:val="en-US" w:eastAsia="zh-CN"/>
        </w:rPr>
        <w:t>车辆编制0辆，在编实有车辆0辆，超编0辆。</w:t>
      </w:r>
    </w:p>
    <w:p w14:paraId="217138AD">
      <w:pPr>
        <w:numPr>
          <w:ilvl w:val="0"/>
          <w:numId w:val="1"/>
        </w:numPr>
        <w:spacing w:line="600" w:lineRule="exact"/>
        <w:ind w:firstLine="600" w:firstLineChars="200"/>
        <w:outlineLvl w:val="1"/>
        <w:rPr>
          <w:rFonts w:hint="eastAsia" w:ascii="黑体" w:hAnsi="黑体" w:eastAsia="黑体"/>
          <w:color w:val="auto"/>
          <w:sz w:val="30"/>
          <w:szCs w:val="30"/>
          <w:highlight w:val="none"/>
          <w:lang w:eastAsia="zh-CN"/>
        </w:rPr>
      </w:pPr>
      <w:r>
        <w:rPr>
          <w:rFonts w:hint="eastAsia" w:ascii="黑体" w:hAnsi="黑体" w:eastAsia="黑体"/>
          <w:color w:val="auto"/>
          <w:sz w:val="30"/>
          <w:szCs w:val="30"/>
          <w:highlight w:val="none"/>
          <w:lang w:eastAsia="zh-CN"/>
        </w:rPr>
        <w:t>重点工作概述</w:t>
      </w:r>
    </w:p>
    <w:p w14:paraId="5B10A7BE">
      <w:pPr>
        <w:spacing w:line="600" w:lineRule="exact"/>
        <w:ind w:firstLine="600" w:firstLineChars="200"/>
        <w:rPr>
          <w:rFonts w:hint="eastAsia" w:ascii="黑体" w:hAnsi="黑体" w:eastAsia="黑体"/>
          <w:color w:val="auto"/>
          <w:sz w:val="30"/>
          <w:szCs w:val="30"/>
          <w:highlight w:val="none"/>
          <w:lang w:eastAsia="zh-CN"/>
        </w:rPr>
      </w:pPr>
      <w:r>
        <w:rPr>
          <w:rFonts w:hint="eastAsia" w:ascii="仿宋_GB2312" w:hAnsi="宋体" w:eastAsia="仿宋_GB2312" w:cs="Arial"/>
          <w:color w:val="auto"/>
          <w:kern w:val="0"/>
          <w:sz w:val="30"/>
          <w:szCs w:val="30"/>
          <w:highlight w:val="none"/>
        </w:rPr>
        <w:t>202</w:t>
      </w:r>
      <w:r>
        <w:rPr>
          <w:rFonts w:hint="eastAsia" w:ascii="仿宋_GB2312" w:hAnsi="宋体" w:eastAsia="仿宋_GB2312" w:cs="Arial"/>
          <w:color w:val="auto"/>
          <w:kern w:val="0"/>
          <w:sz w:val="30"/>
          <w:szCs w:val="30"/>
          <w:highlight w:val="none"/>
          <w:lang w:val="en-US" w:eastAsia="zh-CN"/>
        </w:rPr>
        <w:t>5</w:t>
      </w:r>
      <w:r>
        <w:rPr>
          <w:rFonts w:hint="eastAsia" w:ascii="仿宋_GB2312" w:hAnsi="宋体" w:eastAsia="仿宋_GB2312" w:cs="Arial"/>
          <w:color w:val="auto"/>
          <w:kern w:val="0"/>
          <w:sz w:val="30"/>
          <w:szCs w:val="30"/>
          <w:highlight w:val="none"/>
        </w:rPr>
        <w:t>年，我校考取玉溪一中2</w:t>
      </w:r>
      <w:r>
        <w:rPr>
          <w:rFonts w:hint="eastAsia" w:ascii="仿宋_GB2312" w:hAnsi="宋体" w:eastAsia="仿宋_GB2312" w:cs="Arial"/>
          <w:color w:val="auto"/>
          <w:kern w:val="0"/>
          <w:sz w:val="30"/>
          <w:szCs w:val="30"/>
          <w:highlight w:val="none"/>
          <w:lang w:val="en-US" w:eastAsia="zh-CN"/>
        </w:rPr>
        <w:t>7</w:t>
      </w:r>
      <w:r>
        <w:rPr>
          <w:rFonts w:hint="eastAsia" w:ascii="仿宋_GB2312" w:hAnsi="宋体" w:eastAsia="仿宋_GB2312" w:cs="Arial"/>
          <w:color w:val="auto"/>
          <w:kern w:val="0"/>
          <w:sz w:val="30"/>
          <w:szCs w:val="30"/>
          <w:highlight w:val="none"/>
        </w:rPr>
        <w:t>人，市属三所共录取54人。提前批次与第一批次合计录取</w:t>
      </w:r>
      <w:r>
        <w:rPr>
          <w:rFonts w:hint="eastAsia" w:ascii="仿宋_GB2312" w:hAnsi="宋体" w:eastAsia="仿宋_GB2312" w:cs="Arial"/>
          <w:color w:val="auto"/>
          <w:kern w:val="0"/>
          <w:sz w:val="30"/>
          <w:szCs w:val="30"/>
          <w:highlight w:val="none"/>
          <w:lang w:val="en-US" w:eastAsia="zh-CN"/>
        </w:rPr>
        <w:t>54</w:t>
      </w:r>
      <w:r>
        <w:rPr>
          <w:rFonts w:hint="eastAsia" w:ascii="仿宋_GB2312" w:hAnsi="宋体" w:eastAsia="仿宋_GB2312" w:cs="Arial"/>
          <w:color w:val="auto"/>
          <w:kern w:val="0"/>
          <w:sz w:val="30"/>
          <w:szCs w:val="30"/>
          <w:highlight w:val="none"/>
        </w:rPr>
        <w:t>人，县属高中和其他普通高中录取</w:t>
      </w:r>
      <w:r>
        <w:rPr>
          <w:rFonts w:hint="eastAsia" w:ascii="仿宋_GB2312" w:hAnsi="宋体" w:eastAsia="仿宋_GB2312" w:cs="Arial"/>
          <w:color w:val="auto"/>
          <w:kern w:val="0"/>
          <w:sz w:val="30"/>
          <w:szCs w:val="30"/>
          <w:highlight w:val="none"/>
          <w:lang w:val="en-US" w:eastAsia="zh-CN"/>
        </w:rPr>
        <w:t>316</w:t>
      </w:r>
      <w:r>
        <w:rPr>
          <w:rFonts w:hint="eastAsia" w:ascii="仿宋_GB2312" w:hAnsi="宋体" w:eastAsia="仿宋_GB2312" w:cs="Arial"/>
          <w:color w:val="auto"/>
          <w:kern w:val="0"/>
          <w:sz w:val="30"/>
          <w:szCs w:val="30"/>
          <w:highlight w:val="none"/>
        </w:rPr>
        <w:t>人，合计录取普通高中3</w:t>
      </w:r>
      <w:r>
        <w:rPr>
          <w:rFonts w:hint="eastAsia" w:ascii="仿宋_GB2312" w:hAnsi="宋体" w:eastAsia="仿宋_GB2312" w:cs="Arial"/>
          <w:color w:val="auto"/>
          <w:kern w:val="0"/>
          <w:sz w:val="30"/>
          <w:szCs w:val="30"/>
          <w:highlight w:val="none"/>
          <w:lang w:val="en-US" w:eastAsia="zh-CN"/>
        </w:rPr>
        <w:t>70</w:t>
      </w:r>
      <w:r>
        <w:rPr>
          <w:rFonts w:hint="eastAsia" w:ascii="仿宋_GB2312" w:hAnsi="宋体" w:eastAsia="仿宋_GB2312" w:cs="Arial"/>
          <w:color w:val="auto"/>
          <w:kern w:val="0"/>
          <w:sz w:val="30"/>
          <w:szCs w:val="30"/>
          <w:highlight w:val="none"/>
        </w:rPr>
        <w:t>人，高中升学率</w:t>
      </w:r>
      <w:r>
        <w:rPr>
          <w:rFonts w:hint="eastAsia" w:ascii="仿宋_GB2312" w:hAnsi="宋体" w:eastAsia="仿宋_GB2312" w:cs="Arial"/>
          <w:color w:val="auto"/>
          <w:kern w:val="0"/>
          <w:sz w:val="30"/>
          <w:szCs w:val="30"/>
          <w:highlight w:val="none"/>
          <w:lang w:val="en-US" w:eastAsia="zh-CN"/>
        </w:rPr>
        <w:t>83.6</w:t>
      </w:r>
      <w:r>
        <w:rPr>
          <w:rFonts w:hint="eastAsia" w:ascii="仿宋_GB2312" w:hAnsi="宋体" w:eastAsia="仿宋_GB2312" w:cs="Arial"/>
          <w:color w:val="auto"/>
          <w:kern w:val="0"/>
          <w:sz w:val="30"/>
          <w:szCs w:val="30"/>
          <w:highlight w:val="none"/>
        </w:rPr>
        <w:t>7%。</w:t>
      </w:r>
    </w:p>
    <w:p w14:paraId="32436C0D">
      <w:pPr>
        <w:spacing w:line="600" w:lineRule="exact"/>
        <w:ind w:firstLine="600" w:firstLineChars="200"/>
        <w:jc w:val="left"/>
        <w:rPr>
          <w:rFonts w:hint="eastAsia" w:ascii="仿宋_GB2312" w:hAnsi="宋体" w:eastAsia="仿宋_GB2312" w:cs="Arial"/>
          <w:color w:val="auto"/>
          <w:kern w:val="0"/>
          <w:sz w:val="30"/>
          <w:szCs w:val="30"/>
          <w:highlight w:val="none"/>
        </w:rPr>
      </w:pPr>
    </w:p>
    <w:p w14:paraId="4E9B0B67">
      <w:pPr>
        <w:jc w:val="center"/>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 xml:space="preserve">第二部分  </w:t>
      </w:r>
      <w:r>
        <w:rPr>
          <w:rFonts w:hint="eastAsia" w:ascii="黑体" w:hAnsi="黑体" w:eastAsia="黑体"/>
          <w:color w:val="auto"/>
          <w:sz w:val="32"/>
          <w:szCs w:val="32"/>
          <w:highlight w:val="none"/>
          <w:lang w:val="en-US" w:eastAsia="zh-CN"/>
        </w:rPr>
        <w:t>2025年度</w:t>
      </w:r>
      <w:r>
        <w:rPr>
          <w:rFonts w:hint="eastAsia" w:ascii="黑体" w:hAnsi="黑体" w:eastAsia="黑体"/>
          <w:color w:val="auto"/>
          <w:sz w:val="32"/>
          <w:szCs w:val="32"/>
          <w:highlight w:val="none"/>
        </w:rPr>
        <w:t>部门决算表</w:t>
      </w:r>
    </w:p>
    <w:p w14:paraId="7147BEB6">
      <w:pPr>
        <w:spacing w:line="600" w:lineRule="exact"/>
        <w:ind w:firstLine="600" w:firstLineChars="200"/>
        <w:jc w:val="center"/>
        <w:outlineLvl w:val="1"/>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（详见附件）</w:t>
      </w:r>
    </w:p>
    <w:p w14:paraId="57BAE10E">
      <w:pPr>
        <w:pStyle w:val="9"/>
        <w:spacing w:line="360" w:lineRule="auto"/>
        <w:ind w:firstLine="640"/>
        <w:rPr>
          <w:rFonts w:hint="eastAsia" w:ascii="仿宋" w:hAnsi="仿宋" w:eastAsia="仿宋" w:cs="仿宋"/>
          <w:color w:val="auto"/>
          <w:kern w:val="0"/>
          <w:sz w:val="30"/>
          <w:szCs w:val="20"/>
        </w:rPr>
      </w:pPr>
      <w:r>
        <w:rPr>
          <w:rFonts w:hint="eastAsia" w:ascii="仿宋" w:hAnsi="仿宋" w:eastAsia="仿宋" w:cs="仿宋"/>
          <w:color w:val="auto"/>
          <w:kern w:val="0"/>
          <w:sz w:val="30"/>
          <w:szCs w:val="20"/>
        </w:rPr>
        <w:t>华宁县</w:t>
      </w:r>
      <w:r>
        <w:rPr>
          <w:rFonts w:hint="eastAsia" w:ascii="仿宋" w:hAnsi="仿宋" w:eastAsia="仿宋" w:cs="仿宋"/>
          <w:color w:val="auto"/>
          <w:kern w:val="0"/>
          <w:sz w:val="30"/>
          <w:szCs w:val="20"/>
          <w:lang w:eastAsia="zh-CN"/>
        </w:rPr>
        <w:t>宁阳</w:t>
      </w:r>
      <w:r>
        <w:rPr>
          <w:rFonts w:hint="eastAsia" w:ascii="仿宋" w:hAnsi="仿宋" w:eastAsia="仿宋" w:cs="仿宋"/>
          <w:color w:val="auto"/>
          <w:kern w:val="0"/>
          <w:sz w:val="30"/>
          <w:szCs w:val="20"/>
        </w:rPr>
        <w:t>中学202</w:t>
      </w:r>
      <w:r>
        <w:rPr>
          <w:rFonts w:hint="eastAsia" w:ascii="仿宋" w:hAnsi="仿宋" w:eastAsia="仿宋" w:cs="仿宋"/>
          <w:color w:val="auto"/>
          <w:kern w:val="0"/>
          <w:sz w:val="30"/>
          <w:szCs w:val="20"/>
          <w:lang w:val="en-US" w:eastAsia="zh-CN"/>
        </w:rPr>
        <w:t>5</w:t>
      </w:r>
      <w:r>
        <w:rPr>
          <w:rFonts w:hint="eastAsia" w:ascii="仿宋" w:hAnsi="仿宋" w:eastAsia="仿宋" w:cs="仿宋"/>
          <w:color w:val="auto"/>
          <w:kern w:val="0"/>
          <w:sz w:val="30"/>
          <w:szCs w:val="20"/>
        </w:rPr>
        <w:t>年无国有资本经营预算财政拨款收入，故《国有资本经营预算财政拨款收入支出决算表》为空表。华宁县</w:t>
      </w:r>
      <w:r>
        <w:rPr>
          <w:rFonts w:hint="eastAsia" w:ascii="仿宋" w:hAnsi="仿宋" w:eastAsia="仿宋" w:cs="仿宋"/>
          <w:color w:val="auto"/>
          <w:kern w:val="0"/>
          <w:sz w:val="30"/>
          <w:szCs w:val="20"/>
          <w:lang w:eastAsia="zh-CN"/>
        </w:rPr>
        <w:t>宁阳</w:t>
      </w:r>
      <w:r>
        <w:rPr>
          <w:rFonts w:hint="eastAsia" w:ascii="仿宋" w:hAnsi="仿宋" w:eastAsia="仿宋" w:cs="仿宋"/>
          <w:color w:val="auto"/>
          <w:kern w:val="0"/>
          <w:sz w:val="30"/>
          <w:szCs w:val="20"/>
        </w:rPr>
        <w:t>中学202</w:t>
      </w:r>
      <w:r>
        <w:rPr>
          <w:rFonts w:hint="eastAsia" w:ascii="仿宋" w:hAnsi="仿宋" w:eastAsia="仿宋" w:cs="仿宋"/>
          <w:color w:val="auto"/>
          <w:kern w:val="0"/>
          <w:sz w:val="30"/>
          <w:szCs w:val="20"/>
          <w:lang w:val="en-US" w:eastAsia="zh-CN"/>
        </w:rPr>
        <w:t>5</w:t>
      </w:r>
      <w:r>
        <w:rPr>
          <w:rFonts w:hint="eastAsia" w:ascii="仿宋" w:hAnsi="仿宋" w:eastAsia="仿宋" w:cs="仿宋"/>
          <w:color w:val="auto"/>
          <w:kern w:val="0"/>
          <w:sz w:val="30"/>
          <w:szCs w:val="20"/>
        </w:rPr>
        <w:t>年无政府性基金收入，故《政府性基金预算财政拨款收入支出决算表》为空表。华宁县</w:t>
      </w:r>
      <w:r>
        <w:rPr>
          <w:rFonts w:hint="eastAsia" w:ascii="仿宋" w:hAnsi="仿宋" w:eastAsia="仿宋" w:cs="仿宋"/>
          <w:color w:val="auto"/>
          <w:kern w:val="0"/>
          <w:sz w:val="30"/>
          <w:szCs w:val="20"/>
          <w:lang w:eastAsia="zh-CN"/>
        </w:rPr>
        <w:t>宁阳</w:t>
      </w:r>
      <w:r>
        <w:rPr>
          <w:rFonts w:hint="eastAsia" w:ascii="仿宋" w:hAnsi="仿宋" w:eastAsia="仿宋" w:cs="仿宋"/>
          <w:color w:val="auto"/>
          <w:kern w:val="0"/>
          <w:sz w:val="30"/>
          <w:szCs w:val="20"/>
        </w:rPr>
        <w:t>中学202</w:t>
      </w:r>
      <w:r>
        <w:rPr>
          <w:rFonts w:hint="eastAsia" w:ascii="仿宋" w:hAnsi="仿宋" w:eastAsia="仿宋" w:cs="仿宋"/>
          <w:color w:val="auto"/>
          <w:kern w:val="0"/>
          <w:sz w:val="30"/>
          <w:szCs w:val="20"/>
          <w:lang w:val="en-US" w:eastAsia="zh-CN"/>
        </w:rPr>
        <w:t>5</w:t>
      </w:r>
      <w:r>
        <w:rPr>
          <w:rFonts w:hint="eastAsia" w:ascii="仿宋" w:hAnsi="仿宋" w:eastAsia="仿宋" w:cs="仿宋"/>
          <w:color w:val="auto"/>
          <w:kern w:val="0"/>
          <w:sz w:val="30"/>
          <w:szCs w:val="20"/>
        </w:rPr>
        <w:t>年无“三公”经费、行政参公单位机关运行经费收入，故《“三公”经费、行政参公单位机关运行经费情况表》为空表。</w:t>
      </w:r>
    </w:p>
    <w:p w14:paraId="4AF27091">
      <w:pPr>
        <w:spacing w:line="600" w:lineRule="exact"/>
        <w:ind w:firstLine="600" w:firstLineChars="200"/>
        <w:jc w:val="left"/>
        <w:rPr>
          <w:rFonts w:hint="eastAsia" w:ascii="仿宋_GB2312" w:eastAsia="仿宋_GB2312"/>
          <w:color w:val="auto"/>
          <w:sz w:val="30"/>
          <w:szCs w:val="30"/>
          <w:highlight w:val="none"/>
          <w:lang w:eastAsia="zh-CN"/>
        </w:rPr>
      </w:pPr>
    </w:p>
    <w:p w14:paraId="32385E57">
      <w:pPr>
        <w:jc w:val="center"/>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第三部</w:t>
      </w:r>
      <w:r>
        <w:rPr>
          <w:rFonts w:hint="eastAsia" w:ascii="黑体" w:hAnsi="黑体" w:eastAsia="黑体"/>
          <w:color w:val="auto"/>
          <w:sz w:val="32"/>
          <w:szCs w:val="32"/>
          <w:highlight w:val="none"/>
          <w:lang w:eastAsia="zh-CN"/>
        </w:rPr>
        <w:t>分</w:t>
      </w:r>
      <w:r>
        <w:rPr>
          <w:rFonts w:hint="eastAsia" w:ascii="黑体" w:hAnsi="黑体" w:eastAsia="黑体"/>
          <w:color w:val="auto"/>
          <w:sz w:val="32"/>
          <w:szCs w:val="32"/>
          <w:highlight w:val="none"/>
        </w:rPr>
        <w:t xml:space="preserve">  </w:t>
      </w:r>
      <w:r>
        <w:rPr>
          <w:rFonts w:hint="eastAsia" w:ascii="黑体" w:hAnsi="黑体" w:eastAsia="黑体"/>
          <w:color w:val="auto"/>
          <w:sz w:val="32"/>
          <w:szCs w:val="32"/>
          <w:highlight w:val="none"/>
          <w:lang w:val="en-US" w:eastAsia="zh-CN"/>
        </w:rPr>
        <w:t>2025年度</w:t>
      </w:r>
      <w:r>
        <w:rPr>
          <w:rFonts w:hint="eastAsia" w:ascii="黑体" w:hAnsi="黑体" w:eastAsia="黑体"/>
          <w:color w:val="auto"/>
          <w:sz w:val="32"/>
          <w:szCs w:val="32"/>
          <w:highlight w:val="none"/>
        </w:rPr>
        <w:t>部门决算情况说明</w:t>
      </w:r>
    </w:p>
    <w:p w14:paraId="6FEE4D88">
      <w:pPr>
        <w:ind w:firstLine="600" w:firstLineChars="200"/>
        <w:jc w:val="left"/>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一、收入决算情况说明</w:t>
      </w:r>
    </w:p>
    <w:p w14:paraId="71EB5608">
      <w:pPr>
        <w:widowControl/>
        <w:snapToGrid w:val="0"/>
        <w:spacing w:before="100" w:after="100" w:line="600" w:lineRule="exact"/>
        <w:ind w:firstLine="538"/>
        <w:jc w:val="left"/>
        <w:rPr>
          <w:rFonts w:hint="eastAsia" w:ascii="仿宋_GB2312" w:eastAsia="仿宋_GB2312"/>
          <w:color w:val="auto"/>
          <w:sz w:val="30"/>
          <w:szCs w:val="30"/>
          <w:highlight w:val="none"/>
          <w:lang w:eastAsia="zh-CN"/>
        </w:rPr>
      </w:pPr>
      <w:r>
        <w:rPr>
          <w:rFonts w:hint="eastAsia" w:ascii="仿宋_GB2312" w:hAnsi="仿宋_GB2312" w:eastAsia="仿宋_GB2312" w:cs="仿宋_GB2312"/>
          <w:color w:val="auto"/>
          <w:sz w:val="30"/>
          <w:lang w:val="zh-CN"/>
        </w:rPr>
        <w:t>华宁县宁阳中学</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收入合计</w:t>
      </w:r>
      <w:r>
        <w:rPr>
          <w:rFonts w:hint="eastAsia" w:ascii="仿宋_GB2312" w:hAnsi="仿宋_GB2312" w:eastAsia="仿宋_GB2312" w:cs="仿宋_GB2312"/>
          <w:color w:val="auto"/>
          <w:sz w:val="30"/>
          <w:lang w:val="zh-CN"/>
        </w:rPr>
        <w:t>30359359.91</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。其中：财政拨款收入</w:t>
      </w:r>
      <w:r>
        <w:rPr>
          <w:rFonts w:hint="eastAsia" w:ascii="仿宋_GB2312" w:hAnsi="仿宋_GB2312" w:eastAsia="仿宋_GB2312" w:cs="仿宋_GB2312"/>
          <w:color w:val="auto"/>
          <w:sz w:val="30"/>
          <w:lang w:val="zh-CN"/>
        </w:rPr>
        <w:t>29610473.67</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97.53</w:t>
      </w:r>
      <w:r>
        <w:rPr>
          <w:rFonts w:hint="eastAsia" w:ascii="仿宋_GB2312" w:eastAsia="仿宋_GB2312"/>
          <w:color w:val="auto"/>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%；附属单位</w:t>
      </w:r>
      <w:r>
        <w:rPr>
          <w:rFonts w:hint="eastAsia" w:ascii="仿宋_GB2312" w:eastAsia="仿宋_GB2312"/>
          <w:color w:val="auto"/>
          <w:sz w:val="30"/>
          <w:szCs w:val="30"/>
          <w:highlight w:val="none"/>
          <w:lang w:eastAsia="zh-CN"/>
        </w:rPr>
        <w:t>上缴</w:t>
      </w:r>
      <w:r>
        <w:rPr>
          <w:rFonts w:hint="eastAsia" w:ascii="仿宋_GB2312" w:eastAsia="仿宋_GB2312"/>
          <w:color w:val="auto"/>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%；其他收入</w:t>
      </w:r>
      <w:r>
        <w:rPr>
          <w:rFonts w:hint="eastAsia" w:ascii="仿宋_GB2312" w:hAnsi="仿宋_GB2312" w:eastAsia="仿宋_GB2312" w:cs="仿宋_GB2312"/>
          <w:color w:val="auto"/>
          <w:sz w:val="30"/>
          <w:lang w:val="zh-CN"/>
        </w:rPr>
        <w:t>748886.24</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2.47</w:t>
      </w:r>
      <w:r>
        <w:rPr>
          <w:rFonts w:hint="eastAsia" w:ascii="仿宋_GB2312" w:eastAsia="仿宋_GB2312"/>
          <w:color w:val="auto"/>
          <w:sz w:val="30"/>
          <w:szCs w:val="30"/>
          <w:highlight w:val="none"/>
        </w:rPr>
        <w:t>%。</w:t>
      </w:r>
    </w:p>
    <w:p w14:paraId="3AB08253">
      <w:pPr>
        <w:widowControl/>
        <w:snapToGrid w:val="0"/>
        <w:spacing w:before="100" w:after="100" w:line="600" w:lineRule="exact"/>
        <w:ind w:firstLine="538"/>
        <w:jc w:val="left"/>
        <w:rPr>
          <w:rFonts w:hint="eastAsia" w:ascii="仿宋_GB2312" w:hAnsi="宋体" w:eastAsia="仿宋_GB2312" w:cs="Arial"/>
          <w:color w:val="auto"/>
          <w:kern w:val="0"/>
          <w:sz w:val="30"/>
          <w:szCs w:val="30"/>
          <w:highlight w:val="none"/>
        </w:rPr>
      </w:pPr>
      <w:r>
        <w:rPr>
          <w:rFonts w:hint="eastAsia" w:ascii="仿宋_GB2312" w:eastAsia="仿宋_GB2312"/>
          <w:color w:val="auto"/>
          <w:sz w:val="30"/>
          <w:szCs w:val="30"/>
          <w:highlight w:val="none"/>
        </w:rPr>
        <w:t>与上年</w:t>
      </w:r>
      <w:r>
        <w:rPr>
          <w:rFonts w:hint="eastAsia" w:ascii="仿宋_GB2312" w:eastAsia="仿宋_GB2312"/>
          <w:color w:val="auto"/>
          <w:sz w:val="30"/>
          <w:szCs w:val="30"/>
          <w:highlight w:val="none"/>
          <w:lang w:eastAsia="zh-CN"/>
        </w:rPr>
        <w:t>相比，</w:t>
      </w:r>
      <w:r>
        <w:rPr>
          <w:rFonts w:hint="eastAsia" w:ascii="仿宋_GB2312" w:eastAsia="仿宋_GB2312"/>
          <w:color w:val="auto"/>
          <w:sz w:val="30"/>
          <w:szCs w:val="30"/>
          <w:highlight w:val="none"/>
        </w:rPr>
        <w:t>收入合计</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5727652.45</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23.25</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w:t>
      </w:r>
      <w:r>
        <w:rPr>
          <w:rFonts w:hint="eastAsia" w:ascii="仿宋_GB2312" w:eastAsia="仿宋_GB2312"/>
          <w:color w:val="auto"/>
          <w:sz w:val="30"/>
          <w:szCs w:val="30"/>
          <w:highlight w:val="none"/>
        </w:rPr>
        <w:t>财政拨款收入</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6002871.87</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25.43</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rPr>
        <w:t>上级补助收入</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元；事业收入增加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元；经营收入增加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元；附属单位上缴收入增加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元；其他收入</w:t>
      </w:r>
      <w:r>
        <w:rPr>
          <w:rFonts w:hint="eastAsia" w:ascii="仿宋_GB2312" w:eastAsia="仿宋_GB2312"/>
          <w:color w:val="auto"/>
          <w:sz w:val="30"/>
          <w:szCs w:val="30"/>
          <w:highlight w:val="none"/>
          <w:lang w:val="en-US" w:eastAsia="zh-CN"/>
        </w:rPr>
        <w:t>减少</w:t>
      </w:r>
      <w:r>
        <w:rPr>
          <w:rFonts w:hint="eastAsia" w:ascii="仿宋_GB2312" w:hAnsi="仿宋_GB2312" w:eastAsia="仿宋_GB2312" w:cs="仿宋_GB2312"/>
          <w:color w:val="auto"/>
          <w:sz w:val="30"/>
          <w:lang w:val="zh-CN"/>
        </w:rPr>
        <w:t>275219.42</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lang w:val="en-US" w:eastAsia="zh-CN"/>
        </w:rPr>
        <w:t>下降</w:t>
      </w:r>
      <w:r>
        <w:rPr>
          <w:rFonts w:hint="eastAsia" w:ascii="仿宋_GB2312" w:hAnsi="仿宋_GB2312" w:eastAsia="仿宋_GB2312" w:cs="仿宋_GB2312"/>
          <w:color w:val="auto"/>
          <w:sz w:val="30"/>
          <w:lang w:val="zh-CN"/>
        </w:rPr>
        <w:t>26.87</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rPr>
        <w:t>，主要原因</w:t>
      </w:r>
      <w:r>
        <w:rPr>
          <w:rFonts w:hint="eastAsia" w:ascii="仿宋_GB2312" w:eastAsia="仿宋_GB2312"/>
          <w:color w:val="auto"/>
          <w:sz w:val="30"/>
          <w:szCs w:val="30"/>
          <w:highlight w:val="none"/>
          <w:lang w:eastAsia="zh-CN"/>
        </w:rPr>
        <w:t>是2025年课后服务费收费标准调整减少。</w:t>
      </w:r>
    </w:p>
    <w:p w14:paraId="2C180FF3">
      <w:pPr>
        <w:ind w:firstLine="600" w:firstLineChars="200"/>
        <w:jc w:val="left"/>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二、支出决算情况说明</w:t>
      </w:r>
    </w:p>
    <w:p w14:paraId="4227C3E5">
      <w:pPr>
        <w:spacing w:line="600" w:lineRule="exact"/>
        <w:ind w:firstLine="600" w:firstLineChars="200"/>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sz w:val="30"/>
          <w:lang w:val="zh-CN"/>
        </w:rPr>
        <w:t>华宁县宁阳中学</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支出合计</w:t>
      </w:r>
      <w:r>
        <w:rPr>
          <w:rFonts w:hint="eastAsia" w:ascii="仿宋_GB2312" w:hAnsi="仿宋_GB2312" w:eastAsia="仿宋_GB2312" w:cs="仿宋_GB2312"/>
          <w:color w:val="auto"/>
          <w:sz w:val="30"/>
          <w:lang w:val="zh-CN"/>
        </w:rPr>
        <w:t>30182533.67</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。其中：</w:t>
      </w:r>
      <w:r>
        <w:rPr>
          <w:rFonts w:hint="eastAsia" w:ascii="仿宋_GB2312" w:hAnsi="宋体" w:eastAsia="仿宋_GB2312" w:cs="Arial"/>
          <w:color w:val="auto"/>
          <w:kern w:val="0"/>
          <w:sz w:val="30"/>
          <w:szCs w:val="30"/>
          <w:highlight w:val="none"/>
        </w:rPr>
        <w:t>基本支出</w:t>
      </w:r>
      <w:r>
        <w:rPr>
          <w:rFonts w:hint="eastAsia" w:ascii="仿宋_GB2312" w:hAnsi="仿宋_GB2312" w:eastAsia="仿宋_GB2312" w:cs="仿宋_GB2312"/>
          <w:color w:val="auto"/>
          <w:sz w:val="30"/>
          <w:lang w:val="zh-CN"/>
        </w:rPr>
        <w:t>23778641.14</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78.78</w:t>
      </w:r>
      <w:r>
        <w:rPr>
          <w:rFonts w:hint="eastAsia" w:ascii="仿宋_GB2312" w:hAnsi="宋体" w:eastAsia="仿宋_GB2312" w:cs="Arial"/>
          <w:color w:val="auto"/>
          <w:kern w:val="0"/>
          <w:sz w:val="30"/>
          <w:szCs w:val="30"/>
          <w:highlight w:val="none"/>
        </w:rPr>
        <w:t>％；项目支出</w:t>
      </w:r>
      <w:r>
        <w:rPr>
          <w:rFonts w:hint="eastAsia" w:ascii="仿宋_GB2312" w:hAnsi="仿宋_GB2312" w:eastAsia="仿宋_GB2312" w:cs="仿宋_GB2312"/>
          <w:color w:val="auto"/>
          <w:sz w:val="30"/>
          <w:lang w:val="zh-CN"/>
        </w:rPr>
        <w:t>6403892.53</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21.22</w:t>
      </w:r>
      <w:r>
        <w:rPr>
          <w:rFonts w:hint="eastAsia" w:ascii="仿宋_GB2312" w:hAnsi="宋体" w:eastAsia="仿宋_GB2312" w:cs="Arial"/>
          <w:color w:val="auto"/>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p>
    <w:p w14:paraId="39E0CF6D">
      <w:pPr>
        <w:spacing w:line="600" w:lineRule="exact"/>
        <w:ind w:firstLine="600" w:firstLineChars="200"/>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与上年</w:t>
      </w:r>
      <w:r>
        <w:rPr>
          <w:rFonts w:hint="eastAsia" w:ascii="仿宋_GB2312" w:eastAsia="仿宋_GB2312"/>
          <w:color w:val="auto"/>
          <w:sz w:val="30"/>
          <w:szCs w:val="30"/>
          <w:highlight w:val="none"/>
          <w:lang w:eastAsia="zh-CN"/>
        </w:rPr>
        <w:t>相比，支出</w:t>
      </w:r>
      <w:r>
        <w:rPr>
          <w:rFonts w:hint="eastAsia" w:ascii="仿宋_GB2312" w:eastAsia="仿宋_GB2312"/>
          <w:color w:val="auto"/>
          <w:sz w:val="30"/>
          <w:szCs w:val="30"/>
          <w:highlight w:val="none"/>
        </w:rPr>
        <w:t>合计</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5561248.38</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22.59</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w:t>
      </w:r>
      <w:r>
        <w:rPr>
          <w:rFonts w:hint="eastAsia" w:ascii="仿宋_GB2312" w:hAnsi="宋体" w:eastAsia="仿宋_GB2312" w:cs="Arial"/>
          <w:color w:val="auto"/>
          <w:kern w:val="0"/>
          <w:sz w:val="30"/>
          <w:szCs w:val="30"/>
          <w:highlight w:val="none"/>
        </w:rPr>
        <w:t>基本支出</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2544229.17</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11.98</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；项目支出增加</w:t>
      </w:r>
      <w:r>
        <w:rPr>
          <w:rFonts w:hint="eastAsia" w:ascii="仿宋_GB2312" w:hAnsi="仿宋_GB2312" w:eastAsia="仿宋_GB2312" w:cs="仿宋_GB2312"/>
          <w:color w:val="auto"/>
          <w:sz w:val="30"/>
          <w:lang w:val="zh-CN"/>
        </w:rPr>
        <w:t>3017019.21</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89.08</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；上缴上级支出增加；经营支出增加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主要原因</w:t>
      </w:r>
      <w:r>
        <w:rPr>
          <w:rFonts w:hint="eastAsia" w:ascii="仿宋_GB2312" w:eastAsia="仿宋_GB2312"/>
          <w:color w:val="auto"/>
          <w:sz w:val="30"/>
          <w:szCs w:val="30"/>
          <w:highlight w:val="none"/>
          <w:lang w:eastAsia="zh-CN"/>
        </w:rPr>
        <w:t>是2025年化债资金增加，项目支出增加</w:t>
      </w:r>
      <w:r>
        <w:rPr>
          <w:rFonts w:hint="eastAsia" w:ascii="仿宋_GB2312" w:eastAsia="仿宋_GB2312"/>
          <w:color w:val="auto"/>
          <w:sz w:val="30"/>
          <w:szCs w:val="30"/>
          <w:highlight w:val="none"/>
        </w:rPr>
        <w:t>。</w:t>
      </w:r>
    </w:p>
    <w:p w14:paraId="09531B1C">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（一）基本支出情况</w:t>
      </w:r>
    </w:p>
    <w:p w14:paraId="7FAF8384">
      <w:pPr>
        <w:widowControl/>
        <w:snapToGrid w:val="0"/>
        <w:spacing w:before="100" w:after="100" w:line="600" w:lineRule="exact"/>
        <w:ind w:firstLine="538"/>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sz w:val="30"/>
          <w:szCs w:val="30"/>
          <w:highlight w:val="none"/>
          <w:lang w:val="en-US" w:eastAsia="zh-CN"/>
        </w:rPr>
        <w:t>2025年度</w:t>
      </w:r>
      <w:r>
        <w:rPr>
          <w:rFonts w:hint="eastAsia" w:ascii="仿宋_GB2312" w:hAnsi="仿宋_GB2312" w:eastAsia="仿宋_GB2312" w:cs="仿宋_GB2312"/>
          <w:color w:val="auto"/>
          <w:sz w:val="30"/>
          <w:szCs w:val="30"/>
          <w:highlight w:val="none"/>
        </w:rPr>
        <w:t>用于保障</w:t>
      </w:r>
      <w:r>
        <w:rPr>
          <w:rFonts w:hint="eastAsia" w:ascii="仿宋_GB2312" w:hAnsi="仿宋_GB2312" w:eastAsia="仿宋_GB2312" w:cs="仿宋_GB2312"/>
          <w:color w:val="auto"/>
          <w:sz w:val="30"/>
          <w:lang w:val="zh-CN"/>
        </w:rPr>
        <w:t>华宁县宁阳中学</w:t>
      </w:r>
      <w:r>
        <w:rPr>
          <w:rFonts w:hint="eastAsia" w:ascii="仿宋_GB2312" w:hAnsi="仿宋_GB2312" w:eastAsia="仿宋_GB2312" w:cs="仿宋_GB2312"/>
          <w:color w:val="auto"/>
          <w:sz w:val="30"/>
          <w:szCs w:val="30"/>
          <w:highlight w:val="none"/>
        </w:rPr>
        <w:t>机构正常运转的日常支出</w:t>
      </w:r>
      <w:r>
        <w:rPr>
          <w:rFonts w:hint="eastAsia" w:ascii="仿宋_GB2312" w:hAnsi="仿宋_GB2312" w:eastAsia="仿宋_GB2312" w:cs="仿宋_GB2312"/>
          <w:color w:val="auto"/>
          <w:sz w:val="30"/>
          <w:lang w:val="zh-CN"/>
        </w:rPr>
        <w:t>23778641.14</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eastAsia="zh-CN"/>
        </w:rPr>
        <w:t>其中：</w:t>
      </w:r>
      <w:r>
        <w:rPr>
          <w:rFonts w:hint="eastAsia" w:ascii="仿宋_GB2312" w:hAnsi="仿宋_GB2312" w:eastAsia="仿宋_GB2312" w:cs="仿宋_GB2312"/>
          <w:color w:val="auto"/>
          <w:sz w:val="30"/>
          <w:szCs w:val="30"/>
          <w:highlight w:val="none"/>
        </w:rPr>
        <w:t>基本工资、津贴补贴等人员经费支出</w:t>
      </w:r>
      <w:r>
        <w:rPr>
          <w:rFonts w:hint="eastAsia" w:ascii="仿宋_GB2312" w:hAnsi="仿宋_GB2312" w:eastAsia="仿宋_GB2312" w:cs="仿宋_GB2312"/>
          <w:color w:val="auto"/>
          <w:sz w:val="30"/>
          <w:lang w:val="zh-CN"/>
        </w:rPr>
        <w:t>23686901.14</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占基本支出的</w:t>
      </w:r>
      <w:r>
        <w:rPr>
          <w:rFonts w:hint="eastAsia" w:ascii="仿宋_GB2312" w:hAnsi="仿宋_GB2312" w:eastAsia="仿宋_GB2312" w:cs="仿宋_GB2312"/>
          <w:color w:val="auto"/>
          <w:sz w:val="30"/>
          <w:lang w:val="zh-CN"/>
        </w:rPr>
        <w:t>99.61</w:t>
      </w:r>
      <w:r>
        <w:rPr>
          <w:rFonts w:hint="eastAsia" w:ascii="仿宋_GB2312" w:hAnsi="仿宋_GB2312" w:eastAsia="仿宋_GB2312" w:cs="仿宋_GB2312"/>
          <w:color w:val="auto"/>
          <w:sz w:val="30"/>
          <w:szCs w:val="30"/>
          <w:highlight w:val="none"/>
        </w:rPr>
        <w:t>％；办公费、印刷费、水电费、办公设备购置等公用经费</w:t>
      </w:r>
      <w:r>
        <w:rPr>
          <w:rFonts w:hint="eastAsia" w:ascii="仿宋_GB2312" w:hAnsi="仿宋_GB2312" w:eastAsia="仿宋_GB2312" w:cs="仿宋_GB2312"/>
          <w:color w:val="auto"/>
          <w:sz w:val="30"/>
          <w:lang w:val="zh-CN"/>
        </w:rPr>
        <w:t>91740.00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占基本支出的</w:t>
      </w:r>
      <w:r>
        <w:rPr>
          <w:rFonts w:hint="eastAsia" w:ascii="仿宋_GB2312" w:hAnsi="仿宋_GB2312" w:eastAsia="仿宋_GB2312" w:cs="仿宋_GB2312"/>
          <w:color w:val="auto"/>
          <w:sz w:val="30"/>
          <w:lang w:val="zh-CN"/>
        </w:rPr>
        <w:t>0.39</w:t>
      </w:r>
      <w:r>
        <w:rPr>
          <w:rFonts w:hint="eastAsia" w:ascii="仿宋_GB2312" w:hAnsi="仿宋_GB2312" w:eastAsia="仿宋_GB2312" w:cs="仿宋_GB2312"/>
          <w:color w:val="auto"/>
          <w:sz w:val="30"/>
          <w:szCs w:val="30"/>
          <w:highlight w:val="none"/>
        </w:rPr>
        <w:t>％。</w:t>
      </w:r>
    </w:p>
    <w:p w14:paraId="070CC40B">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（二）项目支出情况</w:t>
      </w:r>
    </w:p>
    <w:p w14:paraId="6263C7AD">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用于保障</w:t>
      </w:r>
      <w:r>
        <w:rPr>
          <w:rFonts w:hint="eastAsia" w:ascii="仿宋_GB2312" w:hAnsi="仿宋_GB2312" w:eastAsia="仿宋_GB2312" w:cs="仿宋_GB2312"/>
          <w:color w:val="auto"/>
          <w:sz w:val="30"/>
          <w:lang w:val="zh-CN"/>
        </w:rPr>
        <w:t>华宁县宁阳中学</w:t>
      </w:r>
      <w:r>
        <w:rPr>
          <w:rFonts w:hint="eastAsia" w:ascii="仿宋_GB2312" w:eastAsia="仿宋_GB2312"/>
          <w:color w:val="auto"/>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6403892.53</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p>
    <w:p w14:paraId="43202418">
      <w:pPr>
        <w:keepNext w:val="0"/>
        <w:keepLines w:val="0"/>
        <w:pageBreakBefore w:val="0"/>
        <w:widowControl/>
        <w:numPr>
          <w:ilvl w:val="0"/>
          <w:numId w:val="0"/>
        </w:numPr>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val="en-US" w:eastAsia="zh-CN"/>
        </w:rPr>
        <w:t>1.华宁县第三中学2025年课后服务收费项目专项资金820000.00元，</w:t>
      </w:r>
      <w:r>
        <w:rPr>
          <w:rFonts w:hint="eastAsia" w:ascii="仿宋_GB2312" w:eastAsia="仿宋_GB2312"/>
          <w:color w:val="auto"/>
          <w:sz w:val="30"/>
          <w:szCs w:val="30"/>
          <w:highlight w:val="none"/>
        </w:rPr>
        <w:t>主要用于落实立德树人根本任务,促进学生全面成长成才。课程囊括艺术素质类、科技素质类、人文素质 类,课程内容力求丰富多彩,提升学生综合素养,德智体美劳全面发展, 服务社会,做好基础教育事业,满足学生和家长的需要。</w:t>
      </w:r>
    </w:p>
    <w:p w14:paraId="2D062EE9">
      <w:pPr>
        <w:keepNext w:val="0"/>
        <w:keepLines w:val="0"/>
        <w:pageBreakBefore w:val="0"/>
        <w:widowControl/>
        <w:numPr>
          <w:ilvl w:val="0"/>
          <w:numId w:val="0"/>
        </w:numPr>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2.2025年农村义务教育学生营养改善计划上级补助专项资金</w:t>
      </w:r>
    </w:p>
    <w:p w14:paraId="6D807522">
      <w:pPr>
        <w:keepNext w:val="0"/>
        <w:keepLines w:val="0"/>
        <w:pageBreakBefore w:val="0"/>
        <w:widowControl/>
        <w:numPr>
          <w:ilvl w:val="0"/>
          <w:numId w:val="0"/>
        </w:numPr>
        <w:kinsoku/>
        <w:wordWrap w:val="0"/>
        <w:overflowPunct/>
        <w:topLinePunct w:val="0"/>
        <w:autoSpaceDE/>
        <w:autoSpaceDN/>
        <w:bidi w:val="0"/>
        <w:adjustRightInd/>
        <w:snapToGrid w:val="0"/>
        <w:spacing w:before="100" w:after="100" w:line="600" w:lineRule="exact"/>
        <w:jc w:val="left"/>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val="en-US" w:eastAsia="zh-CN"/>
        </w:rPr>
        <w:t>191900.00元，</w:t>
      </w:r>
      <w:r>
        <w:rPr>
          <w:rFonts w:hint="eastAsia" w:ascii="仿宋_GB2312" w:eastAsia="仿宋_GB2312"/>
          <w:color w:val="auto"/>
          <w:sz w:val="30"/>
          <w:szCs w:val="30"/>
          <w:highlight w:val="none"/>
        </w:rPr>
        <w:t>标准按照每生每天5元</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rPr>
        <w:t>全年1000元的标准执行，确保华宁县第三中学营养改善计划地方试点农村学生全部纳入政策实施范围，进一步改华宁县第三中学农村义务教育学生营养状况，逐步提高农村学生健康水平。</w:t>
      </w:r>
    </w:p>
    <w:p w14:paraId="3EA13371">
      <w:pPr>
        <w:widowControl/>
        <w:numPr>
          <w:ilvl w:val="0"/>
          <w:numId w:val="0"/>
        </w:numPr>
        <w:snapToGrid w:val="0"/>
        <w:spacing w:before="100" w:after="100" w:line="600" w:lineRule="exact"/>
        <w:ind w:firstLine="600" w:firstLineChars="200"/>
        <w:jc w:val="left"/>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val="en-US" w:eastAsia="zh-CN"/>
        </w:rPr>
        <w:t>3.挡土墙围墙修缮实验楼及厕所改造专项补助资金650000.00元，</w:t>
      </w:r>
      <w:r>
        <w:rPr>
          <w:rFonts w:hint="eastAsia" w:ascii="仿宋_GB2312" w:eastAsia="仿宋_GB2312"/>
          <w:color w:val="auto"/>
          <w:sz w:val="30"/>
          <w:szCs w:val="30"/>
          <w:highlight w:val="none"/>
        </w:rPr>
        <w:t>主要用于完成挡土墙围墙修缮，实验楼及厕所改造。</w:t>
      </w:r>
    </w:p>
    <w:p w14:paraId="033DAAE6">
      <w:pPr>
        <w:widowControl/>
        <w:numPr>
          <w:ilvl w:val="0"/>
          <w:numId w:val="0"/>
        </w:numPr>
        <w:snapToGrid w:val="0"/>
        <w:spacing w:before="100" w:after="100" w:line="600" w:lineRule="exact"/>
        <w:jc w:val="left"/>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 xml:space="preserve">    其余项目详见项目绩效自评表。</w:t>
      </w:r>
    </w:p>
    <w:p w14:paraId="45015C6B">
      <w:pPr>
        <w:widowControl/>
        <w:snapToGrid w:val="0"/>
        <w:spacing w:before="100" w:after="100" w:line="600" w:lineRule="exact"/>
        <w:ind w:firstLine="600" w:firstLineChars="200"/>
        <w:jc w:val="left"/>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三、一般公共预算财政拨款支出决算情况说明</w:t>
      </w:r>
    </w:p>
    <w:p w14:paraId="215EF5B5">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（一）一般公共预算财政拨款支出决算总体情况</w:t>
      </w:r>
    </w:p>
    <w:p w14:paraId="2B4E0983">
      <w:pPr>
        <w:keepNext w:val="0"/>
        <w:keepLines w:val="0"/>
        <w:pageBreakBefore w:val="0"/>
        <w:widowControl/>
        <w:numPr>
          <w:ilvl w:val="0"/>
          <w:numId w:val="0"/>
        </w:numPr>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zh-CN" w:eastAsia="zh-CN"/>
        </w:rPr>
        <w:t>华宁县宁阳中学</w:t>
      </w:r>
      <w:r>
        <w:rPr>
          <w:rFonts w:hint="eastAsia" w:ascii="仿宋_GB2312" w:eastAsia="仿宋_GB2312"/>
          <w:color w:val="auto"/>
          <w:sz w:val="30"/>
          <w:szCs w:val="30"/>
          <w:highlight w:val="none"/>
          <w:lang w:val="en-US" w:eastAsia="zh-CN"/>
        </w:rPr>
        <w:t>2025年度一般公共预算财政拨款支出</w:t>
      </w:r>
      <w:r>
        <w:rPr>
          <w:rFonts w:hint="eastAsia" w:ascii="仿宋_GB2312" w:eastAsia="仿宋_GB2312"/>
          <w:color w:val="auto"/>
          <w:sz w:val="30"/>
          <w:szCs w:val="30"/>
          <w:highlight w:val="none"/>
          <w:lang w:val="zh-CN" w:eastAsia="zh-CN"/>
        </w:rPr>
        <w:t>29610473.67</w:t>
      </w:r>
      <w:r>
        <w:rPr>
          <w:rFonts w:hint="eastAsia" w:ascii="仿宋_GB2312" w:eastAsia="仿宋_GB2312"/>
          <w:color w:val="auto"/>
          <w:sz w:val="30"/>
          <w:szCs w:val="30"/>
          <w:highlight w:val="none"/>
          <w:lang w:val="en-US" w:eastAsia="zh-CN"/>
        </w:rPr>
        <w:t>元,占本年支出合计的</w:t>
      </w:r>
      <w:r>
        <w:rPr>
          <w:rFonts w:hint="eastAsia" w:ascii="仿宋_GB2312" w:eastAsia="仿宋_GB2312"/>
          <w:color w:val="auto"/>
          <w:sz w:val="30"/>
          <w:szCs w:val="30"/>
          <w:highlight w:val="none"/>
          <w:lang w:val="zh-CN" w:eastAsia="zh-CN"/>
        </w:rPr>
        <w:t>98.10</w:t>
      </w:r>
      <w:r>
        <w:rPr>
          <w:rFonts w:hint="eastAsia" w:ascii="仿宋_GB2312" w:eastAsia="仿宋_GB2312"/>
          <w:color w:val="auto"/>
          <w:sz w:val="30"/>
          <w:szCs w:val="30"/>
          <w:highlight w:val="none"/>
          <w:lang w:val="en-US" w:eastAsia="zh-CN"/>
        </w:rPr>
        <w:t>%。与上年相比增加</w:t>
      </w:r>
      <w:r>
        <w:rPr>
          <w:rFonts w:hint="eastAsia" w:ascii="仿宋_GB2312" w:eastAsia="仿宋_GB2312"/>
          <w:color w:val="auto"/>
          <w:sz w:val="30"/>
          <w:szCs w:val="30"/>
          <w:highlight w:val="none"/>
          <w:lang w:val="zh-CN" w:eastAsia="zh-CN"/>
        </w:rPr>
        <w:t>6002871.87</w:t>
      </w:r>
      <w:r>
        <w:rPr>
          <w:rFonts w:hint="eastAsia" w:ascii="仿宋_GB2312" w:eastAsia="仿宋_GB2312"/>
          <w:color w:val="auto"/>
          <w:sz w:val="30"/>
          <w:szCs w:val="30"/>
          <w:highlight w:val="none"/>
          <w:lang w:val="en-US" w:eastAsia="zh-CN"/>
        </w:rPr>
        <w:t>元，增长</w:t>
      </w:r>
      <w:r>
        <w:rPr>
          <w:rFonts w:hint="eastAsia" w:ascii="仿宋_GB2312" w:eastAsia="仿宋_GB2312"/>
          <w:color w:val="auto"/>
          <w:sz w:val="30"/>
          <w:szCs w:val="30"/>
          <w:highlight w:val="none"/>
          <w:lang w:val="zh-CN" w:eastAsia="zh-CN"/>
        </w:rPr>
        <w:t>25.43</w:t>
      </w:r>
      <w:r>
        <w:rPr>
          <w:rFonts w:hint="eastAsia" w:ascii="仿宋_GB2312" w:eastAsia="仿宋_GB2312"/>
          <w:color w:val="auto"/>
          <w:sz w:val="30"/>
          <w:szCs w:val="30"/>
          <w:highlight w:val="none"/>
          <w:lang w:val="en-US" w:eastAsia="zh-CN"/>
        </w:rPr>
        <w:t>%,完成年初预算的</w:t>
      </w:r>
      <w:r>
        <w:rPr>
          <w:rFonts w:hint="eastAsia" w:ascii="仿宋_GB2312" w:eastAsia="仿宋_GB2312"/>
          <w:color w:val="auto"/>
          <w:sz w:val="30"/>
          <w:szCs w:val="30"/>
          <w:highlight w:val="none"/>
          <w:lang w:val="zh-CN" w:eastAsia="zh-CN"/>
        </w:rPr>
        <w:t>130.46</w:t>
      </w:r>
      <w:r>
        <w:rPr>
          <w:rFonts w:hint="eastAsia" w:ascii="仿宋_GB2312" w:eastAsia="仿宋_GB2312"/>
          <w:color w:val="auto"/>
          <w:sz w:val="30"/>
          <w:szCs w:val="30"/>
          <w:highlight w:val="none"/>
          <w:lang w:val="en-US" w:eastAsia="zh-CN"/>
        </w:rPr>
        <w:t>%。</w:t>
      </w:r>
    </w:p>
    <w:p w14:paraId="61DA914B">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（二）一般公共预算财政拨款支出决算</w:t>
      </w:r>
      <w:r>
        <w:rPr>
          <w:rFonts w:hint="eastAsia" w:ascii="楷体" w:hAnsi="楷体" w:eastAsia="楷体"/>
          <w:color w:val="auto"/>
          <w:sz w:val="30"/>
          <w:szCs w:val="30"/>
          <w:highlight w:val="none"/>
          <w:lang w:eastAsia="zh-CN"/>
        </w:rPr>
        <w:t>分功能分类科目情况</w:t>
      </w:r>
      <w:r>
        <w:rPr>
          <w:rFonts w:hint="eastAsia" w:ascii="楷体" w:hAnsi="楷体" w:eastAsia="楷体"/>
          <w:color w:val="auto"/>
          <w:sz w:val="30"/>
          <w:szCs w:val="30"/>
          <w:highlight w:val="none"/>
        </w:rPr>
        <w:tab/>
      </w:r>
    </w:p>
    <w:p w14:paraId="532F7EA2">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宋体" w:eastAsia="仿宋_GB2312" w:cs="Arial"/>
          <w:color w:val="auto"/>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6C078888">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宋体" w:eastAsia="仿宋_GB2312" w:cs="Arial"/>
          <w:color w:val="auto"/>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10A6D9E8">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宋体" w:eastAsia="仿宋_GB2312" w:cs="Arial"/>
          <w:color w:val="auto"/>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053E832">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宋体" w:eastAsia="仿宋_GB2312" w:cs="Arial"/>
          <w:color w:val="auto"/>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589835C">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22533228.30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76.10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139.97</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eastAsia="zh-CN"/>
        </w:rPr>
        <w:t>初中教育</w:t>
      </w:r>
      <w:r>
        <w:rPr>
          <w:rFonts w:hint="eastAsia" w:ascii="仿宋_GB2312" w:hAnsi="仿宋_GB2312" w:eastAsia="仿宋_GB2312" w:cs="仿宋_GB2312"/>
          <w:color w:val="auto"/>
          <w:kern w:val="0"/>
          <w:sz w:val="30"/>
          <w:lang w:val="en-US" w:eastAsia="zh-CN"/>
        </w:rPr>
        <w:t>22533228.30</w:t>
      </w:r>
      <w:r>
        <w:rPr>
          <w:rFonts w:hint="eastAsia" w:ascii="仿宋_GB2312" w:hAnsi="仿宋_GB2312" w:eastAsia="仿宋_GB2312" w:cs="仿宋_GB2312"/>
          <w:color w:val="auto"/>
          <w:kern w:val="0"/>
          <w:sz w:val="30"/>
          <w:lang w:val="en-US"/>
        </w:rPr>
        <w:t>元</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造成预决算差异的主要原因是</w:t>
      </w:r>
      <w:r>
        <w:rPr>
          <w:rFonts w:hint="eastAsia" w:ascii="仿宋" w:hAnsi="仿宋" w:eastAsia="仿宋" w:cs="仿宋"/>
          <w:color w:val="auto"/>
          <w:sz w:val="30"/>
          <w:lang w:val="zh-CN"/>
        </w:rPr>
        <w:t>项目经费追加</w:t>
      </w:r>
      <w:r>
        <w:rPr>
          <w:rFonts w:hint="eastAsia" w:ascii="仿宋_GB2312" w:hAnsi="宋体" w:eastAsia="仿宋_GB2312" w:cs="Arial"/>
          <w:color w:val="auto"/>
          <w:kern w:val="0"/>
          <w:sz w:val="30"/>
          <w:szCs w:val="30"/>
          <w:highlight w:val="none"/>
          <w:lang w:eastAsia="zh-CN"/>
        </w:rPr>
        <w:t>。</w:t>
      </w:r>
    </w:p>
    <w:p w14:paraId="21B2AFD1">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7355FF81">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641FFDBB">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3551938.48</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12.00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124.37</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主要用于机关事业单位基本养老保险缴费支</w:t>
      </w:r>
      <w:r>
        <w:rPr>
          <w:rFonts w:hint="eastAsia" w:ascii="仿宋_GB2312" w:hAnsi="宋体" w:eastAsia="仿宋_GB2312" w:cs="Arial"/>
          <w:color w:val="auto"/>
          <w:kern w:val="0"/>
          <w:sz w:val="30"/>
          <w:szCs w:val="30"/>
          <w:highlight w:val="none"/>
          <w:lang w:eastAsia="zh-CN"/>
        </w:rPr>
        <w:t>出2,322,585.92元， 机关事业单位职业年金缴费支出1,217,847.56元，</w:t>
      </w:r>
      <w:r>
        <w:rPr>
          <w:rFonts w:hint="eastAsia" w:ascii="仿宋_GB2312" w:hAnsi="宋体" w:eastAsia="仿宋_GB2312" w:cs="Arial"/>
          <w:color w:val="auto"/>
          <w:kern w:val="0"/>
          <w:sz w:val="30"/>
          <w:szCs w:val="30"/>
          <w:highlight w:val="none"/>
        </w:rPr>
        <w:t>死亡抚恤11,505.00</w:t>
      </w:r>
      <w:r>
        <w:rPr>
          <w:rFonts w:hint="eastAsia" w:ascii="仿宋_GB2312" w:hAnsi="宋体" w:eastAsia="仿宋_GB2312" w:cs="Arial"/>
          <w:color w:val="auto"/>
          <w:kern w:val="0"/>
          <w:sz w:val="30"/>
          <w:szCs w:val="30"/>
          <w:highlight w:val="none"/>
          <w:lang w:eastAsia="zh-CN"/>
        </w:rPr>
        <w:t>元，造成预决算差异的主要原因是</w:t>
      </w:r>
      <w:r>
        <w:rPr>
          <w:rFonts w:hint="eastAsia" w:ascii="仿宋_GB2312" w:eastAsia="仿宋_GB2312"/>
          <w:color w:val="auto"/>
          <w:sz w:val="30"/>
          <w:szCs w:val="30"/>
          <w:highlight w:val="none"/>
          <w:lang w:eastAsia="zh-CN"/>
        </w:rPr>
        <w:t>人员变动</w:t>
      </w:r>
      <w:r>
        <w:rPr>
          <w:rFonts w:hint="eastAsia" w:ascii="仿宋_GB2312" w:hAnsi="宋体" w:eastAsia="仿宋_GB2312" w:cs="Arial"/>
          <w:color w:val="auto"/>
          <w:kern w:val="0"/>
          <w:sz w:val="30"/>
          <w:szCs w:val="30"/>
          <w:highlight w:val="none"/>
          <w:lang w:eastAsia="zh-CN"/>
        </w:rPr>
        <w:t>。</w:t>
      </w:r>
    </w:p>
    <w:p w14:paraId="19F6285D">
      <w:pPr>
        <w:widowControl/>
        <w:snapToGrid w:val="0"/>
        <w:spacing w:before="100" w:after="100"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1991756.89</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6.73</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101.08</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主要用于事业单位医疗1,189,021.92</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公务员医疗补助701,093.4</w:t>
      </w:r>
      <w:r>
        <w:rPr>
          <w:rFonts w:hint="eastAsia" w:ascii="仿宋_GB2312" w:hAnsi="宋体" w:eastAsia="仿宋_GB2312" w:cs="Arial"/>
          <w:color w:val="auto"/>
          <w:kern w:val="0"/>
          <w:sz w:val="30"/>
          <w:szCs w:val="30"/>
          <w:highlight w:val="none"/>
          <w:lang w:val="en-US" w:eastAsia="zh-CN"/>
        </w:rPr>
        <w:t>4</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其他行政事业单位医疗支出101,641.53</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造成预决算差异的主要原因是</w:t>
      </w:r>
      <w:r>
        <w:rPr>
          <w:rFonts w:hint="eastAsia" w:ascii="仿宋_GB2312" w:eastAsia="仿宋_GB2312"/>
          <w:color w:val="auto"/>
          <w:sz w:val="30"/>
          <w:szCs w:val="30"/>
          <w:highlight w:val="none"/>
          <w:lang w:eastAsia="zh-CN"/>
        </w:rPr>
        <w:t>人员变动。</w:t>
      </w:r>
    </w:p>
    <w:p w14:paraId="0FCD56FF">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69F0ED46">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4ECB8065">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0CEA0F7">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4C16C835">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5A6CDD5D">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1E74EDD8">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0DFB5BF2">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24BC79B0">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09C0B5B1">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1533550.00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5.18</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86.55</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eastAsia="zh-CN"/>
        </w:rPr>
        <w:t>住房公积金</w:t>
      </w:r>
      <w:r>
        <w:rPr>
          <w:rFonts w:hint="eastAsia" w:ascii="仿宋_GB2312" w:hAnsi="仿宋_GB2312" w:eastAsia="仿宋_GB2312" w:cs="仿宋_GB2312"/>
          <w:color w:val="auto"/>
          <w:kern w:val="0"/>
          <w:sz w:val="30"/>
          <w:lang w:val="zh-CN"/>
        </w:rPr>
        <w:t>1533550.00</w:t>
      </w:r>
      <w:r>
        <w:rPr>
          <w:rFonts w:hint="eastAsia" w:ascii="仿宋_GB2312" w:hAnsi="宋体" w:eastAsia="仿宋_GB2312" w:cs="Arial"/>
          <w:color w:val="auto"/>
          <w:kern w:val="0"/>
          <w:sz w:val="30"/>
          <w:szCs w:val="30"/>
          <w:highlight w:val="none"/>
          <w:lang w:eastAsia="zh-CN"/>
        </w:rPr>
        <w:t>元；造成预决算差异的主要原因是</w:t>
      </w:r>
      <w:r>
        <w:rPr>
          <w:rFonts w:hint="eastAsia" w:ascii="仿宋_GB2312" w:eastAsia="仿宋_GB2312"/>
          <w:color w:val="auto"/>
          <w:sz w:val="30"/>
          <w:szCs w:val="30"/>
          <w:highlight w:val="none"/>
          <w:lang w:eastAsia="zh-CN"/>
        </w:rPr>
        <w:t>人员变动</w:t>
      </w:r>
      <w:r>
        <w:rPr>
          <w:rFonts w:hint="eastAsia" w:ascii="仿宋_GB2312" w:hAnsi="宋体" w:eastAsia="仿宋_GB2312" w:cs="Arial"/>
          <w:color w:val="auto"/>
          <w:kern w:val="0"/>
          <w:sz w:val="30"/>
          <w:szCs w:val="30"/>
          <w:highlight w:val="none"/>
          <w:lang w:eastAsia="zh-CN"/>
        </w:rPr>
        <w:t>。</w:t>
      </w:r>
    </w:p>
    <w:p w14:paraId="1F526AA1">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404D7252">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07A6679D">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1AF7C262">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17B707F7">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5D07EA92">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5665077A">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001FF82A">
      <w:pPr>
        <w:widowControl/>
        <w:numPr>
          <w:ilvl w:val="0"/>
          <w:numId w:val="2"/>
        </w:numPr>
        <w:snapToGrid w:val="0"/>
        <w:spacing w:before="100" w:after="100" w:line="360" w:lineRule="auto"/>
        <w:ind w:firstLine="600" w:firstLineChars="200"/>
        <w:jc w:val="left"/>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财政拨款“三公”经费支出决算情况说明</w:t>
      </w:r>
    </w:p>
    <w:p w14:paraId="64696F9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（一）总体情况</w:t>
      </w:r>
    </w:p>
    <w:p w14:paraId="752265F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lang w:val="en-US" w:eastAsia="zh-CN"/>
        </w:rPr>
        <w:t>2025年度</w:t>
      </w:r>
      <w:r>
        <w:rPr>
          <w:rFonts w:hint="eastAsia" w:ascii="仿宋_GB2312" w:hAnsi="宋体" w:eastAsia="仿宋_GB2312" w:cs="Arial"/>
          <w:color w:val="auto"/>
          <w:kern w:val="0"/>
          <w:sz w:val="30"/>
          <w:szCs w:val="30"/>
          <w:highlight w:val="none"/>
        </w:rPr>
        <w:t>财政拨款“三公”经费支出决算中，财政拨款“三公”经费支出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kern w:val="0"/>
          <w:sz w:val="30"/>
          <w:lang w:val="en-US" w:eastAsia="zh-CN"/>
        </w:rPr>
        <w:t>0.00</w:t>
      </w:r>
      <w:r>
        <w:rPr>
          <w:rFonts w:hint="eastAsia" w:ascii="仿宋_GB2312" w:hAnsi="宋体" w:eastAsia="仿宋_GB2312" w:cs="Arial"/>
          <w:color w:val="auto"/>
          <w:kern w:val="0"/>
          <w:sz w:val="30"/>
          <w:szCs w:val="30"/>
          <w:highlight w:val="none"/>
        </w:rPr>
        <w:t>元，决算为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p>
    <w:p w14:paraId="42321C2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rPr>
        <w:t>因公出国（境）费</w:t>
      </w:r>
      <w:r>
        <w:rPr>
          <w:rFonts w:hint="eastAsia" w:ascii="仿宋_GB2312" w:hAnsi="宋体" w:eastAsia="仿宋_GB2312" w:cs="Arial"/>
          <w:color w:val="auto"/>
          <w:kern w:val="0"/>
          <w:sz w:val="30"/>
          <w:szCs w:val="30"/>
          <w:highlight w:val="none"/>
          <w:lang w:val="en-US" w:eastAsia="zh-CN"/>
        </w:rPr>
        <w:t>用用</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%；公务用车购置费支出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%；公务用车</w:t>
      </w:r>
      <w:r>
        <w:rPr>
          <w:rFonts w:hint="eastAsia" w:ascii="仿宋_GB2312" w:hAnsi="宋体" w:eastAsia="仿宋_GB2312" w:cs="Arial"/>
          <w:color w:val="auto"/>
          <w:kern w:val="0"/>
          <w:sz w:val="30"/>
          <w:szCs w:val="30"/>
          <w:highlight w:val="none"/>
          <w:lang w:eastAsia="zh-CN"/>
        </w:rPr>
        <w:t>运行维护</w:t>
      </w:r>
      <w:r>
        <w:rPr>
          <w:rFonts w:hint="eastAsia" w:ascii="仿宋_GB2312" w:hAnsi="宋体" w:eastAsia="仿宋_GB2312" w:cs="Arial"/>
          <w:color w:val="auto"/>
          <w:kern w:val="0"/>
          <w:sz w:val="30"/>
          <w:szCs w:val="30"/>
          <w:highlight w:val="none"/>
        </w:rPr>
        <w:t>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rPr>
        <w:t>公务接待费支出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lang w:eastAsia="zh-CN"/>
        </w:rPr>
        <w:t>。</w:t>
      </w:r>
    </w:p>
    <w:p w14:paraId="354528A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公务用车购置费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公务接待费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52EB19B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（二）一般公共预算财政拨款“三公”经费支出决算情况说明</w:t>
      </w:r>
    </w:p>
    <w:p w14:paraId="310F9DD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，支出决算为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2A39D644">
      <w:pPr>
        <w:widowControl/>
        <w:snapToGrid w:val="0"/>
        <w:spacing w:before="100" w:after="100"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eastAsia="仿宋_GB2312"/>
          <w:color w:val="auto"/>
          <w:sz w:val="30"/>
          <w:szCs w:val="30"/>
          <w:highlight w:val="none"/>
        </w:rPr>
        <w:t>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；公务用车购置费支出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；公务接待费支出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一般公共预算财政拨款“三公”经费支出决算数</w:t>
      </w:r>
      <w:r>
        <w:rPr>
          <w:rFonts w:hint="eastAsia" w:ascii="仿宋_GB2312" w:eastAsia="仿宋_GB2312"/>
          <w:color w:val="auto"/>
          <w:sz w:val="30"/>
          <w:szCs w:val="30"/>
          <w:highlight w:val="none"/>
          <w:lang w:eastAsia="zh-CN"/>
        </w:rPr>
        <w:t>与</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预算数</w:t>
      </w:r>
      <w:r>
        <w:rPr>
          <w:rFonts w:hint="eastAsia" w:ascii="仿宋_GB2312" w:eastAsia="仿宋_GB2312"/>
          <w:color w:val="auto"/>
          <w:sz w:val="30"/>
          <w:szCs w:val="30"/>
          <w:highlight w:val="none"/>
          <w:lang w:eastAsia="zh-CN"/>
        </w:rPr>
        <w:t>一致。</w:t>
      </w:r>
      <w:bookmarkStart w:id="0" w:name="_GoBack"/>
      <w:bookmarkEnd w:id="0"/>
    </w:p>
    <w:p w14:paraId="2BC1086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eastAsia="仿宋_GB2312"/>
          <w:color w:val="auto"/>
          <w:sz w:val="30"/>
          <w:szCs w:val="30"/>
          <w:highlight w:val="none"/>
        </w:rPr>
        <w:t>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；公务用车购置费支出决算增加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；公务接待费支出决算增加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eastAsia="仿宋_GB2312"/>
          <w:color w:val="auto"/>
          <w:sz w:val="30"/>
          <w:szCs w:val="30"/>
          <w:lang w:eastAsia="zh-CN"/>
        </w:rPr>
        <w:t>；</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宋体" w:eastAsia="仿宋_GB2312" w:cs="Arial"/>
          <w:color w:val="auto"/>
          <w:kern w:val="0"/>
          <w:sz w:val="30"/>
          <w:szCs w:val="30"/>
          <w:highlight w:val="none"/>
          <w:lang w:val="en-US" w:eastAsia="zh-CN"/>
        </w:rPr>
        <w:t>0.00元，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5B227F0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实物量的</w:t>
      </w:r>
      <w:r>
        <w:rPr>
          <w:rFonts w:hint="eastAsia" w:ascii="仿宋_GB2312" w:eastAsia="仿宋_GB2312"/>
          <w:color w:val="auto"/>
          <w:sz w:val="30"/>
          <w:szCs w:val="30"/>
          <w:highlight w:val="none"/>
        </w:rPr>
        <w:t>具体情况</w:t>
      </w:r>
      <w:r>
        <w:rPr>
          <w:rFonts w:hint="eastAsia" w:ascii="仿宋_GB2312" w:eastAsia="仿宋_GB2312"/>
          <w:color w:val="auto"/>
          <w:sz w:val="30"/>
          <w:szCs w:val="30"/>
          <w:highlight w:val="none"/>
          <w:lang w:eastAsia="zh-CN"/>
        </w:rPr>
        <w:t>：</w:t>
      </w:r>
    </w:p>
    <w:p w14:paraId="03617FEB">
      <w:pPr>
        <w:widowControl/>
        <w:numPr>
          <w:ilvl w:val="0"/>
          <w:numId w:val="3"/>
        </w:numPr>
        <w:snapToGrid w:val="0"/>
        <w:spacing w:before="100" w:after="100" w:line="360" w:lineRule="auto"/>
        <w:ind w:firstLine="600" w:firstLineChars="200"/>
        <w:jc w:val="left"/>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安排因公出国（境）团组</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个，累计</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人次。</w:t>
      </w:r>
    </w:p>
    <w:p w14:paraId="158475D4">
      <w:pPr>
        <w:widowControl/>
        <w:numPr>
          <w:ilvl w:val="0"/>
          <w:numId w:val="3"/>
        </w:numPr>
        <w:snapToGrid w:val="0"/>
        <w:spacing w:before="100" w:after="100" w:line="360" w:lineRule="auto"/>
        <w:ind w:firstLine="600" w:firstLineChars="200"/>
        <w:jc w:val="left"/>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购置车辆</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辆。</w:t>
      </w:r>
    </w:p>
    <w:p w14:paraId="595255A7">
      <w:pPr>
        <w:widowControl/>
        <w:snapToGrid w:val="0"/>
        <w:spacing w:before="100" w:after="100" w:line="360" w:lineRule="auto"/>
        <w:ind w:firstLine="600" w:firstLineChars="200"/>
        <w:jc w:val="left"/>
        <w:rPr>
          <w:rFonts w:hint="eastAsia" w:ascii="仿宋_GB2312" w:eastAsia="仿宋_GB2312"/>
          <w:b w:val="0"/>
          <w:bCs/>
          <w:color w:val="auto"/>
          <w:sz w:val="30"/>
          <w:szCs w:val="30"/>
          <w:highlight w:val="none"/>
          <w:lang w:eastAsia="zh-CN"/>
        </w:rPr>
      </w:pPr>
      <w:r>
        <w:rPr>
          <w:rFonts w:hint="eastAsia" w:ascii="仿宋_GB2312" w:eastAsia="仿宋_GB2312"/>
          <w:b w:val="0"/>
          <w:bCs/>
          <w:color w:val="auto"/>
          <w:sz w:val="30"/>
          <w:szCs w:val="30"/>
          <w:highlight w:val="none"/>
        </w:rPr>
        <w:t>3.安排</w:t>
      </w:r>
      <w:r>
        <w:rPr>
          <w:rFonts w:hint="eastAsia" w:ascii="仿宋_GB2312" w:eastAsia="仿宋_GB2312"/>
          <w:color w:val="auto"/>
          <w:sz w:val="30"/>
          <w:szCs w:val="30"/>
          <w:highlight w:val="none"/>
        </w:rPr>
        <w:t>国内公务接待</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批次（其中：外事接待</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批次），接待人次</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人（其中：外事接待人次</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人）。</w:t>
      </w:r>
    </w:p>
    <w:p w14:paraId="517C0E20">
      <w:pPr>
        <w:widowControl/>
        <w:snapToGrid w:val="0"/>
        <w:spacing w:before="100" w:after="100" w:line="360" w:lineRule="auto"/>
        <w:ind w:firstLine="600" w:firstLineChars="200"/>
        <w:jc w:val="left"/>
        <w:outlineLvl w:val="2"/>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（三）需要说明的事项</w:t>
      </w:r>
    </w:p>
    <w:p w14:paraId="2A4D66F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不存在需要说明的事项。</w:t>
      </w:r>
    </w:p>
    <w:p w14:paraId="1CE9AC8F">
      <w:pPr>
        <w:widowControl/>
        <w:snapToGrid w:val="0"/>
        <w:spacing w:before="100" w:after="100" w:line="360" w:lineRule="auto"/>
        <w:ind w:firstLine="640" w:firstLineChars="200"/>
        <w:jc w:val="left"/>
        <w:outlineLvl w:val="0"/>
        <w:rPr>
          <w:rFonts w:hint="eastAsia" w:ascii="仿宋_GB2312" w:eastAsia="仿宋_GB2312"/>
          <w:color w:val="auto"/>
          <w:sz w:val="32"/>
          <w:szCs w:val="32"/>
          <w:highlight w:val="none"/>
        </w:rPr>
      </w:pPr>
      <w:r>
        <w:rPr>
          <w:rFonts w:hint="eastAsia" w:ascii="黑体" w:hAnsi="黑体" w:eastAsia="黑体" w:cs="方正小标宋简体"/>
          <w:color w:val="auto"/>
          <w:sz w:val="32"/>
          <w:szCs w:val="32"/>
          <w:highlight w:val="none"/>
        </w:rPr>
        <w:t xml:space="preserve">第四部分  </w:t>
      </w:r>
      <w:r>
        <w:rPr>
          <w:rFonts w:hint="eastAsia" w:ascii="黑体" w:hAnsi="黑体" w:eastAsia="黑体"/>
          <w:color w:val="auto"/>
          <w:sz w:val="32"/>
          <w:szCs w:val="32"/>
          <w:highlight w:val="none"/>
        </w:rPr>
        <w:t>其他重要事项及相关口径情况说明</w:t>
      </w:r>
    </w:p>
    <w:p w14:paraId="65B3FB0A">
      <w:pPr>
        <w:ind w:firstLine="600" w:firstLineChars="200"/>
        <w:jc w:val="left"/>
        <w:outlineLvl w:val="1"/>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rPr>
        <w:t>一</w:t>
      </w:r>
      <w:r>
        <w:rPr>
          <w:rFonts w:hint="eastAsia" w:ascii="黑体" w:hAnsi="黑体" w:eastAsia="黑体" w:cs="黑体"/>
          <w:color w:val="auto"/>
          <w:sz w:val="30"/>
          <w:szCs w:val="30"/>
          <w:highlight w:val="none"/>
          <w:lang w:eastAsia="zh-CN"/>
        </w:rPr>
        <w:t>、</w:t>
      </w:r>
      <w:r>
        <w:rPr>
          <w:rFonts w:hint="eastAsia" w:ascii="黑体" w:hAnsi="黑体" w:eastAsia="黑体" w:cs="黑体"/>
          <w:color w:val="auto"/>
          <w:sz w:val="30"/>
          <w:szCs w:val="30"/>
          <w:highlight w:val="none"/>
        </w:rPr>
        <w:t>机关运行经费支出情况</w:t>
      </w:r>
    </w:p>
    <w:p w14:paraId="6EE256A6">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仿宋_GB2312" w:eastAsia="仿宋_GB2312" w:cs="仿宋_GB2312"/>
          <w:color w:val="auto"/>
          <w:sz w:val="30"/>
          <w:lang w:val="zh-CN"/>
        </w:rPr>
        <w:t>华宁县宁阳中学</w:t>
      </w:r>
      <w:r>
        <w:rPr>
          <w:rFonts w:hint="eastAsia" w:ascii="仿宋_GB2312" w:hAnsi="黑体" w:eastAsia="仿宋_GB2312" w:cs="方正小标宋简体"/>
          <w:color w:val="auto"/>
          <w:sz w:val="30"/>
          <w:szCs w:val="30"/>
          <w:highlight w:val="none"/>
          <w:lang w:val="en-US" w:eastAsia="zh-CN"/>
        </w:rPr>
        <w:t>2025</w:t>
      </w:r>
      <w:r>
        <w:rPr>
          <w:rFonts w:hint="eastAsia" w:ascii="仿宋_GB2312" w:hAnsi="黑体" w:eastAsia="仿宋_GB2312" w:cs="方正小标宋简体"/>
          <w:color w:val="auto"/>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color w:val="auto"/>
          <w:sz w:val="30"/>
          <w:szCs w:val="30"/>
          <w:highlight w:val="none"/>
          <w:lang w:eastAsia="zh-CN"/>
        </w:rPr>
        <w:t>元</w:t>
      </w:r>
      <w:r>
        <w:rPr>
          <w:rFonts w:hint="eastAsia" w:ascii="仿宋_GB2312" w:hAnsi="黑体" w:eastAsia="仿宋_GB2312" w:cs="方正小标宋简体"/>
          <w:color w:val="auto"/>
          <w:sz w:val="30"/>
          <w:szCs w:val="30"/>
          <w:highlight w:val="none"/>
        </w:rPr>
        <w:t>，</w:t>
      </w:r>
      <w:r>
        <w:rPr>
          <w:rFonts w:hint="eastAsia" w:ascii="仿宋_GB2312" w:hAnsi="黑体" w:eastAsia="仿宋_GB2312" w:cs="方正小标宋简体"/>
          <w:color w:val="auto"/>
          <w:sz w:val="30"/>
          <w:szCs w:val="30"/>
          <w:highlight w:val="none"/>
          <w:lang w:eastAsia="zh-CN"/>
        </w:rPr>
        <w:t>比上年</w:t>
      </w:r>
      <w:r>
        <w:rPr>
          <w:rFonts w:hint="eastAsia" w:ascii="仿宋_GB2312" w:eastAsia="仿宋_GB2312"/>
          <w:color w:val="auto"/>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color w:val="auto"/>
          <w:sz w:val="30"/>
          <w:szCs w:val="30"/>
          <w:highlight w:val="none"/>
          <w:lang w:eastAsia="zh-CN"/>
        </w:rPr>
        <w:t>元</w:t>
      </w:r>
      <w:r>
        <w:rPr>
          <w:rFonts w:hint="eastAsia" w:ascii="仿宋_GB2312" w:hAnsi="黑体" w:eastAsia="仿宋_GB2312" w:cs="方正小标宋简体"/>
          <w:color w:val="auto"/>
          <w:sz w:val="30"/>
          <w:szCs w:val="30"/>
          <w:highlight w:val="none"/>
        </w:rPr>
        <w:t>。</w:t>
      </w:r>
    </w:p>
    <w:p w14:paraId="642C7E62">
      <w:pPr>
        <w:widowControl/>
        <w:ind w:firstLine="600" w:firstLineChars="200"/>
        <w:outlineLvl w:val="1"/>
        <w:rPr>
          <w:rFonts w:hint="eastAsia" w:ascii="黑体" w:hAnsi="黑体" w:eastAsia="黑体" w:cs="黑体"/>
          <w:color w:val="auto"/>
          <w:kern w:val="0"/>
          <w:sz w:val="30"/>
          <w:szCs w:val="30"/>
          <w:highlight w:val="none"/>
        </w:rPr>
      </w:pPr>
      <w:r>
        <w:rPr>
          <w:rFonts w:hint="eastAsia" w:ascii="黑体" w:hAnsi="黑体" w:eastAsia="黑体" w:cs="黑体"/>
          <w:color w:val="auto"/>
          <w:kern w:val="0"/>
          <w:sz w:val="30"/>
          <w:szCs w:val="30"/>
          <w:highlight w:val="none"/>
          <w:lang w:eastAsia="zh-CN"/>
        </w:rPr>
        <w:t>二、</w:t>
      </w:r>
      <w:r>
        <w:rPr>
          <w:rFonts w:hint="eastAsia" w:ascii="黑体" w:hAnsi="黑体" w:eastAsia="黑体" w:cs="黑体"/>
          <w:color w:val="auto"/>
          <w:kern w:val="0"/>
          <w:sz w:val="30"/>
          <w:szCs w:val="30"/>
          <w:highlight w:val="none"/>
        </w:rPr>
        <w:t>国有资产占用情况</w:t>
      </w:r>
    </w:p>
    <w:p w14:paraId="485C4922">
      <w:pPr>
        <w:widowControl/>
        <w:ind w:firstLine="600" w:firstLineChars="200"/>
        <w:rPr>
          <w:rFonts w:hint="eastAsia" w:ascii="仿宋_GB2312" w:hAnsi="黑体" w:eastAsia="仿宋_GB2312" w:cs="方正小标宋简体"/>
          <w:color w:val="auto"/>
          <w:kern w:val="0"/>
          <w:sz w:val="30"/>
          <w:szCs w:val="30"/>
          <w:highlight w:val="none"/>
        </w:rPr>
      </w:pPr>
      <w:r>
        <w:rPr>
          <w:rFonts w:hint="eastAsia" w:ascii="仿宋_GB2312" w:hAnsi="仿宋_GB2312" w:eastAsia="仿宋_GB2312" w:cs="仿宋_GB2312"/>
          <w:color w:val="auto"/>
          <w:sz w:val="30"/>
          <w:szCs w:val="30"/>
          <w:highlight w:val="none"/>
          <w:lang w:eastAsia="zh-CN"/>
        </w:rPr>
        <w:t>截至202</w:t>
      </w:r>
      <w:r>
        <w:rPr>
          <w:rFonts w:hint="eastAsia" w:ascii="仿宋_GB2312" w:hAnsi="仿宋_GB2312" w:eastAsia="仿宋_GB2312" w:cs="仿宋_GB2312"/>
          <w:color w:val="auto"/>
          <w:sz w:val="30"/>
          <w:szCs w:val="30"/>
          <w:highlight w:val="none"/>
          <w:lang w:val="en-US" w:eastAsia="zh-CN"/>
        </w:rPr>
        <w:t>5</w:t>
      </w:r>
      <w:r>
        <w:rPr>
          <w:rFonts w:hint="eastAsia" w:ascii="仿宋_GB2312" w:hAnsi="仿宋_GB2312" w:eastAsia="仿宋_GB2312" w:cs="仿宋_GB2312"/>
          <w:color w:val="auto"/>
          <w:sz w:val="30"/>
          <w:szCs w:val="30"/>
          <w:highlight w:val="none"/>
          <w:lang w:eastAsia="zh-CN"/>
        </w:rPr>
        <w:t>年末，</w:t>
      </w:r>
      <w:r>
        <w:rPr>
          <w:rFonts w:hint="eastAsia" w:ascii="仿宋_GB2312" w:hAnsi="仿宋_GB2312" w:eastAsia="仿宋_GB2312" w:cs="仿宋_GB2312"/>
          <w:color w:val="auto"/>
          <w:sz w:val="30"/>
          <w:lang w:val="zh-CN"/>
        </w:rPr>
        <w:t>华宁县宁阳中学</w:t>
      </w:r>
      <w:r>
        <w:rPr>
          <w:rFonts w:hint="eastAsia" w:ascii="仿宋_GB2312" w:hAnsi="仿宋_GB2312" w:eastAsia="仿宋_GB2312" w:cs="仿宋_GB2312"/>
          <w:color w:val="auto"/>
          <w:sz w:val="30"/>
          <w:szCs w:val="30"/>
          <w:highlight w:val="none"/>
          <w:lang w:eastAsia="zh-CN"/>
        </w:rPr>
        <w:t>资产总额21,176,986.17元，其中，流动资产721,349.46元，固定资产18,500,753.21元（净值），对外投资及有价证券</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元，在建工程1,420,000.00元，无形资产534,883.50元（净值），其他资产</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元（净值）（具体内容详见附表）</w:t>
      </w:r>
      <w:r>
        <w:rPr>
          <w:rFonts w:hint="eastAsia" w:ascii="仿宋_GB2312" w:hAnsi="黑体" w:eastAsia="仿宋_GB2312" w:cs="方正小标宋简体"/>
          <w:color w:val="auto"/>
          <w:kern w:val="0"/>
          <w:sz w:val="30"/>
          <w:szCs w:val="30"/>
          <w:highlight w:val="none"/>
        </w:rPr>
        <w:t>。与上年相比，本年资产总额</w:t>
      </w:r>
      <w:r>
        <w:rPr>
          <w:rFonts w:hint="eastAsia" w:ascii="仿宋_GB2312" w:hAnsi="黑体" w:eastAsia="仿宋_GB2312" w:cs="方正小标宋简体"/>
          <w:color w:val="auto"/>
          <w:kern w:val="0"/>
          <w:sz w:val="30"/>
          <w:szCs w:val="30"/>
          <w:highlight w:val="none"/>
          <w:lang w:eastAsia="zh-CN"/>
        </w:rPr>
        <w:t>增加736,059.69元</w:t>
      </w:r>
      <w:r>
        <w:rPr>
          <w:rFonts w:hint="eastAsia" w:ascii="仿宋_GB2312" w:hAnsi="黑体" w:eastAsia="仿宋_GB2312" w:cs="方正小标宋简体"/>
          <w:color w:val="auto"/>
          <w:kern w:val="0"/>
          <w:sz w:val="30"/>
          <w:szCs w:val="30"/>
          <w:highlight w:val="none"/>
        </w:rPr>
        <w:t>，其中固定资产增加116,400.00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。处置房屋建筑物</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；处置车辆</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辆，账面原值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；报废报损资产</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项，账面原值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，实现资产处置收入</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；出租房屋</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，实现资产使用收入</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w:t>
      </w:r>
    </w:p>
    <w:p w14:paraId="597CDE08">
      <w:pPr>
        <w:widowControl/>
        <w:ind w:firstLine="600" w:firstLineChars="200"/>
        <w:rPr>
          <w:rFonts w:hint="eastAsia" w:ascii="仿宋_GB2312" w:hAnsi="黑体" w:eastAsia="仿宋_GB2312" w:cs="方正小标宋简体"/>
          <w:color w:val="auto"/>
          <w:kern w:val="0"/>
          <w:sz w:val="30"/>
          <w:szCs w:val="30"/>
          <w:highlight w:val="none"/>
          <w:lang w:eastAsia="zh-CN"/>
        </w:rPr>
      </w:pPr>
      <w:r>
        <w:rPr>
          <w:rFonts w:hint="eastAsia" w:ascii="仿宋_GB2312" w:hAnsi="黑体" w:eastAsia="仿宋_GB2312" w:cs="方正小标宋简体"/>
          <w:color w:val="auto"/>
          <w:kern w:val="0"/>
          <w:sz w:val="30"/>
          <w:szCs w:val="30"/>
          <w:highlight w:val="none"/>
          <w:lang w:eastAsia="zh-CN"/>
        </w:rPr>
        <w:t>（</w:t>
      </w:r>
      <w:r>
        <w:rPr>
          <w:rFonts w:hint="eastAsia" w:ascii="仿宋_GB2312" w:hAnsi="黑体" w:eastAsia="仿宋_GB2312" w:cs="方正小标宋简体"/>
          <w:color w:val="auto"/>
          <w:kern w:val="0"/>
          <w:sz w:val="30"/>
          <w:szCs w:val="30"/>
          <w:highlight w:val="none"/>
        </w:rPr>
        <w:t>国有资产占有使用情况表</w:t>
      </w:r>
      <w:r>
        <w:rPr>
          <w:rFonts w:hint="eastAsia" w:ascii="仿宋_GB2312" w:hAnsi="黑体" w:eastAsia="仿宋_GB2312" w:cs="方正小标宋简体"/>
          <w:color w:val="auto"/>
          <w:kern w:val="0"/>
          <w:sz w:val="30"/>
          <w:szCs w:val="30"/>
          <w:highlight w:val="none"/>
          <w:lang w:eastAsia="zh-CN"/>
        </w:rPr>
        <w:t>详见附表）</w:t>
      </w:r>
    </w:p>
    <w:tbl>
      <w:tblPr>
        <w:tblStyle w:val="5"/>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027A409C">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10597C56">
            <w:pPr>
              <w:widowControl/>
              <w:jc w:val="left"/>
              <w:rPr>
                <w:rFonts w:ascii="宋体" w:hAnsi="宋体" w:cs="宋体"/>
                <w:color w:val="auto"/>
                <w:kern w:val="0"/>
                <w:sz w:val="17"/>
                <w:szCs w:val="17"/>
                <w:highlight w:val="none"/>
              </w:rPr>
            </w:pPr>
          </w:p>
        </w:tc>
      </w:tr>
      <w:tr w14:paraId="33107008">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0D28C0FF">
            <w:pPr>
              <w:widowControl/>
              <w:jc w:val="left"/>
              <w:rPr>
                <w:rFonts w:ascii="宋体" w:hAnsi="宋体" w:cs="宋体"/>
                <w:color w:val="auto"/>
                <w:kern w:val="0"/>
                <w:sz w:val="17"/>
                <w:szCs w:val="17"/>
                <w:highlight w:val="none"/>
              </w:rPr>
            </w:pPr>
          </w:p>
        </w:tc>
      </w:tr>
      <w:tr w14:paraId="058FB8E7">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12A77307">
            <w:pPr>
              <w:widowControl/>
              <w:jc w:val="left"/>
              <w:rPr>
                <w:rFonts w:ascii="宋体" w:hAnsi="宋体" w:cs="宋体"/>
                <w:color w:val="auto"/>
                <w:kern w:val="0"/>
                <w:sz w:val="17"/>
                <w:szCs w:val="17"/>
                <w:highlight w:val="none"/>
              </w:rPr>
            </w:pPr>
          </w:p>
        </w:tc>
      </w:tr>
      <w:tr w14:paraId="19C6F32E">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19E9CB82">
            <w:pPr>
              <w:widowControl/>
              <w:jc w:val="left"/>
              <w:rPr>
                <w:rFonts w:ascii="宋体" w:hAnsi="宋体" w:cs="宋体"/>
                <w:color w:val="auto"/>
                <w:kern w:val="0"/>
                <w:sz w:val="17"/>
                <w:szCs w:val="17"/>
                <w:highlight w:val="none"/>
              </w:rPr>
            </w:pPr>
          </w:p>
        </w:tc>
      </w:tr>
      <w:tr w14:paraId="6EEA383A">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37F4AA45">
            <w:pPr>
              <w:widowControl/>
              <w:jc w:val="left"/>
              <w:rPr>
                <w:rFonts w:ascii="宋体" w:hAnsi="宋体" w:cs="宋体"/>
                <w:color w:val="auto"/>
                <w:kern w:val="0"/>
                <w:sz w:val="17"/>
                <w:szCs w:val="17"/>
                <w:highlight w:val="none"/>
              </w:rPr>
            </w:pPr>
          </w:p>
        </w:tc>
      </w:tr>
      <w:tr w14:paraId="1E43EBE1">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4F65A12E">
            <w:pPr>
              <w:widowControl/>
              <w:jc w:val="left"/>
              <w:rPr>
                <w:rFonts w:ascii="宋体" w:hAnsi="宋体" w:cs="宋体"/>
                <w:color w:val="auto"/>
                <w:kern w:val="0"/>
                <w:sz w:val="17"/>
                <w:szCs w:val="17"/>
                <w:highlight w:val="none"/>
              </w:rPr>
            </w:pPr>
          </w:p>
        </w:tc>
      </w:tr>
      <w:tr w14:paraId="2FDEC50D">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7F9CAE13">
            <w:pPr>
              <w:widowControl/>
              <w:jc w:val="left"/>
              <w:rPr>
                <w:rFonts w:ascii="宋体" w:hAnsi="宋体" w:cs="宋体"/>
                <w:color w:val="auto"/>
                <w:kern w:val="0"/>
                <w:sz w:val="17"/>
                <w:szCs w:val="17"/>
                <w:highlight w:val="none"/>
              </w:rPr>
            </w:pPr>
          </w:p>
        </w:tc>
      </w:tr>
      <w:tr w14:paraId="0FB3C257">
        <w:tblPrEx>
          <w:tblCellMar>
            <w:top w:w="0" w:type="dxa"/>
            <w:left w:w="0" w:type="dxa"/>
            <w:bottom w:w="0" w:type="dxa"/>
            <w:right w:w="0" w:type="dxa"/>
          </w:tblCellMar>
        </w:tblPrEx>
        <w:trPr>
          <w:trHeight w:val="495" w:hRule="atLeast"/>
        </w:trPr>
        <w:tc>
          <w:tcPr>
            <w:tcW w:w="142" w:type="dxa"/>
            <w:noWrap w:val="0"/>
            <w:vAlign w:val="center"/>
          </w:tcPr>
          <w:p w14:paraId="2DB64BDD">
            <w:pPr>
              <w:widowControl/>
              <w:jc w:val="left"/>
              <w:rPr>
                <w:rFonts w:ascii="Times New Roman" w:hAnsi="Times New Roman" w:eastAsia="Times New Roman"/>
                <w:color w:val="auto"/>
                <w:kern w:val="0"/>
                <w:sz w:val="20"/>
                <w:szCs w:val="20"/>
                <w:highlight w:val="none"/>
              </w:rPr>
            </w:pPr>
          </w:p>
        </w:tc>
      </w:tr>
    </w:tbl>
    <w:p w14:paraId="63EAE99A">
      <w:pPr>
        <w:ind w:firstLine="600" w:firstLineChars="200"/>
        <w:jc w:val="left"/>
        <w:outlineLvl w:val="1"/>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lang w:eastAsia="zh-CN"/>
        </w:rPr>
        <w:t>三、政</w:t>
      </w:r>
      <w:r>
        <w:rPr>
          <w:rFonts w:hint="eastAsia" w:ascii="黑体" w:hAnsi="黑体" w:eastAsia="黑体" w:cs="黑体"/>
          <w:color w:val="auto"/>
          <w:sz w:val="30"/>
          <w:szCs w:val="30"/>
          <w:highlight w:val="none"/>
        </w:rPr>
        <w:t>府采购支出情况</w:t>
      </w:r>
    </w:p>
    <w:p w14:paraId="74AAC513">
      <w:pPr>
        <w:ind w:firstLine="600" w:firstLineChars="200"/>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107700.00</w:t>
      </w:r>
      <w:r>
        <w:rPr>
          <w:rFonts w:hint="eastAsia" w:ascii="仿宋_GB2312" w:hAnsi="仿宋_GB2312" w:eastAsia="仿宋_GB2312" w:cs="仿宋_GB2312"/>
          <w:color w:val="auto"/>
          <w:sz w:val="30"/>
          <w:szCs w:val="30"/>
          <w:highlight w:val="none"/>
          <w:lang w:val="en-US" w:eastAsia="zh-CN"/>
        </w:rPr>
        <w:t>元，其中：政府采购货物支出</w:t>
      </w:r>
      <w:r>
        <w:rPr>
          <w:rFonts w:hint="eastAsia" w:ascii="仿宋_GB2312" w:hAnsi="仿宋_GB2312" w:eastAsia="仿宋_GB2312" w:cs="仿宋_GB2312"/>
          <w:color w:val="auto"/>
          <w:sz w:val="30"/>
          <w:lang w:val="zh-CN"/>
        </w:rPr>
        <w:t>107700.00</w:t>
      </w:r>
      <w:r>
        <w:rPr>
          <w:rFonts w:hint="eastAsia" w:ascii="仿宋_GB2312" w:hAnsi="仿宋_GB2312" w:eastAsia="仿宋_GB2312" w:cs="仿宋_GB2312"/>
          <w:color w:val="auto"/>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元。授予中小企业合同金额</w:t>
      </w:r>
      <w:r>
        <w:rPr>
          <w:rFonts w:hint="eastAsia" w:ascii="仿宋_GB2312" w:hAnsi="仿宋_GB2312" w:eastAsia="仿宋_GB2312" w:cs="仿宋_GB2312"/>
          <w:color w:val="auto"/>
          <w:sz w:val="30"/>
          <w:lang w:val="zh-CN"/>
        </w:rPr>
        <w:t>107700.00</w:t>
      </w:r>
      <w:r>
        <w:rPr>
          <w:rFonts w:hint="eastAsia" w:ascii="仿宋_GB2312" w:hAnsi="仿宋_GB2312" w:eastAsia="仿宋_GB2312" w:cs="仿宋_GB2312"/>
          <w:color w:val="auto"/>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w:t>
      </w:r>
    </w:p>
    <w:p w14:paraId="79F99502">
      <w:pPr>
        <w:ind w:firstLine="600" w:firstLineChars="200"/>
        <w:jc w:val="left"/>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四、单位绩效自评情况</w:t>
      </w:r>
    </w:p>
    <w:p w14:paraId="25032D22">
      <w:pPr>
        <w:widowControl/>
        <w:snapToGrid w:val="0"/>
        <w:spacing w:before="100" w:after="100" w:line="360" w:lineRule="auto"/>
        <w:ind w:firstLine="600"/>
        <w:jc w:val="left"/>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单位绩效自评情况详见附表。</w:t>
      </w:r>
    </w:p>
    <w:p w14:paraId="3904BE0A">
      <w:pPr>
        <w:widowControl/>
        <w:snapToGrid w:val="0"/>
        <w:spacing w:before="100" w:after="100" w:line="360" w:lineRule="auto"/>
        <w:ind w:firstLine="600" w:firstLineChars="200"/>
        <w:jc w:val="left"/>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五、其他重要事项情况说明</w:t>
      </w:r>
    </w:p>
    <w:p w14:paraId="0E825FAB">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无</w:t>
      </w:r>
      <w:r>
        <w:rPr>
          <w:rFonts w:hint="eastAsia" w:ascii="仿宋_GB2312" w:hAnsi="黑体" w:eastAsia="仿宋_GB2312" w:cs="方正小标宋简体"/>
          <w:color w:val="auto"/>
          <w:sz w:val="30"/>
          <w:szCs w:val="30"/>
          <w:highlight w:val="none"/>
        </w:rPr>
        <w:t>。</w:t>
      </w:r>
    </w:p>
    <w:p w14:paraId="2A0D769F">
      <w:pPr>
        <w:widowControl/>
        <w:snapToGrid w:val="0"/>
        <w:spacing w:before="100" w:after="100" w:line="360" w:lineRule="auto"/>
        <w:ind w:firstLine="600" w:firstLineChars="200"/>
        <w:jc w:val="left"/>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六、相关口径说明</w:t>
      </w:r>
    </w:p>
    <w:p w14:paraId="64106EC3">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（一）</w:t>
      </w:r>
      <w:r>
        <w:rPr>
          <w:rFonts w:hint="eastAsia" w:ascii="仿宋_GB2312" w:hAnsi="黑体" w:eastAsia="仿宋_GB2312" w:cs="方正小标宋简体"/>
          <w:color w:val="auto"/>
          <w:sz w:val="30"/>
          <w:szCs w:val="30"/>
          <w:highlight w:val="none"/>
        </w:rPr>
        <w:t>基本支出中人员经费包括工资福利支出和对个人和家庭的补助，公用</w:t>
      </w:r>
      <w:r>
        <w:rPr>
          <w:rFonts w:hint="eastAsia" w:ascii="仿宋_GB2312" w:hAnsi="黑体" w:eastAsia="仿宋_GB2312" w:cs="方正小标宋简体"/>
          <w:color w:val="auto"/>
          <w:sz w:val="30"/>
          <w:szCs w:val="30"/>
          <w:highlight w:val="none"/>
          <w:lang w:eastAsia="zh-CN"/>
        </w:rPr>
        <w:t>经费</w:t>
      </w:r>
      <w:r>
        <w:rPr>
          <w:rFonts w:hint="eastAsia" w:ascii="仿宋_GB2312" w:hAnsi="黑体" w:eastAsia="仿宋_GB2312" w:cs="方正小标宋简体"/>
          <w:color w:val="auto"/>
          <w:sz w:val="30"/>
          <w:szCs w:val="30"/>
          <w:highlight w:val="none"/>
        </w:rPr>
        <w:t>包括商品和服务支出、资本性支出等人员经费以外的支出。</w:t>
      </w:r>
    </w:p>
    <w:p w14:paraId="6D7D347B">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（二）</w:t>
      </w:r>
      <w:r>
        <w:rPr>
          <w:rFonts w:hint="eastAsia" w:ascii="仿宋_GB2312" w:hAnsi="黑体" w:eastAsia="仿宋_GB2312" w:cs="方正小标宋简体"/>
          <w:color w:val="auto"/>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color w:val="auto"/>
          <w:sz w:val="30"/>
          <w:szCs w:val="30"/>
          <w:highlight w:val="none"/>
          <w:lang w:eastAsia="zh-CN"/>
        </w:rPr>
        <w:t>。</w:t>
      </w:r>
    </w:p>
    <w:p w14:paraId="4CA60A51">
      <w:pPr>
        <w:ind w:firstLine="600" w:firstLineChars="200"/>
        <w:jc w:val="left"/>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（三）</w:t>
      </w:r>
      <w:r>
        <w:rPr>
          <w:rFonts w:hint="eastAsia" w:ascii="仿宋_GB2312" w:hAnsi="黑体" w:eastAsia="仿宋_GB2312" w:cs="方正小标宋简体"/>
          <w:color w:val="auto"/>
          <w:sz w:val="30"/>
          <w:szCs w:val="30"/>
          <w:highlight w:val="none"/>
        </w:rPr>
        <w:t>按照党中央、国务院有关文件及部门预算管理有关规定，“三公”经费包括因公出国（境）费</w:t>
      </w:r>
      <w:r>
        <w:rPr>
          <w:rFonts w:hint="eastAsia" w:ascii="仿宋_GB2312" w:hAnsi="黑体" w:eastAsia="仿宋_GB2312" w:cs="方正小标宋简体"/>
          <w:color w:val="auto"/>
          <w:sz w:val="30"/>
          <w:szCs w:val="30"/>
          <w:highlight w:val="none"/>
          <w:lang w:val="en-US" w:eastAsia="zh-CN"/>
        </w:rPr>
        <w:t>用</w:t>
      </w:r>
      <w:r>
        <w:rPr>
          <w:rFonts w:hint="eastAsia" w:ascii="仿宋_GB2312" w:hAnsi="黑体" w:eastAsia="仿宋_GB2312" w:cs="方正小标宋简体"/>
          <w:color w:val="auto"/>
          <w:sz w:val="30"/>
          <w:szCs w:val="30"/>
          <w:highlight w:val="none"/>
        </w:rPr>
        <w:t>、公务用车购置及运行维护费、公务接待费。其中：因公出国（境）费</w:t>
      </w:r>
      <w:r>
        <w:rPr>
          <w:rFonts w:hint="eastAsia" w:ascii="仿宋_GB2312" w:hAnsi="黑体" w:eastAsia="仿宋_GB2312" w:cs="方正小标宋简体"/>
          <w:color w:val="auto"/>
          <w:sz w:val="30"/>
          <w:szCs w:val="30"/>
          <w:highlight w:val="none"/>
          <w:lang w:val="en-US" w:eastAsia="zh-CN"/>
        </w:rPr>
        <w:t>用</w:t>
      </w:r>
      <w:r>
        <w:rPr>
          <w:rFonts w:hint="eastAsia" w:ascii="仿宋_GB2312" w:hAnsi="黑体" w:eastAsia="仿宋_GB2312" w:cs="方正小标宋简体"/>
          <w:color w:val="auto"/>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color w:val="auto"/>
          <w:sz w:val="30"/>
          <w:szCs w:val="30"/>
          <w:highlight w:val="none"/>
          <w:lang w:eastAsia="zh-CN"/>
        </w:rPr>
        <w:t>、牌照费</w:t>
      </w:r>
      <w:r>
        <w:rPr>
          <w:rFonts w:hint="eastAsia" w:ascii="仿宋_GB2312" w:hAnsi="黑体" w:eastAsia="仿宋_GB2312" w:cs="方正小标宋简体"/>
          <w:color w:val="auto"/>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color w:val="auto"/>
          <w:sz w:val="30"/>
          <w:szCs w:val="30"/>
          <w:highlight w:val="none"/>
          <w:lang w:eastAsia="zh-CN"/>
        </w:rPr>
        <w:t>本文中公开的财政拨款“三公”经费相关数据是一般公共预算、政府性基金及国有资本经营预算财政拨款支出的相关经费，不含非财政拨款部分。</w:t>
      </w:r>
    </w:p>
    <w:p w14:paraId="2995A0D2">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（四）本文所称财政拨款</w:t>
      </w:r>
      <w:r>
        <w:rPr>
          <w:rFonts w:hint="eastAsia" w:ascii="仿宋_GB2312" w:hAnsi="黑体" w:eastAsia="仿宋_GB2312" w:cs="方正小标宋简体"/>
          <w:color w:val="auto"/>
          <w:sz w:val="30"/>
          <w:szCs w:val="30"/>
          <w:highlight w:val="none"/>
        </w:rPr>
        <w:t>“三公”经费决算数</w:t>
      </w:r>
      <w:r>
        <w:rPr>
          <w:rFonts w:hint="eastAsia" w:ascii="仿宋_GB2312" w:hAnsi="黑体" w:eastAsia="仿宋_GB2312" w:cs="方正小标宋简体"/>
          <w:color w:val="auto"/>
          <w:sz w:val="30"/>
          <w:szCs w:val="30"/>
          <w:highlight w:val="none"/>
          <w:lang w:eastAsia="zh-CN"/>
        </w:rPr>
        <w:t>是</w:t>
      </w:r>
      <w:r>
        <w:rPr>
          <w:rFonts w:hint="eastAsia" w:ascii="仿宋_GB2312" w:hAnsi="黑体" w:eastAsia="仿宋_GB2312" w:cs="方正小标宋简体"/>
          <w:color w:val="auto"/>
          <w:sz w:val="30"/>
          <w:szCs w:val="30"/>
          <w:highlight w:val="none"/>
        </w:rPr>
        <w:t>指各部门（含下属单位）</w:t>
      </w:r>
      <w:r>
        <w:rPr>
          <w:rFonts w:hint="eastAsia" w:ascii="仿宋_GB2312" w:hAnsi="黑体" w:eastAsia="仿宋_GB2312" w:cs="方正小标宋简体"/>
          <w:color w:val="auto"/>
          <w:sz w:val="30"/>
          <w:szCs w:val="30"/>
          <w:highlight w:val="none"/>
          <w:lang w:eastAsia="zh-CN"/>
        </w:rPr>
        <w:t>或单位</w:t>
      </w:r>
      <w:r>
        <w:rPr>
          <w:rFonts w:hint="eastAsia" w:ascii="仿宋_GB2312" w:hAnsi="黑体" w:eastAsia="仿宋_GB2312" w:cs="方正小标宋简体"/>
          <w:color w:val="auto"/>
          <w:sz w:val="30"/>
          <w:szCs w:val="30"/>
          <w:highlight w:val="none"/>
        </w:rPr>
        <w:t>当年通过本级财政拨款和以前年度财政拨款结转结余资金安排的因公出国（境）费</w:t>
      </w:r>
      <w:r>
        <w:rPr>
          <w:rFonts w:hint="eastAsia" w:ascii="仿宋_GB2312" w:hAnsi="黑体" w:eastAsia="仿宋_GB2312" w:cs="方正小标宋简体"/>
          <w:color w:val="auto"/>
          <w:sz w:val="30"/>
          <w:szCs w:val="30"/>
          <w:highlight w:val="none"/>
          <w:lang w:val="en-US" w:eastAsia="zh-CN"/>
        </w:rPr>
        <w:t>用</w:t>
      </w:r>
      <w:r>
        <w:rPr>
          <w:rFonts w:hint="eastAsia" w:ascii="仿宋_GB2312" w:hAnsi="黑体" w:eastAsia="仿宋_GB2312" w:cs="方正小标宋简体"/>
          <w:color w:val="auto"/>
          <w:sz w:val="30"/>
          <w:szCs w:val="30"/>
          <w:highlight w:val="none"/>
        </w:rPr>
        <w:t>、公务用车购置及运行维护费和公务接待费支出数（包括基本支出和项目支出）。</w:t>
      </w:r>
    </w:p>
    <w:p w14:paraId="6BD29D17">
      <w:pPr>
        <w:jc w:val="center"/>
        <w:outlineLvl w:val="0"/>
        <w:rPr>
          <w:rFonts w:hint="eastAsia" w:ascii="黑体" w:hAnsi="黑体" w:eastAsia="黑体" w:cs="方正小标宋简体"/>
          <w:color w:val="auto"/>
          <w:sz w:val="32"/>
          <w:szCs w:val="32"/>
          <w:highlight w:val="none"/>
        </w:rPr>
      </w:pPr>
      <w:r>
        <w:rPr>
          <w:rFonts w:hint="eastAsia" w:ascii="黑体" w:hAnsi="黑体" w:eastAsia="黑体" w:cs="方正小标宋简体"/>
          <w:color w:val="auto"/>
          <w:sz w:val="32"/>
          <w:szCs w:val="32"/>
          <w:highlight w:val="none"/>
        </w:rPr>
        <w:t>第</w:t>
      </w:r>
      <w:r>
        <w:rPr>
          <w:rFonts w:hint="eastAsia" w:ascii="黑体" w:hAnsi="黑体" w:eastAsia="黑体" w:cs="方正小标宋简体"/>
          <w:color w:val="auto"/>
          <w:sz w:val="32"/>
          <w:szCs w:val="32"/>
          <w:highlight w:val="none"/>
          <w:lang w:eastAsia="zh-CN"/>
        </w:rPr>
        <w:t>五</w:t>
      </w:r>
      <w:r>
        <w:rPr>
          <w:rFonts w:hint="eastAsia" w:ascii="黑体" w:hAnsi="黑体" w:eastAsia="黑体" w:cs="方正小标宋简体"/>
          <w:color w:val="auto"/>
          <w:sz w:val="32"/>
          <w:szCs w:val="32"/>
          <w:highlight w:val="none"/>
        </w:rPr>
        <w:t>部分  名词解释</w:t>
      </w:r>
    </w:p>
    <w:p w14:paraId="067249A3">
      <w:pPr>
        <w:ind w:firstLine="600" w:firstLineChars="200"/>
        <w:jc w:val="left"/>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427C2CB1">
      <w:pPr>
        <w:rPr>
          <w:color w:val="auto"/>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F067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A172265">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6A172265">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C3FE4">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68DBBBA2">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9A101">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4FC7FB"/>
    <w:multiLevelType w:val="singleLevel"/>
    <w:tmpl w:val="CF4FC7FB"/>
    <w:lvl w:ilvl="0" w:tentative="0">
      <w:start w:val="1"/>
      <w:numFmt w:val="decimal"/>
      <w:lvlText w:val="%1."/>
      <w:lvlJc w:val="left"/>
      <w:pPr>
        <w:tabs>
          <w:tab w:val="left" w:pos="312"/>
        </w:tabs>
      </w:pPr>
    </w:lvl>
  </w:abstractNum>
  <w:abstractNum w:abstractNumId="1">
    <w:nsid w:val="0053208E"/>
    <w:multiLevelType w:val="singleLevel"/>
    <w:tmpl w:val="0053208E"/>
    <w:lvl w:ilvl="0" w:tentative="0">
      <w:start w:val="4"/>
      <w:numFmt w:val="chineseCounting"/>
      <w:suff w:val="nothing"/>
      <w:lvlText w:val="%1、"/>
      <w:lvlJc w:val="left"/>
      <w:rPr>
        <w:rFonts w:hint="eastAsia"/>
      </w:rPr>
    </w:lvl>
  </w:abstractNum>
  <w:abstractNum w:abstractNumId="2">
    <w:nsid w:val="34FCFAE1"/>
    <w:multiLevelType w:val="singleLevel"/>
    <w:tmpl w:val="34FCFAE1"/>
    <w:lvl w:ilvl="0" w:tentative="0">
      <w:start w:val="3"/>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C341E"/>
    <w:rsid w:val="0677088B"/>
    <w:rsid w:val="0BD55995"/>
    <w:rsid w:val="10765998"/>
    <w:rsid w:val="10D80401"/>
    <w:rsid w:val="1B3B1706"/>
    <w:rsid w:val="1F78221C"/>
    <w:rsid w:val="1FAD5B35"/>
    <w:rsid w:val="208953B4"/>
    <w:rsid w:val="21C30312"/>
    <w:rsid w:val="24611AAF"/>
    <w:rsid w:val="26DB7EAB"/>
    <w:rsid w:val="27F91D3E"/>
    <w:rsid w:val="2A654310"/>
    <w:rsid w:val="2CE90E48"/>
    <w:rsid w:val="31DC174D"/>
    <w:rsid w:val="370A20E7"/>
    <w:rsid w:val="3B1479D8"/>
    <w:rsid w:val="3C577B7C"/>
    <w:rsid w:val="48452A5B"/>
    <w:rsid w:val="48AE7F50"/>
    <w:rsid w:val="4E2C5AAF"/>
    <w:rsid w:val="53D43B47"/>
    <w:rsid w:val="56D46542"/>
    <w:rsid w:val="5ED6305F"/>
    <w:rsid w:val="5EE145A6"/>
    <w:rsid w:val="659A74C1"/>
    <w:rsid w:val="730F74A6"/>
    <w:rsid w:val="73B13A3B"/>
    <w:rsid w:val="757973D1"/>
    <w:rsid w:val="757E705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 w:type="paragraph" w:customStyle="1" w:styleId="9">
    <w:name w:val="p_MsoBodyText"/>
    <w:basedOn w:val="1"/>
    <w:qFormat/>
    <w:uiPriority w:val="0"/>
    <w:pPr>
      <w:jc w:val="left"/>
    </w:pPr>
    <w:rPr>
      <w:rFonts w:ascii="宋体" w:hAnsi="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47b479-0ddb-411d-b885-5d5931c2dd5e}">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5668</Words>
  <Characters>6768</Characters>
  <Lines>0</Lines>
  <Paragraphs>0</Paragraphs>
  <TotalTime>49</TotalTime>
  <ScaleCrop>false</ScaleCrop>
  <LinksUpToDate>false</LinksUpToDate>
  <CharactersWithSpaces>6802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summer</cp:lastModifiedBy>
  <cp:lastPrinted>2024-07-30T06:24:00Z</cp:lastPrinted>
  <dcterms:modified xsi:type="dcterms:W3CDTF">2026-10-19T03:13:42Z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D45296F7F2444F3C8CDB43DA2E9FADD3</vt:lpwstr>
  </property>
  <property fmtid="{D5CDD505-2E9C-101B-9397-08002B2CF9AE}" pid="4" name="KSOTemplateDocerSaveRecord">
    <vt:lpwstr>eyJoZGlkIjoiMDIwMGFkMjAzODRlZGQ4NmVmZmU0ZDQ4YWFhODY3Y2QiLCJ1c2VySWQiOiI5MzY1NjY4MDIifQ==</vt:lpwstr>
  </property>
</Properties>
</file>