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8D2802D">
      <w:pPr>
        <w:jc w:val="center"/>
        <w:outlineLvl w:val="0"/>
        <w:rPr>
          <w:rFonts w:hint="eastAsia" w:ascii="方正小标宋简体" w:hAnsi="方正小标宋简体" w:eastAsia="方正小标宋简体" w:cs="方正小标宋简体"/>
          <w:sz w:val="36"/>
          <w:szCs w:val="36"/>
          <w:highlight w:val="none"/>
        </w:rPr>
      </w:pPr>
      <w:r>
        <w:rPr>
          <w:rFonts w:hint="eastAsia" w:ascii="方正小标宋简体" w:hAnsi="方正小标宋简体" w:eastAsia="方正小标宋简体"/>
          <w:sz w:val="36"/>
          <w:lang w:val="zh-CN"/>
        </w:rPr>
        <w:t>华宁县第一中学</w:t>
      </w:r>
      <w:r>
        <w:rPr>
          <w:rFonts w:hint="default" w:ascii="Times New Roman" w:hAnsi="Times New Roman" w:eastAsia="方正小标宋简体" w:cs="Times New Roman"/>
          <w:sz w:val="36"/>
          <w:szCs w:val="36"/>
          <w:highlight w:val="none"/>
          <w:lang w:val="en-US" w:eastAsia="zh-CN"/>
        </w:rPr>
        <w:t>2025</w:t>
      </w:r>
      <w:r>
        <w:rPr>
          <w:rFonts w:hint="eastAsia" w:ascii="方正小标宋简体" w:hAnsi="方正小标宋简体" w:eastAsia="方正小标宋简体" w:cs="方正小标宋简体"/>
          <w:sz w:val="36"/>
          <w:szCs w:val="36"/>
          <w:highlight w:val="none"/>
          <w:lang w:val="en-US" w:eastAsia="zh-CN"/>
        </w:rPr>
        <w:t>年度</w:t>
      </w:r>
      <w:r>
        <w:rPr>
          <w:rFonts w:hint="eastAsia" w:ascii="方正小标宋简体" w:hAnsi="方正小标宋简体" w:eastAsia="方正小标宋简体" w:cs="方正小标宋简体"/>
          <w:sz w:val="36"/>
          <w:szCs w:val="36"/>
          <w:highlight w:val="none"/>
        </w:rPr>
        <w:t>部门决算</w:t>
      </w:r>
    </w:p>
    <w:p w14:paraId="0F523786">
      <w:pPr>
        <w:jc w:val="center"/>
        <w:rPr>
          <w:rFonts w:hint="eastAsia" w:ascii="方正小标宋简体" w:hAnsi="方正小标宋简体" w:eastAsia="方正小标宋简体" w:cs="方正小标宋简体"/>
          <w:sz w:val="36"/>
          <w:szCs w:val="36"/>
          <w:highlight w:val="none"/>
        </w:rPr>
      </w:pPr>
    </w:p>
    <w:p w14:paraId="4D2B9E75">
      <w:pPr>
        <w:jc w:val="center"/>
        <w:outlineLvl w:val="0"/>
        <w:rPr>
          <w:rFonts w:hint="eastAsia" w:ascii="方正小标宋简体" w:hAnsi="方正小标宋简体" w:eastAsia="方正小标宋简体" w:cs="方正小标宋简体"/>
          <w:sz w:val="36"/>
          <w:szCs w:val="36"/>
          <w:highlight w:val="none"/>
          <w:lang w:eastAsia="zh-CN"/>
        </w:rPr>
      </w:pPr>
      <w:r>
        <w:rPr>
          <w:rFonts w:hint="eastAsia" w:ascii="方正小标宋简体" w:hAnsi="方正小标宋简体" w:eastAsia="方正小标宋简体" w:cs="方正小标宋简体"/>
          <w:sz w:val="36"/>
          <w:szCs w:val="36"/>
          <w:highlight w:val="none"/>
          <w:lang w:eastAsia="zh-CN"/>
        </w:rPr>
        <w:t>目录</w:t>
      </w:r>
    </w:p>
    <w:p w14:paraId="2CBDB815">
      <w:pPr>
        <w:jc w:val="left"/>
        <w:rPr>
          <w:rFonts w:hint="eastAsia" w:ascii="黑体" w:hAnsi="黑体" w:eastAsia="黑体"/>
          <w:sz w:val="30"/>
          <w:szCs w:val="30"/>
          <w:highlight w:val="none"/>
        </w:rPr>
      </w:pPr>
    </w:p>
    <w:p w14:paraId="78F69581">
      <w:pPr>
        <w:jc w:val="left"/>
        <w:outlineLvl w:val="0"/>
        <w:rPr>
          <w:rFonts w:hint="eastAsia" w:ascii="黑体" w:hAnsi="黑体" w:eastAsia="黑体"/>
          <w:sz w:val="30"/>
          <w:szCs w:val="30"/>
          <w:highlight w:val="none"/>
        </w:rPr>
      </w:pPr>
      <w:r>
        <w:rPr>
          <w:rFonts w:hint="eastAsia" w:ascii="黑体" w:hAnsi="黑体" w:eastAsia="黑体"/>
          <w:sz w:val="30"/>
          <w:szCs w:val="30"/>
          <w:highlight w:val="none"/>
        </w:rPr>
        <w:t xml:space="preserve">第一部分  </w:t>
      </w:r>
      <w:r>
        <w:rPr>
          <w:rFonts w:hint="eastAsia" w:ascii="黑体" w:hAnsi="黑体" w:eastAsia="黑体"/>
          <w:sz w:val="30"/>
          <w:szCs w:val="30"/>
          <w:highlight w:val="none"/>
          <w:lang w:eastAsia="zh-CN"/>
        </w:rPr>
        <w:t>单位</w:t>
      </w:r>
      <w:r>
        <w:rPr>
          <w:rFonts w:hint="eastAsia" w:ascii="黑体" w:hAnsi="黑体" w:eastAsia="黑体"/>
          <w:sz w:val="30"/>
          <w:szCs w:val="30"/>
          <w:highlight w:val="none"/>
        </w:rPr>
        <w:t>概况</w:t>
      </w:r>
    </w:p>
    <w:p w14:paraId="63157FB0">
      <w:pPr>
        <w:spacing w:line="240" w:lineRule="atLeast"/>
        <w:jc w:val="left"/>
        <w:outlineLvl w:val="1"/>
        <w:rPr>
          <w:rFonts w:hint="eastAsia" w:ascii="楷体" w:hAnsi="楷体" w:eastAsia="楷体"/>
          <w:sz w:val="30"/>
          <w:szCs w:val="30"/>
          <w:highlight w:val="none"/>
          <w:lang w:eastAsia="zh-CN"/>
        </w:rPr>
      </w:pPr>
      <w:r>
        <w:rPr>
          <w:rFonts w:hint="eastAsia" w:ascii="楷体" w:hAnsi="楷体" w:eastAsia="楷体"/>
          <w:sz w:val="30"/>
          <w:szCs w:val="30"/>
          <w:highlight w:val="none"/>
        </w:rPr>
        <w:t>一、主要职</w:t>
      </w:r>
      <w:r>
        <w:rPr>
          <w:rFonts w:hint="eastAsia" w:ascii="楷体" w:hAnsi="楷体" w:eastAsia="楷体"/>
          <w:sz w:val="30"/>
          <w:szCs w:val="30"/>
          <w:highlight w:val="none"/>
          <w:lang w:eastAsia="zh-CN"/>
        </w:rPr>
        <w:t>责</w:t>
      </w:r>
    </w:p>
    <w:p w14:paraId="2B2F137E">
      <w:pPr>
        <w:spacing w:line="240" w:lineRule="atLeast"/>
        <w:jc w:val="left"/>
        <w:outlineLvl w:val="1"/>
        <w:rPr>
          <w:rFonts w:hint="eastAsia" w:ascii="楷体" w:hAnsi="楷体" w:eastAsia="楷体"/>
          <w:sz w:val="30"/>
          <w:szCs w:val="30"/>
          <w:highlight w:val="none"/>
          <w:lang w:eastAsia="zh-CN"/>
        </w:rPr>
      </w:pPr>
      <w:r>
        <w:rPr>
          <w:rFonts w:hint="eastAsia" w:ascii="楷体" w:hAnsi="楷体" w:eastAsia="楷体"/>
          <w:sz w:val="30"/>
          <w:szCs w:val="30"/>
          <w:highlight w:val="none"/>
        </w:rPr>
        <w:t>二、</w:t>
      </w:r>
      <w:r>
        <w:rPr>
          <w:rFonts w:hint="eastAsia" w:ascii="楷体" w:hAnsi="楷体" w:eastAsia="楷体"/>
          <w:sz w:val="30"/>
          <w:szCs w:val="30"/>
          <w:highlight w:val="none"/>
          <w:lang w:eastAsia="zh-CN"/>
        </w:rPr>
        <w:t>基本情况</w:t>
      </w:r>
    </w:p>
    <w:p w14:paraId="2C71EA25">
      <w:pPr>
        <w:spacing w:line="240" w:lineRule="atLeast"/>
        <w:jc w:val="left"/>
        <w:outlineLvl w:val="1"/>
        <w:rPr>
          <w:rFonts w:hint="eastAsia" w:ascii="楷体" w:hAnsi="楷体" w:eastAsia="楷体"/>
          <w:sz w:val="30"/>
          <w:szCs w:val="30"/>
          <w:highlight w:val="none"/>
          <w:lang w:eastAsia="zh-CN"/>
        </w:rPr>
      </w:pPr>
      <w:r>
        <w:rPr>
          <w:rFonts w:hint="eastAsia" w:ascii="楷体" w:hAnsi="楷体" w:eastAsia="楷体"/>
          <w:sz w:val="30"/>
          <w:szCs w:val="30"/>
          <w:highlight w:val="none"/>
          <w:lang w:eastAsia="zh-CN"/>
        </w:rPr>
        <w:t>三、重点工作概述</w:t>
      </w:r>
    </w:p>
    <w:p w14:paraId="53F4973D">
      <w:pPr>
        <w:jc w:val="left"/>
        <w:outlineLvl w:val="0"/>
        <w:rPr>
          <w:rFonts w:hint="eastAsia" w:ascii="黑体" w:hAnsi="黑体" w:eastAsia="黑体"/>
          <w:sz w:val="30"/>
          <w:szCs w:val="30"/>
          <w:highlight w:val="none"/>
        </w:rPr>
      </w:pPr>
      <w:r>
        <w:rPr>
          <w:rFonts w:hint="eastAsia" w:ascii="黑体" w:hAnsi="黑体" w:eastAsia="黑体"/>
          <w:sz w:val="30"/>
          <w:szCs w:val="30"/>
          <w:highlight w:val="none"/>
        </w:rPr>
        <w:t xml:space="preserve">第二部分  </w:t>
      </w:r>
      <w:r>
        <w:rPr>
          <w:rFonts w:hint="eastAsia" w:ascii="黑体" w:hAnsi="黑体" w:eastAsia="黑体"/>
          <w:sz w:val="30"/>
          <w:szCs w:val="30"/>
          <w:highlight w:val="none"/>
          <w:lang w:val="en-US" w:eastAsia="zh-CN"/>
        </w:rPr>
        <w:t>2025年度</w:t>
      </w:r>
      <w:r>
        <w:rPr>
          <w:rFonts w:hint="eastAsia" w:ascii="黑体" w:hAnsi="黑体" w:eastAsia="黑体"/>
          <w:sz w:val="30"/>
          <w:szCs w:val="30"/>
          <w:highlight w:val="none"/>
        </w:rPr>
        <w:t>部门决算表</w:t>
      </w:r>
    </w:p>
    <w:p w14:paraId="09643EFA">
      <w:pPr>
        <w:jc w:val="left"/>
        <w:outlineLvl w:val="1"/>
        <w:rPr>
          <w:rFonts w:hint="eastAsia" w:ascii="楷体" w:hAnsi="楷体" w:eastAsia="楷体"/>
          <w:sz w:val="30"/>
          <w:szCs w:val="30"/>
          <w:highlight w:val="none"/>
        </w:rPr>
      </w:pPr>
      <w:r>
        <w:rPr>
          <w:rFonts w:hint="eastAsia" w:ascii="楷体" w:hAnsi="楷体" w:eastAsia="楷体"/>
          <w:sz w:val="30"/>
          <w:szCs w:val="30"/>
          <w:highlight w:val="none"/>
        </w:rPr>
        <w:t>一、收入支出决算表</w:t>
      </w:r>
    </w:p>
    <w:p w14:paraId="5BE8F7B3">
      <w:pPr>
        <w:jc w:val="left"/>
        <w:outlineLvl w:val="1"/>
        <w:rPr>
          <w:rFonts w:hint="eastAsia" w:ascii="楷体" w:hAnsi="楷体" w:eastAsia="楷体"/>
          <w:sz w:val="30"/>
          <w:szCs w:val="30"/>
          <w:highlight w:val="none"/>
        </w:rPr>
      </w:pPr>
      <w:r>
        <w:rPr>
          <w:rFonts w:hint="eastAsia" w:ascii="楷体" w:hAnsi="楷体" w:eastAsia="楷体"/>
          <w:sz w:val="30"/>
          <w:szCs w:val="30"/>
          <w:highlight w:val="none"/>
        </w:rPr>
        <w:t>二、收入决算表</w:t>
      </w:r>
    </w:p>
    <w:p w14:paraId="2983A1AB">
      <w:pPr>
        <w:jc w:val="left"/>
        <w:outlineLvl w:val="1"/>
        <w:rPr>
          <w:rFonts w:hint="eastAsia" w:ascii="楷体" w:hAnsi="楷体" w:eastAsia="楷体"/>
          <w:sz w:val="30"/>
          <w:szCs w:val="30"/>
          <w:highlight w:val="none"/>
        </w:rPr>
      </w:pPr>
      <w:r>
        <w:rPr>
          <w:rFonts w:hint="eastAsia" w:ascii="楷体" w:hAnsi="楷体" w:eastAsia="楷体"/>
          <w:sz w:val="30"/>
          <w:szCs w:val="30"/>
          <w:highlight w:val="none"/>
        </w:rPr>
        <w:t>三、支出决算表</w:t>
      </w:r>
    </w:p>
    <w:p w14:paraId="32EC465F">
      <w:pPr>
        <w:jc w:val="left"/>
        <w:outlineLvl w:val="1"/>
        <w:rPr>
          <w:rFonts w:hint="eastAsia" w:ascii="楷体" w:hAnsi="楷体" w:eastAsia="楷体"/>
          <w:sz w:val="30"/>
          <w:szCs w:val="30"/>
          <w:highlight w:val="none"/>
        </w:rPr>
      </w:pPr>
      <w:r>
        <w:rPr>
          <w:rFonts w:hint="eastAsia" w:ascii="楷体" w:hAnsi="楷体" w:eastAsia="楷体"/>
          <w:sz w:val="30"/>
          <w:szCs w:val="30"/>
          <w:highlight w:val="none"/>
        </w:rPr>
        <w:t>四、财政拨款收入支出决算表</w:t>
      </w:r>
    </w:p>
    <w:p w14:paraId="57D11300">
      <w:pPr>
        <w:jc w:val="left"/>
        <w:outlineLvl w:val="1"/>
        <w:rPr>
          <w:rFonts w:hint="eastAsia" w:ascii="楷体" w:hAnsi="楷体" w:eastAsia="楷体"/>
          <w:sz w:val="30"/>
          <w:szCs w:val="30"/>
          <w:highlight w:val="none"/>
        </w:rPr>
      </w:pPr>
      <w:r>
        <w:rPr>
          <w:rFonts w:hint="eastAsia" w:ascii="楷体" w:hAnsi="楷体" w:eastAsia="楷体"/>
          <w:sz w:val="30"/>
          <w:szCs w:val="30"/>
          <w:highlight w:val="none"/>
        </w:rPr>
        <w:t>五、一般公共预算财政拨款收入支出决算表</w:t>
      </w:r>
    </w:p>
    <w:p w14:paraId="194E2136">
      <w:pPr>
        <w:jc w:val="left"/>
        <w:outlineLvl w:val="1"/>
        <w:rPr>
          <w:rFonts w:hint="eastAsia" w:ascii="楷体" w:hAnsi="楷体" w:eastAsia="楷体"/>
          <w:sz w:val="30"/>
          <w:szCs w:val="30"/>
          <w:highlight w:val="none"/>
        </w:rPr>
      </w:pPr>
      <w:r>
        <w:rPr>
          <w:rFonts w:hint="eastAsia" w:ascii="楷体" w:hAnsi="楷体" w:eastAsia="楷体"/>
          <w:sz w:val="30"/>
          <w:szCs w:val="30"/>
          <w:highlight w:val="none"/>
        </w:rPr>
        <w:t>六、一般公共预算财政拨款基本支出决算表</w:t>
      </w:r>
    </w:p>
    <w:p w14:paraId="186567BD">
      <w:pPr>
        <w:jc w:val="left"/>
        <w:outlineLvl w:val="1"/>
        <w:rPr>
          <w:rFonts w:hint="eastAsia" w:ascii="楷体" w:hAnsi="楷体" w:eastAsia="楷体"/>
          <w:sz w:val="30"/>
          <w:szCs w:val="30"/>
          <w:highlight w:val="none"/>
          <w:lang w:eastAsia="zh-CN"/>
        </w:rPr>
      </w:pPr>
      <w:r>
        <w:rPr>
          <w:rFonts w:hint="eastAsia" w:ascii="楷体" w:hAnsi="楷体" w:eastAsia="楷体"/>
          <w:sz w:val="30"/>
          <w:szCs w:val="30"/>
          <w:highlight w:val="none"/>
        </w:rPr>
        <w:t>七、</w:t>
      </w:r>
      <w:r>
        <w:rPr>
          <w:rFonts w:hint="eastAsia" w:ascii="楷体" w:hAnsi="楷体" w:eastAsia="楷体"/>
          <w:sz w:val="30"/>
          <w:szCs w:val="30"/>
          <w:highlight w:val="none"/>
          <w:lang w:eastAsia="zh-CN"/>
        </w:rPr>
        <w:t>一般公共预算财政拨款项目支出决算表</w:t>
      </w:r>
    </w:p>
    <w:p w14:paraId="2924F9F8">
      <w:pPr>
        <w:jc w:val="left"/>
        <w:outlineLvl w:val="1"/>
        <w:rPr>
          <w:rFonts w:hint="eastAsia" w:ascii="楷体" w:hAnsi="楷体" w:eastAsia="楷体"/>
          <w:sz w:val="30"/>
          <w:szCs w:val="30"/>
          <w:highlight w:val="none"/>
        </w:rPr>
      </w:pPr>
      <w:r>
        <w:rPr>
          <w:rFonts w:hint="eastAsia" w:ascii="楷体" w:hAnsi="楷体" w:eastAsia="楷体"/>
          <w:sz w:val="30"/>
          <w:szCs w:val="30"/>
          <w:highlight w:val="none"/>
          <w:lang w:eastAsia="zh-CN"/>
        </w:rPr>
        <w:t>八</w:t>
      </w:r>
      <w:r>
        <w:rPr>
          <w:rFonts w:hint="eastAsia" w:ascii="楷体" w:hAnsi="楷体" w:eastAsia="楷体"/>
          <w:sz w:val="30"/>
          <w:szCs w:val="30"/>
          <w:highlight w:val="none"/>
        </w:rPr>
        <w:t>、政府性基金预算财政拨款收入支出决算表</w:t>
      </w:r>
    </w:p>
    <w:p w14:paraId="03D0633C">
      <w:pPr>
        <w:jc w:val="left"/>
        <w:outlineLvl w:val="1"/>
        <w:rPr>
          <w:rFonts w:hint="eastAsia" w:ascii="楷体" w:hAnsi="楷体" w:eastAsia="楷体"/>
          <w:sz w:val="30"/>
          <w:szCs w:val="30"/>
          <w:highlight w:val="none"/>
          <w:lang w:val="en-US" w:eastAsia="zh-CN"/>
        </w:rPr>
      </w:pPr>
      <w:r>
        <w:rPr>
          <w:rFonts w:hint="eastAsia" w:ascii="楷体" w:hAnsi="楷体" w:eastAsia="楷体"/>
          <w:sz w:val="30"/>
          <w:szCs w:val="30"/>
          <w:highlight w:val="none"/>
          <w:lang w:val="en-US" w:eastAsia="zh-CN"/>
        </w:rPr>
        <w:t>九、国有资本经营预算财政拨款收入支出决算表</w:t>
      </w:r>
    </w:p>
    <w:p w14:paraId="6E634204">
      <w:pPr>
        <w:jc w:val="left"/>
        <w:outlineLvl w:val="1"/>
        <w:rPr>
          <w:rFonts w:hint="eastAsia" w:ascii="楷体" w:hAnsi="楷体" w:eastAsia="楷体"/>
          <w:sz w:val="30"/>
          <w:szCs w:val="30"/>
          <w:highlight w:val="none"/>
        </w:rPr>
      </w:pPr>
      <w:r>
        <w:rPr>
          <w:rFonts w:hint="eastAsia" w:ascii="楷体" w:hAnsi="楷体" w:eastAsia="楷体"/>
          <w:sz w:val="30"/>
          <w:szCs w:val="30"/>
          <w:highlight w:val="none"/>
          <w:lang w:eastAsia="zh-CN"/>
        </w:rPr>
        <w:t>十</w:t>
      </w:r>
      <w:r>
        <w:rPr>
          <w:rFonts w:hint="eastAsia" w:ascii="楷体" w:hAnsi="楷体" w:eastAsia="楷体"/>
          <w:sz w:val="30"/>
          <w:szCs w:val="30"/>
          <w:highlight w:val="none"/>
        </w:rPr>
        <w:t>、</w:t>
      </w:r>
      <w:r>
        <w:rPr>
          <w:rFonts w:hint="eastAsia" w:ascii="楷体" w:hAnsi="楷体" w:eastAsia="楷体"/>
          <w:sz w:val="30"/>
          <w:szCs w:val="30"/>
          <w:highlight w:val="none"/>
          <w:lang w:eastAsia="zh-CN"/>
        </w:rPr>
        <w:t>财政拨款</w:t>
      </w:r>
      <w:r>
        <w:rPr>
          <w:rFonts w:hint="eastAsia" w:ascii="楷体" w:hAnsi="楷体" w:eastAsia="楷体"/>
          <w:sz w:val="30"/>
          <w:szCs w:val="30"/>
          <w:highlight w:val="none"/>
        </w:rPr>
        <w:t>“三公”经费、行政参公单位机关运行经费情况表</w:t>
      </w:r>
    </w:p>
    <w:p w14:paraId="6EA0272B">
      <w:pPr>
        <w:jc w:val="left"/>
        <w:outlineLvl w:val="1"/>
        <w:rPr>
          <w:rFonts w:hint="eastAsia" w:ascii="楷体" w:hAnsi="楷体" w:eastAsia="楷体"/>
          <w:sz w:val="30"/>
          <w:szCs w:val="30"/>
          <w:highlight w:val="none"/>
        </w:rPr>
      </w:pPr>
      <w:r>
        <w:rPr>
          <w:rFonts w:hint="eastAsia" w:ascii="楷体" w:hAnsi="楷体" w:eastAsia="楷体"/>
          <w:sz w:val="30"/>
          <w:szCs w:val="30"/>
          <w:highlight w:val="none"/>
          <w:lang w:val="en-US" w:eastAsia="zh-CN"/>
        </w:rPr>
        <w:t>十一、一般公共预算财政拨款“三公”经费情况表</w:t>
      </w:r>
    </w:p>
    <w:p w14:paraId="02F9FB94">
      <w:pPr>
        <w:jc w:val="left"/>
        <w:outlineLvl w:val="0"/>
        <w:rPr>
          <w:rFonts w:hint="eastAsia" w:ascii="黑体" w:hAnsi="黑体" w:eastAsia="黑体"/>
          <w:sz w:val="30"/>
          <w:szCs w:val="30"/>
          <w:highlight w:val="none"/>
        </w:rPr>
      </w:pPr>
      <w:r>
        <w:rPr>
          <w:rFonts w:hint="eastAsia" w:ascii="黑体" w:hAnsi="黑体" w:eastAsia="黑体"/>
          <w:sz w:val="30"/>
          <w:szCs w:val="30"/>
          <w:highlight w:val="none"/>
        </w:rPr>
        <w:t>第三部</w:t>
      </w:r>
      <w:r>
        <w:rPr>
          <w:rFonts w:hint="eastAsia" w:ascii="黑体" w:hAnsi="黑体" w:eastAsia="黑体"/>
          <w:sz w:val="30"/>
          <w:szCs w:val="30"/>
          <w:highlight w:val="none"/>
          <w:lang w:eastAsia="zh-CN"/>
        </w:rPr>
        <w:t>分</w:t>
      </w:r>
      <w:r>
        <w:rPr>
          <w:rFonts w:hint="eastAsia" w:ascii="黑体" w:hAnsi="黑体" w:eastAsia="黑体"/>
          <w:sz w:val="30"/>
          <w:szCs w:val="30"/>
          <w:highlight w:val="none"/>
        </w:rPr>
        <w:t xml:space="preserve">  </w:t>
      </w:r>
      <w:r>
        <w:rPr>
          <w:rFonts w:hint="eastAsia" w:ascii="黑体" w:hAnsi="黑体" w:eastAsia="黑体"/>
          <w:sz w:val="30"/>
          <w:szCs w:val="30"/>
          <w:highlight w:val="none"/>
          <w:lang w:val="en-US" w:eastAsia="zh-CN"/>
        </w:rPr>
        <w:t>2025年度</w:t>
      </w:r>
      <w:r>
        <w:rPr>
          <w:rFonts w:hint="eastAsia" w:ascii="黑体" w:hAnsi="黑体" w:eastAsia="黑体"/>
          <w:sz w:val="30"/>
          <w:szCs w:val="30"/>
          <w:highlight w:val="none"/>
        </w:rPr>
        <w:t>部门决算情况说明</w:t>
      </w:r>
    </w:p>
    <w:p w14:paraId="69723154">
      <w:pPr>
        <w:jc w:val="left"/>
        <w:outlineLvl w:val="1"/>
        <w:rPr>
          <w:rFonts w:hint="eastAsia" w:ascii="楷体" w:hAnsi="楷体" w:eastAsia="楷体"/>
          <w:sz w:val="30"/>
          <w:szCs w:val="30"/>
          <w:highlight w:val="none"/>
        </w:rPr>
      </w:pPr>
      <w:r>
        <w:rPr>
          <w:rFonts w:hint="eastAsia" w:ascii="楷体" w:hAnsi="楷体" w:eastAsia="楷体"/>
          <w:sz w:val="30"/>
          <w:szCs w:val="30"/>
          <w:highlight w:val="none"/>
        </w:rPr>
        <w:t>一、收入决算情况说明</w:t>
      </w:r>
    </w:p>
    <w:p w14:paraId="7FADF67A">
      <w:pPr>
        <w:jc w:val="left"/>
        <w:outlineLvl w:val="1"/>
        <w:rPr>
          <w:rFonts w:hint="eastAsia" w:ascii="楷体" w:hAnsi="楷体" w:eastAsia="楷体"/>
          <w:sz w:val="30"/>
          <w:szCs w:val="30"/>
          <w:highlight w:val="none"/>
        </w:rPr>
      </w:pPr>
      <w:r>
        <w:rPr>
          <w:rFonts w:hint="eastAsia" w:ascii="楷体" w:hAnsi="楷体" w:eastAsia="楷体"/>
          <w:sz w:val="30"/>
          <w:szCs w:val="30"/>
          <w:highlight w:val="none"/>
        </w:rPr>
        <w:t>二、支出决算情况说明</w:t>
      </w:r>
    </w:p>
    <w:p w14:paraId="6F84042A">
      <w:pPr>
        <w:jc w:val="left"/>
        <w:outlineLvl w:val="1"/>
        <w:rPr>
          <w:rFonts w:hint="eastAsia" w:ascii="楷体" w:hAnsi="楷体" w:eastAsia="楷体"/>
          <w:sz w:val="30"/>
          <w:szCs w:val="30"/>
          <w:highlight w:val="none"/>
        </w:rPr>
      </w:pPr>
      <w:r>
        <w:rPr>
          <w:rFonts w:hint="eastAsia" w:ascii="楷体" w:hAnsi="楷体" w:eastAsia="楷体"/>
          <w:sz w:val="30"/>
          <w:szCs w:val="30"/>
          <w:highlight w:val="none"/>
        </w:rPr>
        <w:t>三、一般公共预算财政拨款支出决算情况说明</w:t>
      </w:r>
    </w:p>
    <w:p w14:paraId="26D99F73">
      <w:pPr>
        <w:widowControl/>
        <w:snapToGrid w:val="0"/>
        <w:spacing w:before="100" w:after="100" w:line="360" w:lineRule="auto"/>
        <w:jc w:val="left"/>
        <w:outlineLvl w:val="1"/>
        <w:rPr>
          <w:rFonts w:hint="eastAsia" w:ascii="楷体" w:hAnsi="楷体" w:eastAsia="楷体"/>
          <w:sz w:val="30"/>
          <w:szCs w:val="30"/>
          <w:highlight w:val="none"/>
        </w:rPr>
      </w:pPr>
      <w:r>
        <w:rPr>
          <w:rFonts w:hint="eastAsia" w:ascii="楷体" w:hAnsi="楷体" w:eastAsia="楷体"/>
          <w:sz w:val="30"/>
          <w:szCs w:val="30"/>
          <w:highlight w:val="none"/>
        </w:rPr>
        <w:t>四、财政拨款“三公”经费支出决算情况说明</w:t>
      </w:r>
    </w:p>
    <w:p w14:paraId="5503FF53">
      <w:pPr>
        <w:widowControl/>
        <w:snapToGrid w:val="0"/>
        <w:spacing w:before="100" w:after="100" w:line="360" w:lineRule="auto"/>
        <w:jc w:val="left"/>
        <w:outlineLvl w:val="0"/>
        <w:rPr>
          <w:rFonts w:hint="eastAsia" w:ascii="黑体" w:hAnsi="黑体" w:eastAsia="黑体"/>
          <w:sz w:val="30"/>
          <w:szCs w:val="30"/>
          <w:highlight w:val="none"/>
        </w:rPr>
      </w:pPr>
      <w:r>
        <w:rPr>
          <w:rFonts w:hint="eastAsia" w:ascii="黑体" w:hAnsi="黑体" w:eastAsia="黑体"/>
          <w:sz w:val="30"/>
          <w:szCs w:val="30"/>
          <w:highlight w:val="none"/>
          <w:lang w:eastAsia="zh-CN"/>
        </w:rPr>
        <w:t>第四部分</w:t>
      </w:r>
      <w:r>
        <w:rPr>
          <w:rFonts w:hint="eastAsia" w:ascii="楷体" w:hAnsi="楷体" w:eastAsia="楷体"/>
          <w:sz w:val="30"/>
          <w:szCs w:val="30"/>
          <w:highlight w:val="none"/>
          <w:lang w:val="en-US" w:eastAsia="zh-CN"/>
        </w:rPr>
        <w:t xml:space="preserve">  </w:t>
      </w:r>
      <w:r>
        <w:rPr>
          <w:rFonts w:hint="eastAsia" w:ascii="黑体" w:hAnsi="黑体" w:eastAsia="黑体"/>
          <w:sz w:val="30"/>
          <w:szCs w:val="30"/>
          <w:highlight w:val="none"/>
        </w:rPr>
        <w:t>其他重要事项及相关口径情况说明</w:t>
      </w:r>
    </w:p>
    <w:p w14:paraId="0D76A8D2">
      <w:pPr>
        <w:jc w:val="left"/>
        <w:outlineLvl w:val="1"/>
        <w:rPr>
          <w:rFonts w:hint="eastAsia" w:ascii="楷体" w:hAnsi="楷体" w:eastAsia="楷体"/>
          <w:sz w:val="30"/>
          <w:szCs w:val="30"/>
          <w:highlight w:val="none"/>
          <w:lang w:eastAsia="zh-CN"/>
        </w:rPr>
      </w:pPr>
      <w:r>
        <w:rPr>
          <w:rFonts w:hint="eastAsia" w:ascii="楷体" w:hAnsi="楷体" w:eastAsia="楷体"/>
          <w:sz w:val="30"/>
          <w:szCs w:val="30"/>
          <w:highlight w:val="none"/>
          <w:lang w:eastAsia="zh-CN"/>
        </w:rPr>
        <w:t>一、</w:t>
      </w:r>
      <w:r>
        <w:rPr>
          <w:rFonts w:hint="eastAsia" w:ascii="楷体" w:hAnsi="楷体" w:eastAsia="楷体"/>
          <w:sz w:val="30"/>
          <w:szCs w:val="30"/>
          <w:highlight w:val="none"/>
        </w:rPr>
        <w:t>机关运行经费支出情况</w:t>
      </w:r>
    </w:p>
    <w:p w14:paraId="70A16D4D">
      <w:pPr>
        <w:jc w:val="left"/>
        <w:outlineLvl w:val="1"/>
        <w:rPr>
          <w:rFonts w:hint="eastAsia" w:ascii="楷体" w:hAnsi="楷体" w:eastAsia="楷体"/>
          <w:sz w:val="30"/>
          <w:szCs w:val="30"/>
          <w:highlight w:val="none"/>
          <w:lang w:eastAsia="zh-CN"/>
        </w:rPr>
      </w:pPr>
      <w:r>
        <w:rPr>
          <w:rFonts w:hint="eastAsia" w:ascii="楷体" w:hAnsi="楷体" w:eastAsia="楷体"/>
          <w:sz w:val="30"/>
          <w:szCs w:val="30"/>
          <w:highlight w:val="none"/>
          <w:lang w:eastAsia="zh-CN"/>
        </w:rPr>
        <w:t>二、</w:t>
      </w:r>
      <w:r>
        <w:rPr>
          <w:rFonts w:hint="eastAsia" w:ascii="楷体" w:hAnsi="楷体" w:eastAsia="楷体"/>
          <w:sz w:val="30"/>
          <w:szCs w:val="30"/>
          <w:highlight w:val="none"/>
        </w:rPr>
        <w:t>国有资产占用情况</w:t>
      </w:r>
    </w:p>
    <w:p w14:paraId="4E1428DA">
      <w:pPr>
        <w:jc w:val="left"/>
        <w:outlineLvl w:val="1"/>
        <w:rPr>
          <w:rFonts w:hint="eastAsia" w:ascii="楷体" w:hAnsi="楷体" w:eastAsia="楷体"/>
          <w:sz w:val="30"/>
          <w:szCs w:val="30"/>
          <w:highlight w:val="none"/>
          <w:lang w:eastAsia="zh-CN"/>
        </w:rPr>
      </w:pPr>
      <w:r>
        <w:rPr>
          <w:rFonts w:hint="eastAsia" w:ascii="楷体" w:hAnsi="楷体" w:eastAsia="楷体"/>
          <w:sz w:val="30"/>
          <w:szCs w:val="30"/>
          <w:highlight w:val="none"/>
          <w:lang w:eastAsia="zh-CN"/>
        </w:rPr>
        <w:t>三、</w:t>
      </w:r>
      <w:r>
        <w:rPr>
          <w:rFonts w:hint="eastAsia" w:ascii="楷体" w:hAnsi="楷体" w:eastAsia="楷体"/>
          <w:sz w:val="30"/>
          <w:szCs w:val="30"/>
          <w:highlight w:val="none"/>
        </w:rPr>
        <w:t>政府采购支出情况</w:t>
      </w:r>
    </w:p>
    <w:p w14:paraId="220044F4">
      <w:pPr>
        <w:jc w:val="left"/>
        <w:outlineLvl w:val="1"/>
        <w:rPr>
          <w:rFonts w:hint="eastAsia" w:ascii="楷体" w:hAnsi="楷体" w:eastAsia="楷体"/>
          <w:sz w:val="30"/>
          <w:szCs w:val="30"/>
          <w:highlight w:val="none"/>
          <w:lang w:val="en-US" w:eastAsia="zh-CN"/>
        </w:rPr>
      </w:pPr>
      <w:r>
        <w:rPr>
          <w:rFonts w:hint="eastAsia" w:ascii="楷体" w:hAnsi="楷体" w:eastAsia="楷体"/>
          <w:sz w:val="30"/>
          <w:szCs w:val="30"/>
          <w:highlight w:val="none"/>
          <w:lang w:eastAsia="zh-CN"/>
        </w:rPr>
        <w:t>四、</w:t>
      </w:r>
      <w:r>
        <w:rPr>
          <w:rFonts w:hint="eastAsia" w:ascii="楷体" w:hAnsi="楷体" w:eastAsia="楷体"/>
          <w:sz w:val="30"/>
          <w:szCs w:val="30"/>
          <w:highlight w:val="none"/>
          <w:lang w:val="en-US" w:eastAsia="zh-CN"/>
        </w:rPr>
        <w:t>单位绩效自评情况</w:t>
      </w:r>
    </w:p>
    <w:p w14:paraId="40B99635">
      <w:pPr>
        <w:jc w:val="left"/>
        <w:outlineLvl w:val="1"/>
        <w:rPr>
          <w:rFonts w:hint="eastAsia" w:ascii="楷体" w:hAnsi="楷体" w:eastAsia="楷体"/>
          <w:sz w:val="30"/>
          <w:szCs w:val="30"/>
          <w:highlight w:val="none"/>
          <w:lang w:val="en-US" w:eastAsia="zh-CN"/>
        </w:rPr>
      </w:pPr>
      <w:r>
        <w:rPr>
          <w:rFonts w:hint="eastAsia" w:ascii="楷体" w:hAnsi="楷体" w:eastAsia="楷体"/>
          <w:sz w:val="30"/>
          <w:szCs w:val="30"/>
          <w:highlight w:val="none"/>
          <w:lang w:eastAsia="zh-CN"/>
        </w:rPr>
        <w:t>五、</w:t>
      </w:r>
      <w:r>
        <w:rPr>
          <w:rFonts w:hint="eastAsia" w:ascii="楷体" w:hAnsi="楷体" w:eastAsia="楷体"/>
          <w:sz w:val="30"/>
          <w:szCs w:val="30"/>
          <w:highlight w:val="none"/>
          <w:lang w:val="en-US" w:eastAsia="zh-CN"/>
        </w:rPr>
        <w:t>其他重要事项情况说明</w:t>
      </w:r>
    </w:p>
    <w:p w14:paraId="4C2BF14F">
      <w:pPr>
        <w:jc w:val="left"/>
        <w:outlineLvl w:val="1"/>
        <w:rPr>
          <w:rFonts w:hint="eastAsia" w:ascii="楷体" w:hAnsi="楷体" w:eastAsia="楷体"/>
          <w:sz w:val="30"/>
          <w:szCs w:val="30"/>
          <w:highlight w:val="none"/>
          <w:lang w:val="en-US" w:eastAsia="zh-CN"/>
        </w:rPr>
      </w:pPr>
      <w:r>
        <w:rPr>
          <w:rFonts w:hint="eastAsia" w:ascii="楷体" w:hAnsi="楷体" w:eastAsia="楷体"/>
          <w:sz w:val="30"/>
          <w:szCs w:val="30"/>
          <w:highlight w:val="none"/>
          <w:lang w:val="en-US" w:eastAsia="zh-CN"/>
        </w:rPr>
        <w:t>六、相关口径说明</w:t>
      </w:r>
    </w:p>
    <w:p w14:paraId="0BB82051">
      <w:pPr>
        <w:widowControl/>
        <w:snapToGrid w:val="0"/>
        <w:spacing w:before="100" w:after="100" w:line="360" w:lineRule="auto"/>
        <w:jc w:val="left"/>
        <w:outlineLvl w:val="0"/>
        <w:rPr>
          <w:rFonts w:hint="eastAsia" w:ascii="黑体" w:hAnsi="黑体" w:eastAsia="黑体"/>
          <w:sz w:val="30"/>
          <w:szCs w:val="30"/>
          <w:highlight w:val="none"/>
        </w:rPr>
      </w:pPr>
      <w:r>
        <w:rPr>
          <w:rFonts w:hint="eastAsia" w:ascii="黑体" w:hAnsi="黑体" w:eastAsia="黑体"/>
          <w:sz w:val="30"/>
          <w:szCs w:val="30"/>
          <w:highlight w:val="none"/>
        </w:rPr>
        <w:t>第</w:t>
      </w:r>
      <w:r>
        <w:rPr>
          <w:rFonts w:hint="eastAsia" w:ascii="黑体" w:hAnsi="黑体" w:eastAsia="黑体"/>
          <w:sz w:val="30"/>
          <w:szCs w:val="30"/>
          <w:highlight w:val="none"/>
          <w:lang w:eastAsia="zh-CN"/>
        </w:rPr>
        <w:t>五</w:t>
      </w:r>
      <w:r>
        <w:rPr>
          <w:rFonts w:hint="eastAsia" w:ascii="黑体" w:hAnsi="黑体" w:eastAsia="黑体"/>
          <w:sz w:val="30"/>
          <w:szCs w:val="30"/>
          <w:highlight w:val="none"/>
        </w:rPr>
        <w:t>部分  名词解释</w:t>
      </w:r>
    </w:p>
    <w:p w14:paraId="1DD011B5">
      <w:pPr>
        <w:jc w:val="center"/>
        <w:rPr>
          <w:rFonts w:hint="eastAsia" w:ascii="黑体" w:hAnsi="黑体" w:eastAsia="黑体"/>
          <w:sz w:val="32"/>
          <w:szCs w:val="32"/>
          <w:highlight w:val="none"/>
        </w:rPr>
      </w:pPr>
    </w:p>
    <w:p w14:paraId="7F5ED953">
      <w:pPr>
        <w:jc w:val="center"/>
        <w:rPr>
          <w:rFonts w:hint="eastAsia" w:ascii="黑体" w:hAnsi="黑体" w:eastAsia="黑体"/>
          <w:sz w:val="32"/>
          <w:szCs w:val="32"/>
          <w:highlight w:val="none"/>
        </w:rPr>
      </w:pPr>
    </w:p>
    <w:p w14:paraId="2CDB5B01">
      <w:pPr>
        <w:jc w:val="center"/>
        <w:rPr>
          <w:rFonts w:hint="eastAsia" w:ascii="黑体" w:hAnsi="黑体" w:eastAsia="黑体"/>
          <w:sz w:val="32"/>
          <w:szCs w:val="32"/>
          <w:highlight w:val="none"/>
        </w:rPr>
      </w:pPr>
    </w:p>
    <w:p w14:paraId="6CA649BD">
      <w:pPr>
        <w:jc w:val="center"/>
        <w:rPr>
          <w:rFonts w:hint="eastAsia" w:ascii="黑体" w:hAnsi="黑体" w:eastAsia="黑体"/>
          <w:sz w:val="32"/>
          <w:szCs w:val="32"/>
          <w:highlight w:val="none"/>
        </w:rPr>
      </w:pPr>
    </w:p>
    <w:p w14:paraId="67F86680">
      <w:pPr>
        <w:jc w:val="center"/>
        <w:rPr>
          <w:rFonts w:hint="eastAsia" w:ascii="黑体" w:hAnsi="黑体" w:eastAsia="黑体"/>
          <w:sz w:val="32"/>
          <w:szCs w:val="32"/>
          <w:highlight w:val="none"/>
        </w:rPr>
      </w:pPr>
    </w:p>
    <w:p w14:paraId="5B550123">
      <w:pPr>
        <w:jc w:val="center"/>
        <w:rPr>
          <w:rFonts w:hint="eastAsia" w:ascii="黑体" w:hAnsi="黑体" w:eastAsia="黑体"/>
          <w:sz w:val="32"/>
          <w:szCs w:val="32"/>
          <w:highlight w:val="none"/>
        </w:rPr>
      </w:pPr>
    </w:p>
    <w:p w14:paraId="247212FC">
      <w:pPr>
        <w:jc w:val="center"/>
        <w:rPr>
          <w:rFonts w:hint="eastAsia" w:ascii="黑体" w:hAnsi="黑体" w:eastAsia="黑体"/>
          <w:sz w:val="32"/>
          <w:szCs w:val="32"/>
          <w:highlight w:val="none"/>
        </w:rPr>
      </w:pPr>
    </w:p>
    <w:p w14:paraId="08951F81">
      <w:pPr>
        <w:jc w:val="both"/>
        <w:rPr>
          <w:rFonts w:hint="eastAsia" w:ascii="黑体" w:hAnsi="黑体" w:eastAsia="黑体"/>
          <w:sz w:val="32"/>
          <w:szCs w:val="32"/>
          <w:highlight w:val="none"/>
        </w:rPr>
      </w:pPr>
    </w:p>
    <w:p w14:paraId="0CA18DDB">
      <w:pPr>
        <w:keepNext w:val="0"/>
        <w:keepLines w:val="0"/>
        <w:pageBreakBefore w:val="0"/>
        <w:widowControl w:val="0"/>
        <w:kinsoku/>
        <w:wordWrap/>
        <w:overflowPunct/>
        <w:topLinePunct w:val="0"/>
        <w:autoSpaceDE/>
        <w:autoSpaceDN/>
        <w:bidi w:val="0"/>
        <w:adjustRightInd/>
        <w:snapToGrid/>
        <w:spacing w:line="590" w:lineRule="exact"/>
        <w:jc w:val="center"/>
        <w:textAlignment w:val="auto"/>
        <w:outlineLvl w:val="0"/>
        <w:rPr>
          <w:rFonts w:hint="eastAsia" w:ascii="黑体" w:hAnsi="黑体" w:eastAsia="黑体"/>
          <w:sz w:val="32"/>
          <w:szCs w:val="32"/>
          <w:highlight w:val="none"/>
        </w:rPr>
      </w:pPr>
      <w:r>
        <w:rPr>
          <w:rFonts w:hint="eastAsia" w:ascii="黑体" w:hAnsi="黑体" w:eastAsia="黑体"/>
          <w:sz w:val="32"/>
          <w:szCs w:val="32"/>
          <w:highlight w:val="none"/>
        </w:rPr>
        <w:t xml:space="preserve">第一部分  </w:t>
      </w:r>
      <w:r>
        <w:rPr>
          <w:rFonts w:hint="eastAsia" w:ascii="黑体" w:hAnsi="黑体" w:eastAsia="黑体"/>
          <w:sz w:val="32"/>
          <w:szCs w:val="32"/>
          <w:highlight w:val="none"/>
          <w:lang w:eastAsia="zh-CN"/>
        </w:rPr>
        <w:t>单位</w:t>
      </w:r>
      <w:r>
        <w:rPr>
          <w:rFonts w:hint="eastAsia" w:ascii="黑体" w:hAnsi="黑体" w:eastAsia="黑体"/>
          <w:sz w:val="32"/>
          <w:szCs w:val="32"/>
          <w:highlight w:val="none"/>
        </w:rPr>
        <w:t>概况</w:t>
      </w:r>
    </w:p>
    <w:p w14:paraId="53BDAA22">
      <w:pPr>
        <w:keepNext w:val="0"/>
        <w:keepLines w:val="0"/>
        <w:pageBreakBefore w:val="0"/>
        <w:widowControl w:val="0"/>
        <w:kinsoku/>
        <w:wordWrap/>
        <w:overflowPunct/>
        <w:topLinePunct w:val="0"/>
        <w:autoSpaceDE/>
        <w:autoSpaceDN/>
        <w:bidi w:val="0"/>
        <w:adjustRightInd/>
        <w:snapToGrid/>
        <w:spacing w:line="590" w:lineRule="exact"/>
        <w:ind w:firstLine="600" w:firstLineChars="200"/>
        <w:textAlignment w:val="auto"/>
        <w:outlineLvl w:val="1"/>
        <w:rPr>
          <w:rFonts w:hint="eastAsia" w:ascii="黑体" w:hAnsi="黑体" w:eastAsia="黑体"/>
          <w:sz w:val="30"/>
          <w:szCs w:val="30"/>
          <w:highlight w:val="none"/>
          <w:lang w:eastAsia="zh-CN"/>
        </w:rPr>
      </w:pPr>
      <w:r>
        <w:rPr>
          <w:rFonts w:hint="eastAsia" w:ascii="黑体" w:hAnsi="黑体" w:eastAsia="黑体"/>
          <w:sz w:val="30"/>
          <w:szCs w:val="30"/>
          <w:highlight w:val="none"/>
        </w:rPr>
        <w:t>一、主要</w:t>
      </w:r>
      <w:r>
        <w:rPr>
          <w:rFonts w:hint="eastAsia" w:ascii="黑体" w:hAnsi="黑体" w:eastAsia="黑体"/>
          <w:sz w:val="30"/>
          <w:szCs w:val="30"/>
          <w:highlight w:val="none"/>
          <w:lang w:eastAsia="zh-CN"/>
        </w:rPr>
        <w:t>职责</w:t>
      </w:r>
    </w:p>
    <w:p w14:paraId="4CB9C50B">
      <w:pPr>
        <w:keepNext w:val="0"/>
        <w:keepLines w:val="0"/>
        <w:pageBreakBefore w:val="0"/>
        <w:widowControl w:val="0"/>
        <w:kinsoku/>
        <w:wordWrap/>
        <w:overflowPunct/>
        <w:topLinePunct w:val="0"/>
        <w:autoSpaceDE/>
        <w:autoSpaceDN/>
        <w:bidi w:val="0"/>
        <w:adjustRightInd/>
        <w:snapToGrid/>
        <w:spacing w:line="590" w:lineRule="exact"/>
        <w:ind w:firstLine="600" w:firstLineChars="200"/>
        <w:textAlignment w:val="auto"/>
        <w:rPr>
          <w:rFonts w:hint="eastAsia" w:ascii="仿宋" w:hAnsi="仿宋" w:eastAsia="仿宋" w:cs="仿宋"/>
          <w:sz w:val="30"/>
          <w:szCs w:val="30"/>
          <w:highlight w:val="none"/>
          <w:lang w:eastAsia="zh-CN"/>
        </w:rPr>
      </w:pPr>
      <w:r>
        <w:rPr>
          <w:rFonts w:hint="eastAsia" w:ascii="仿宋" w:hAnsi="仿宋" w:eastAsia="仿宋" w:cs="仿宋"/>
          <w:sz w:val="30"/>
          <w:szCs w:val="30"/>
          <w:highlight w:val="none"/>
          <w:lang w:eastAsia="zh-CN"/>
        </w:rPr>
        <w:t>全面执行、贯彻党和国家的教育方针、政策、法规、认真执行国家的课程计划和有关规定；按照学校章程，制定、调整学校发展规划，建立健全和完善相关规章制度，依法办学，促进基础教育发展；按教育规律办学，实行高中学历教育。开展素质教育，不断提高教育质量、以人为本，培养学生，促进学生全面发展；积极争取社会各方面的支持，督促、协调、开展学校的教育教学工作；全面负责本校思想政治教育和党建工作，确保正确办学方向，维护受教育者、教师及教职工的合法权益；做好经费收支管理工作，做好学校教师的人员调配、考核、聘任、职称评聘等工作；管理好校产及各类资产；建立健全安全制度和应急机制，对师生进行安全教育，加强管理，及时消除隐患，预防发生事故；完成主管部门交办的其他工作。</w:t>
      </w:r>
    </w:p>
    <w:p w14:paraId="0BAD557B">
      <w:pPr>
        <w:keepNext w:val="0"/>
        <w:keepLines w:val="0"/>
        <w:pageBreakBefore w:val="0"/>
        <w:widowControl w:val="0"/>
        <w:kinsoku/>
        <w:wordWrap/>
        <w:overflowPunct/>
        <w:topLinePunct w:val="0"/>
        <w:autoSpaceDE/>
        <w:autoSpaceDN/>
        <w:bidi w:val="0"/>
        <w:adjustRightInd/>
        <w:snapToGrid/>
        <w:spacing w:line="590" w:lineRule="exact"/>
        <w:ind w:firstLine="600" w:firstLineChars="200"/>
        <w:textAlignment w:val="auto"/>
        <w:outlineLvl w:val="1"/>
        <w:rPr>
          <w:rFonts w:hint="eastAsia" w:ascii="黑体" w:hAnsi="黑体" w:eastAsia="黑体"/>
          <w:sz w:val="30"/>
          <w:szCs w:val="30"/>
          <w:highlight w:val="none"/>
        </w:rPr>
      </w:pPr>
      <w:r>
        <w:rPr>
          <w:rFonts w:hint="eastAsia" w:ascii="黑体" w:hAnsi="黑体" w:eastAsia="黑体"/>
          <w:sz w:val="30"/>
          <w:szCs w:val="30"/>
          <w:highlight w:val="none"/>
        </w:rPr>
        <w:t>二、基本情况</w:t>
      </w:r>
    </w:p>
    <w:p w14:paraId="64AC95FE">
      <w:pPr>
        <w:keepNext w:val="0"/>
        <w:keepLines w:val="0"/>
        <w:pageBreakBefore w:val="0"/>
        <w:widowControl w:val="0"/>
        <w:kinsoku/>
        <w:wordWrap/>
        <w:overflowPunct/>
        <w:topLinePunct w:val="0"/>
        <w:autoSpaceDE/>
        <w:autoSpaceDN/>
        <w:bidi w:val="0"/>
        <w:adjustRightInd/>
        <w:snapToGrid/>
        <w:spacing w:line="590" w:lineRule="exact"/>
        <w:ind w:firstLine="600" w:firstLineChars="200"/>
        <w:textAlignment w:val="auto"/>
        <w:outlineLvl w:val="2"/>
        <w:rPr>
          <w:rFonts w:hint="eastAsia" w:ascii="楷体" w:hAnsi="楷体" w:eastAsia="楷体"/>
          <w:sz w:val="30"/>
          <w:szCs w:val="30"/>
          <w:highlight w:val="none"/>
        </w:rPr>
      </w:pPr>
      <w:r>
        <w:rPr>
          <w:rFonts w:hint="eastAsia" w:ascii="楷体" w:hAnsi="楷体" w:eastAsia="楷体"/>
          <w:sz w:val="30"/>
          <w:szCs w:val="30"/>
          <w:highlight w:val="none"/>
        </w:rPr>
        <w:t>（一）机构设置情况</w:t>
      </w:r>
    </w:p>
    <w:p w14:paraId="79BD1567">
      <w:pPr>
        <w:keepNext w:val="0"/>
        <w:keepLines w:val="0"/>
        <w:pageBreakBefore w:val="0"/>
        <w:widowControl w:val="0"/>
        <w:kinsoku/>
        <w:wordWrap/>
        <w:overflowPunct/>
        <w:topLinePunct w:val="0"/>
        <w:autoSpaceDE/>
        <w:autoSpaceDN/>
        <w:bidi w:val="0"/>
        <w:adjustRightInd/>
        <w:snapToGrid/>
        <w:spacing w:line="590" w:lineRule="exact"/>
        <w:ind w:firstLine="600" w:firstLineChars="200"/>
        <w:textAlignment w:val="auto"/>
        <w:rPr>
          <w:rFonts w:hint="eastAsia" w:ascii="仿宋" w:hAnsi="仿宋" w:eastAsia="仿宋" w:cs="仿宋"/>
          <w:sz w:val="30"/>
          <w:szCs w:val="30"/>
          <w:highlight w:val="none"/>
          <w:lang w:val="en-US" w:eastAsia="zh-CN"/>
        </w:rPr>
      </w:pPr>
      <w:r>
        <w:rPr>
          <w:rFonts w:hint="eastAsia" w:ascii="仿宋" w:hAnsi="仿宋" w:eastAsia="仿宋" w:cs="仿宋"/>
          <w:sz w:val="30"/>
          <w:szCs w:val="30"/>
          <w:highlight w:val="none"/>
          <w:lang w:val="en-US" w:eastAsia="zh-CN"/>
        </w:rPr>
        <w:t>我部门共设</w:t>
      </w:r>
      <w:r>
        <w:rPr>
          <w:rFonts w:hint="default" w:ascii="Times New Roman" w:hAnsi="Times New Roman" w:eastAsia="仿宋" w:cs="Times New Roman"/>
          <w:sz w:val="30"/>
          <w:szCs w:val="30"/>
          <w:highlight w:val="none"/>
          <w:lang w:val="en-US" w:eastAsia="zh-CN"/>
        </w:rPr>
        <w:t>11</w:t>
      </w:r>
      <w:r>
        <w:rPr>
          <w:rFonts w:hint="eastAsia" w:ascii="仿宋" w:hAnsi="仿宋" w:eastAsia="仿宋" w:cs="仿宋"/>
          <w:sz w:val="30"/>
          <w:szCs w:val="30"/>
          <w:highlight w:val="none"/>
          <w:lang w:val="en-US" w:eastAsia="zh-CN"/>
        </w:rPr>
        <w:t>个内设机构，包括：党建办公室、行政办公室、总务处、教务处、教科室、财务室、安全处、政教处、学生资助中心、工会、团委。</w:t>
      </w:r>
    </w:p>
    <w:p w14:paraId="70300B08">
      <w:pPr>
        <w:keepNext w:val="0"/>
        <w:keepLines w:val="0"/>
        <w:pageBreakBefore w:val="0"/>
        <w:widowControl w:val="0"/>
        <w:kinsoku/>
        <w:wordWrap/>
        <w:overflowPunct/>
        <w:topLinePunct w:val="0"/>
        <w:autoSpaceDE/>
        <w:autoSpaceDN/>
        <w:bidi w:val="0"/>
        <w:adjustRightInd/>
        <w:snapToGrid/>
        <w:spacing w:line="590" w:lineRule="exact"/>
        <w:ind w:firstLine="600" w:firstLineChars="200"/>
        <w:textAlignment w:val="auto"/>
        <w:rPr>
          <w:rFonts w:hint="eastAsia" w:ascii="仿宋_GB2312" w:eastAsia="仿宋_GB2312"/>
          <w:sz w:val="30"/>
          <w:szCs w:val="30"/>
          <w:highlight w:val="none"/>
          <w:lang w:val="en-US" w:eastAsia="zh-CN"/>
        </w:rPr>
      </w:pPr>
      <w:r>
        <w:rPr>
          <w:rFonts w:hint="eastAsia" w:ascii="仿宋" w:hAnsi="仿宋" w:eastAsia="仿宋" w:cs="仿宋"/>
          <w:sz w:val="30"/>
          <w:szCs w:val="30"/>
          <w:highlight w:val="none"/>
          <w:lang w:val="en-US" w:eastAsia="zh-CN"/>
        </w:rPr>
        <w:t>我单位为基层预算单位，无下属单位。</w:t>
      </w:r>
    </w:p>
    <w:p w14:paraId="108A45D7">
      <w:pPr>
        <w:keepNext w:val="0"/>
        <w:keepLines w:val="0"/>
        <w:pageBreakBefore w:val="0"/>
        <w:widowControl w:val="0"/>
        <w:kinsoku/>
        <w:wordWrap/>
        <w:overflowPunct/>
        <w:topLinePunct w:val="0"/>
        <w:autoSpaceDE/>
        <w:autoSpaceDN/>
        <w:bidi w:val="0"/>
        <w:adjustRightInd/>
        <w:snapToGrid/>
        <w:spacing w:line="590" w:lineRule="exact"/>
        <w:ind w:firstLine="600" w:firstLineChars="200"/>
        <w:textAlignment w:val="auto"/>
        <w:outlineLvl w:val="2"/>
        <w:rPr>
          <w:rFonts w:hint="eastAsia" w:ascii="楷体" w:hAnsi="楷体" w:eastAsia="楷体"/>
          <w:sz w:val="30"/>
          <w:szCs w:val="30"/>
          <w:highlight w:val="none"/>
        </w:rPr>
      </w:pPr>
      <w:r>
        <w:rPr>
          <w:rFonts w:hint="eastAsia" w:ascii="楷体" w:hAnsi="楷体" w:eastAsia="楷体"/>
          <w:sz w:val="30"/>
          <w:szCs w:val="30"/>
          <w:highlight w:val="none"/>
          <w:lang w:eastAsia="zh-CN"/>
        </w:rPr>
        <w:t>（二）</w:t>
      </w:r>
      <w:r>
        <w:rPr>
          <w:rFonts w:hint="eastAsia" w:ascii="楷体" w:hAnsi="楷体" w:eastAsia="楷体"/>
          <w:sz w:val="30"/>
          <w:szCs w:val="30"/>
          <w:highlight w:val="none"/>
        </w:rPr>
        <w:t>决算单位构成</w:t>
      </w:r>
    </w:p>
    <w:p w14:paraId="2888DB59">
      <w:pPr>
        <w:keepNext w:val="0"/>
        <w:keepLines w:val="0"/>
        <w:pageBreakBefore w:val="0"/>
        <w:widowControl w:val="0"/>
        <w:kinsoku/>
        <w:wordWrap/>
        <w:overflowPunct/>
        <w:topLinePunct w:val="0"/>
        <w:autoSpaceDE/>
        <w:autoSpaceDN/>
        <w:bidi w:val="0"/>
        <w:adjustRightInd/>
        <w:snapToGrid/>
        <w:spacing w:line="590" w:lineRule="exact"/>
        <w:ind w:firstLine="600" w:firstLineChars="200"/>
        <w:textAlignment w:val="auto"/>
        <w:rPr>
          <w:rFonts w:hint="eastAsia" w:ascii="仿宋" w:hAnsi="仿宋" w:eastAsia="仿宋" w:cs="仿宋"/>
          <w:sz w:val="30"/>
          <w:szCs w:val="30"/>
          <w:highlight w:val="none"/>
          <w:lang w:val="en-US" w:eastAsia="zh-CN"/>
        </w:rPr>
      </w:pPr>
      <w:r>
        <w:rPr>
          <w:rFonts w:hint="eastAsia" w:ascii="仿宋" w:hAnsi="仿宋" w:eastAsia="仿宋" w:cs="仿宋"/>
          <w:sz w:val="30"/>
          <w:szCs w:val="30"/>
          <w:highlight w:val="none"/>
          <w:lang w:val="en-US" w:eastAsia="zh-CN"/>
        </w:rPr>
        <w:t>我单位作为华宁县教育体育局的二级预算单位纳入</w:t>
      </w:r>
      <w:r>
        <w:rPr>
          <w:rFonts w:hint="default" w:ascii="Times New Roman" w:hAnsi="Times New Roman" w:eastAsia="仿宋" w:cs="Times New Roman"/>
          <w:sz w:val="30"/>
          <w:szCs w:val="30"/>
          <w:highlight w:val="none"/>
          <w:lang w:val="en-US" w:eastAsia="zh-CN"/>
        </w:rPr>
        <w:t>2025</w:t>
      </w:r>
      <w:r>
        <w:rPr>
          <w:rFonts w:hint="eastAsia" w:ascii="仿宋" w:hAnsi="仿宋" w:eastAsia="仿宋" w:cs="仿宋"/>
          <w:sz w:val="30"/>
          <w:szCs w:val="30"/>
          <w:highlight w:val="none"/>
          <w:lang w:val="en-US" w:eastAsia="zh-CN"/>
        </w:rPr>
        <w:t>年度部门决算编报范围。</w:t>
      </w:r>
    </w:p>
    <w:p w14:paraId="6656FB9C">
      <w:pPr>
        <w:keepNext w:val="0"/>
        <w:keepLines w:val="0"/>
        <w:pageBreakBefore w:val="0"/>
        <w:widowControl w:val="0"/>
        <w:kinsoku/>
        <w:wordWrap/>
        <w:overflowPunct/>
        <w:topLinePunct w:val="0"/>
        <w:autoSpaceDE/>
        <w:autoSpaceDN/>
        <w:bidi w:val="0"/>
        <w:adjustRightInd/>
        <w:snapToGrid/>
        <w:spacing w:line="590" w:lineRule="exact"/>
        <w:ind w:firstLine="600" w:firstLineChars="200"/>
        <w:textAlignment w:val="auto"/>
        <w:outlineLvl w:val="2"/>
        <w:rPr>
          <w:rFonts w:hint="eastAsia" w:ascii="楷体" w:hAnsi="楷体" w:eastAsia="楷体"/>
          <w:sz w:val="30"/>
          <w:szCs w:val="30"/>
          <w:highlight w:val="none"/>
        </w:rPr>
      </w:pPr>
      <w:r>
        <w:rPr>
          <w:rFonts w:hint="eastAsia" w:ascii="楷体" w:hAnsi="楷体" w:eastAsia="楷体"/>
          <w:sz w:val="30"/>
          <w:szCs w:val="30"/>
          <w:highlight w:val="none"/>
        </w:rPr>
        <w:t>（</w:t>
      </w:r>
      <w:r>
        <w:rPr>
          <w:rFonts w:hint="eastAsia" w:ascii="楷体" w:hAnsi="楷体" w:eastAsia="楷体"/>
          <w:sz w:val="30"/>
          <w:szCs w:val="30"/>
          <w:highlight w:val="none"/>
          <w:lang w:eastAsia="zh-CN"/>
        </w:rPr>
        <w:t>三</w:t>
      </w:r>
      <w:r>
        <w:rPr>
          <w:rFonts w:hint="eastAsia" w:ascii="楷体" w:hAnsi="楷体" w:eastAsia="楷体"/>
          <w:sz w:val="30"/>
          <w:szCs w:val="30"/>
          <w:highlight w:val="none"/>
        </w:rPr>
        <w:t>）</w:t>
      </w:r>
      <w:r>
        <w:rPr>
          <w:rFonts w:hint="eastAsia" w:ascii="楷体" w:hAnsi="楷体" w:eastAsia="楷体"/>
          <w:sz w:val="30"/>
          <w:szCs w:val="30"/>
          <w:highlight w:val="none"/>
          <w:lang w:eastAsia="zh-CN"/>
        </w:rPr>
        <w:t>单位</w:t>
      </w:r>
      <w:r>
        <w:rPr>
          <w:rFonts w:hint="eastAsia" w:ascii="楷体" w:hAnsi="楷体" w:eastAsia="楷体"/>
          <w:sz w:val="30"/>
          <w:szCs w:val="30"/>
          <w:highlight w:val="none"/>
        </w:rPr>
        <w:t xml:space="preserve">人员和车辆的编制及实有情况 </w:t>
      </w:r>
    </w:p>
    <w:p w14:paraId="00AB6EF5">
      <w:pPr>
        <w:keepNext w:val="0"/>
        <w:keepLines w:val="0"/>
        <w:pageBreakBefore w:val="0"/>
        <w:widowControl w:val="0"/>
        <w:kinsoku/>
        <w:wordWrap/>
        <w:overflowPunct/>
        <w:topLinePunct w:val="0"/>
        <w:autoSpaceDE/>
        <w:autoSpaceDN/>
        <w:bidi w:val="0"/>
        <w:adjustRightInd/>
        <w:snapToGrid/>
        <w:spacing w:line="590" w:lineRule="exact"/>
        <w:ind w:firstLine="600" w:firstLineChars="200"/>
        <w:textAlignment w:val="auto"/>
        <w:rPr>
          <w:rFonts w:hint="default" w:ascii="Times New Roman" w:hAnsi="Times New Roman" w:eastAsia="仿宋" w:cs="Times New Roman"/>
          <w:kern w:val="0"/>
          <w:sz w:val="30"/>
          <w:szCs w:val="30"/>
          <w:highlight w:val="none"/>
          <w:lang w:eastAsia="zh-CN"/>
        </w:rPr>
      </w:pPr>
      <w:r>
        <w:rPr>
          <w:rFonts w:hint="default" w:ascii="Times New Roman" w:hAnsi="Times New Roman" w:eastAsia="仿宋" w:cs="Times New Roman"/>
          <w:sz w:val="30"/>
          <w:szCs w:val="30"/>
          <w:highlight w:val="none"/>
          <w:lang w:eastAsia="zh-CN"/>
        </w:rPr>
        <w:t>我单位</w:t>
      </w:r>
      <w:r>
        <w:rPr>
          <w:rFonts w:hint="default" w:ascii="Times New Roman" w:hAnsi="Times New Roman" w:eastAsia="仿宋" w:cs="Times New Roman"/>
          <w:sz w:val="30"/>
          <w:szCs w:val="30"/>
          <w:highlight w:val="none"/>
          <w:lang w:val="en-US" w:eastAsia="zh-CN"/>
        </w:rPr>
        <w:t>2025</w:t>
      </w:r>
      <w:r>
        <w:rPr>
          <w:rFonts w:hint="default" w:ascii="Times New Roman" w:hAnsi="Times New Roman" w:eastAsia="仿宋" w:cs="Times New Roman"/>
          <w:sz w:val="30"/>
          <w:szCs w:val="30"/>
          <w:highlight w:val="none"/>
        </w:rPr>
        <w:t>年末</w:t>
      </w:r>
      <w:r>
        <w:rPr>
          <w:rFonts w:hint="default" w:ascii="Times New Roman" w:hAnsi="Times New Roman" w:eastAsia="仿宋" w:cs="Times New Roman"/>
          <w:sz w:val="30"/>
          <w:szCs w:val="30"/>
          <w:highlight w:val="none"/>
          <w:lang w:eastAsia="zh-CN"/>
        </w:rPr>
        <w:t>编制内</w:t>
      </w:r>
      <w:r>
        <w:rPr>
          <w:rFonts w:hint="default" w:ascii="Times New Roman" w:hAnsi="Times New Roman" w:eastAsia="仿宋" w:cs="Times New Roman"/>
          <w:sz w:val="30"/>
          <w:szCs w:val="30"/>
          <w:highlight w:val="none"/>
        </w:rPr>
        <w:t>实有人员</w:t>
      </w:r>
      <w:r>
        <w:rPr>
          <w:rFonts w:hint="default" w:ascii="Times New Roman" w:hAnsi="Times New Roman" w:eastAsia="仿宋" w:cs="Times New Roman"/>
          <w:color w:val="auto"/>
          <w:sz w:val="30"/>
          <w:szCs w:val="30"/>
          <w:lang w:val="en-US" w:eastAsia="zh-CN"/>
        </w:rPr>
        <w:t>248</w:t>
      </w:r>
      <w:r>
        <w:rPr>
          <w:rFonts w:hint="default" w:ascii="Times New Roman" w:hAnsi="Times New Roman" w:eastAsia="仿宋" w:cs="Times New Roman"/>
          <w:kern w:val="0"/>
          <w:sz w:val="30"/>
          <w:szCs w:val="30"/>
          <w:highlight w:val="none"/>
        </w:rPr>
        <w:t>人。</w:t>
      </w:r>
      <w:r>
        <w:rPr>
          <w:rFonts w:hint="default" w:ascii="Times New Roman" w:hAnsi="Times New Roman" w:eastAsia="仿宋" w:cs="Times New Roman"/>
          <w:b w:val="0"/>
          <w:bCs w:val="0"/>
          <w:kern w:val="0"/>
          <w:sz w:val="30"/>
          <w:szCs w:val="30"/>
          <w:highlight w:val="none"/>
          <w:lang w:eastAsia="zh-CN"/>
        </w:rPr>
        <w:t>包括</w:t>
      </w:r>
      <w:r>
        <w:rPr>
          <w:rFonts w:hint="default" w:ascii="Times New Roman" w:hAnsi="Times New Roman" w:eastAsia="仿宋" w:cs="Times New Roman"/>
          <w:kern w:val="0"/>
          <w:sz w:val="30"/>
          <w:szCs w:val="30"/>
          <w:highlight w:val="none"/>
          <w:lang w:eastAsia="zh-CN"/>
        </w:rPr>
        <w:t>财政拨款开支经费的</w:t>
      </w:r>
      <w:r>
        <w:rPr>
          <w:rFonts w:hint="default" w:ascii="Times New Roman" w:hAnsi="Times New Roman" w:eastAsia="仿宋" w:cs="Times New Roman"/>
          <w:kern w:val="0"/>
          <w:sz w:val="30"/>
          <w:szCs w:val="30"/>
          <w:highlight w:val="none"/>
        </w:rPr>
        <w:t>：</w:t>
      </w:r>
      <w:r>
        <w:rPr>
          <w:rFonts w:hint="default" w:ascii="Times New Roman" w:hAnsi="Times New Roman" w:eastAsia="仿宋" w:cs="Times New Roman"/>
          <w:kern w:val="0"/>
          <w:sz w:val="30"/>
          <w:szCs w:val="30"/>
          <w:highlight w:val="none"/>
          <w:lang w:eastAsia="zh-CN"/>
        </w:rPr>
        <w:t>公务员</w:t>
      </w:r>
      <w:r>
        <w:rPr>
          <w:rFonts w:hint="default" w:ascii="Times New Roman" w:hAnsi="Times New Roman" w:eastAsia="仿宋" w:cs="Times New Roman"/>
          <w:color w:val="auto"/>
          <w:sz w:val="30"/>
          <w:szCs w:val="30"/>
          <w:lang w:val="en-US" w:eastAsia="zh-CN"/>
        </w:rPr>
        <w:t>0</w:t>
      </w:r>
      <w:r>
        <w:rPr>
          <w:rFonts w:hint="default" w:ascii="Times New Roman" w:hAnsi="Times New Roman" w:eastAsia="仿宋" w:cs="Times New Roman"/>
          <w:kern w:val="0"/>
          <w:sz w:val="30"/>
          <w:szCs w:val="30"/>
          <w:highlight w:val="none"/>
        </w:rPr>
        <w:t>人，</w:t>
      </w:r>
      <w:r>
        <w:rPr>
          <w:rFonts w:hint="default" w:ascii="Times New Roman" w:hAnsi="Times New Roman" w:eastAsia="仿宋" w:cs="Times New Roman"/>
          <w:kern w:val="0"/>
          <w:sz w:val="30"/>
          <w:szCs w:val="30"/>
          <w:highlight w:val="none"/>
          <w:lang w:eastAsia="zh-CN"/>
        </w:rPr>
        <w:t>参照公务员法管理人员</w:t>
      </w:r>
      <w:r>
        <w:rPr>
          <w:rFonts w:hint="default" w:ascii="Times New Roman" w:hAnsi="Times New Roman" w:eastAsia="仿宋" w:cs="Times New Roman"/>
          <w:color w:val="auto"/>
          <w:sz w:val="30"/>
          <w:szCs w:val="30"/>
          <w:lang w:val="en-US" w:eastAsia="zh-CN"/>
        </w:rPr>
        <w:t>0</w:t>
      </w:r>
      <w:r>
        <w:rPr>
          <w:rFonts w:hint="default" w:ascii="Times New Roman" w:hAnsi="Times New Roman" w:eastAsia="仿宋" w:cs="Times New Roman"/>
          <w:kern w:val="0"/>
          <w:sz w:val="30"/>
          <w:szCs w:val="30"/>
          <w:highlight w:val="none"/>
        </w:rPr>
        <w:t>人</w:t>
      </w:r>
      <w:r>
        <w:rPr>
          <w:rFonts w:hint="default" w:ascii="Times New Roman" w:hAnsi="Times New Roman" w:eastAsia="仿宋" w:cs="Times New Roman"/>
          <w:kern w:val="0"/>
          <w:sz w:val="30"/>
          <w:szCs w:val="30"/>
          <w:highlight w:val="none"/>
          <w:lang w:eastAsia="zh-CN"/>
        </w:rPr>
        <w:t>，</w:t>
      </w:r>
      <w:r>
        <w:rPr>
          <w:rFonts w:hint="default" w:ascii="Times New Roman" w:hAnsi="Times New Roman" w:eastAsia="仿宋" w:cs="Times New Roman"/>
          <w:kern w:val="0"/>
          <w:sz w:val="30"/>
          <w:szCs w:val="30"/>
          <w:highlight w:val="none"/>
        </w:rPr>
        <w:t>事业管理人员和专业技术人员</w:t>
      </w:r>
      <w:r>
        <w:rPr>
          <w:rFonts w:hint="default" w:ascii="Times New Roman" w:hAnsi="Times New Roman" w:eastAsia="仿宋" w:cs="Times New Roman"/>
          <w:color w:val="auto"/>
          <w:sz w:val="30"/>
          <w:szCs w:val="30"/>
          <w:lang w:val="en-US" w:eastAsia="zh-CN"/>
        </w:rPr>
        <w:t>248</w:t>
      </w:r>
      <w:r>
        <w:rPr>
          <w:rFonts w:hint="default" w:ascii="Times New Roman" w:hAnsi="Times New Roman" w:eastAsia="仿宋" w:cs="Times New Roman"/>
          <w:kern w:val="0"/>
          <w:sz w:val="30"/>
          <w:szCs w:val="30"/>
          <w:highlight w:val="none"/>
        </w:rPr>
        <w:t>人，机关和事业工人</w:t>
      </w:r>
      <w:r>
        <w:rPr>
          <w:rFonts w:hint="default" w:ascii="Times New Roman" w:hAnsi="Times New Roman" w:eastAsia="仿宋" w:cs="Times New Roman"/>
          <w:color w:val="auto"/>
          <w:sz w:val="30"/>
          <w:szCs w:val="30"/>
          <w:lang w:val="en-US" w:eastAsia="zh-CN"/>
        </w:rPr>
        <w:t>0</w:t>
      </w:r>
      <w:r>
        <w:rPr>
          <w:rFonts w:hint="default" w:ascii="Times New Roman" w:hAnsi="Times New Roman" w:eastAsia="仿宋" w:cs="Times New Roman"/>
          <w:kern w:val="0"/>
          <w:sz w:val="30"/>
          <w:szCs w:val="30"/>
          <w:highlight w:val="none"/>
        </w:rPr>
        <w:t>人</w:t>
      </w:r>
      <w:r>
        <w:rPr>
          <w:rFonts w:hint="default" w:ascii="Times New Roman" w:hAnsi="Times New Roman" w:eastAsia="仿宋" w:cs="Times New Roman"/>
          <w:kern w:val="0"/>
          <w:sz w:val="30"/>
          <w:szCs w:val="30"/>
          <w:highlight w:val="none"/>
          <w:lang w:eastAsia="zh-CN"/>
        </w:rPr>
        <w:t>；经费自理人员</w:t>
      </w:r>
      <w:r>
        <w:rPr>
          <w:rFonts w:hint="default" w:ascii="Times New Roman" w:hAnsi="Times New Roman" w:eastAsia="仿宋" w:cs="Times New Roman"/>
          <w:color w:val="auto"/>
          <w:sz w:val="30"/>
          <w:szCs w:val="30"/>
          <w:lang w:val="en-US" w:eastAsia="zh-CN"/>
        </w:rPr>
        <w:t>0</w:t>
      </w:r>
      <w:r>
        <w:rPr>
          <w:rFonts w:hint="default" w:ascii="Times New Roman" w:hAnsi="Times New Roman" w:eastAsia="仿宋" w:cs="Times New Roman"/>
          <w:kern w:val="0"/>
          <w:sz w:val="30"/>
          <w:szCs w:val="30"/>
          <w:highlight w:val="none"/>
        </w:rPr>
        <w:t>人</w:t>
      </w:r>
      <w:r>
        <w:rPr>
          <w:rFonts w:hint="default" w:ascii="Times New Roman" w:hAnsi="Times New Roman" w:eastAsia="仿宋" w:cs="Times New Roman"/>
          <w:kern w:val="0"/>
          <w:sz w:val="30"/>
          <w:szCs w:val="30"/>
          <w:highlight w:val="none"/>
          <w:lang w:eastAsia="zh-CN"/>
        </w:rPr>
        <w:t>。</w:t>
      </w:r>
    </w:p>
    <w:p w14:paraId="4F968E35">
      <w:pPr>
        <w:keepNext w:val="0"/>
        <w:keepLines w:val="0"/>
        <w:pageBreakBefore w:val="0"/>
        <w:widowControl w:val="0"/>
        <w:kinsoku/>
        <w:wordWrap/>
        <w:overflowPunct/>
        <w:topLinePunct w:val="0"/>
        <w:autoSpaceDE/>
        <w:autoSpaceDN/>
        <w:bidi w:val="0"/>
        <w:adjustRightInd/>
        <w:snapToGrid/>
        <w:spacing w:line="590" w:lineRule="exact"/>
        <w:ind w:firstLine="600" w:firstLineChars="200"/>
        <w:textAlignment w:val="auto"/>
        <w:rPr>
          <w:rFonts w:hint="default" w:ascii="Times New Roman" w:hAnsi="Times New Roman" w:eastAsia="仿宋" w:cs="Times New Roman"/>
          <w:kern w:val="0"/>
          <w:sz w:val="30"/>
          <w:szCs w:val="30"/>
          <w:highlight w:val="none"/>
          <w:lang w:val="en-US" w:eastAsia="zh-CN"/>
        </w:rPr>
      </w:pPr>
      <w:r>
        <w:rPr>
          <w:rFonts w:hint="default" w:ascii="Times New Roman" w:hAnsi="Times New Roman" w:eastAsia="仿宋" w:cs="Times New Roman"/>
          <w:sz w:val="30"/>
          <w:szCs w:val="30"/>
          <w:highlight w:val="none"/>
          <w:lang w:eastAsia="zh-CN"/>
        </w:rPr>
        <w:t>我单位</w:t>
      </w:r>
      <w:r>
        <w:rPr>
          <w:rFonts w:hint="default" w:ascii="Times New Roman" w:hAnsi="Times New Roman" w:eastAsia="仿宋" w:cs="Times New Roman"/>
          <w:sz w:val="30"/>
          <w:szCs w:val="30"/>
          <w:highlight w:val="none"/>
          <w:lang w:val="en-US" w:eastAsia="zh-CN"/>
        </w:rPr>
        <w:t>2025</w:t>
      </w:r>
      <w:r>
        <w:rPr>
          <w:rFonts w:hint="default" w:ascii="Times New Roman" w:hAnsi="Times New Roman" w:eastAsia="仿宋" w:cs="Times New Roman"/>
          <w:sz w:val="30"/>
          <w:szCs w:val="30"/>
          <w:highlight w:val="none"/>
        </w:rPr>
        <w:t>年末</w:t>
      </w:r>
      <w:r>
        <w:rPr>
          <w:rFonts w:hint="default" w:ascii="Times New Roman" w:hAnsi="Times New Roman" w:eastAsia="仿宋" w:cs="Times New Roman"/>
          <w:sz w:val="30"/>
          <w:szCs w:val="30"/>
          <w:highlight w:val="none"/>
          <w:lang w:eastAsia="zh-CN"/>
        </w:rPr>
        <w:t>其他人员</w:t>
      </w:r>
      <w:r>
        <w:rPr>
          <w:rFonts w:hint="default" w:ascii="Times New Roman" w:hAnsi="Times New Roman" w:eastAsia="仿宋" w:cs="Times New Roman"/>
          <w:color w:val="auto"/>
          <w:sz w:val="30"/>
          <w:szCs w:val="30"/>
          <w:lang w:val="en-US" w:eastAsia="zh-CN"/>
        </w:rPr>
        <w:t>0</w:t>
      </w:r>
      <w:r>
        <w:rPr>
          <w:rFonts w:hint="default" w:ascii="Times New Roman" w:hAnsi="Times New Roman" w:eastAsia="仿宋" w:cs="Times New Roman"/>
          <w:sz w:val="30"/>
          <w:szCs w:val="30"/>
          <w:highlight w:val="none"/>
          <w:lang w:val="en-US" w:eastAsia="zh-CN"/>
        </w:rPr>
        <w:t>人。包括财政拨款开支经费的人员</w:t>
      </w:r>
      <w:r>
        <w:rPr>
          <w:rFonts w:hint="default" w:ascii="Times New Roman" w:hAnsi="Times New Roman" w:eastAsia="仿宋" w:cs="Times New Roman"/>
          <w:color w:val="auto"/>
          <w:sz w:val="30"/>
          <w:szCs w:val="30"/>
          <w:lang w:val="en-US" w:eastAsia="zh-CN"/>
        </w:rPr>
        <w:t>0</w:t>
      </w:r>
      <w:r>
        <w:rPr>
          <w:rFonts w:hint="default" w:ascii="Times New Roman" w:hAnsi="Times New Roman" w:eastAsia="仿宋" w:cs="Times New Roman"/>
          <w:sz w:val="30"/>
          <w:szCs w:val="30"/>
          <w:highlight w:val="none"/>
          <w:lang w:eastAsia="zh-CN"/>
        </w:rPr>
        <w:t>人；经费自理人员</w:t>
      </w:r>
      <w:r>
        <w:rPr>
          <w:rFonts w:hint="default" w:ascii="Times New Roman" w:hAnsi="Times New Roman" w:eastAsia="仿宋" w:cs="Times New Roman"/>
          <w:color w:val="auto"/>
          <w:sz w:val="30"/>
          <w:szCs w:val="30"/>
          <w:lang w:val="en-US" w:eastAsia="zh-CN"/>
        </w:rPr>
        <w:t>0</w:t>
      </w:r>
      <w:r>
        <w:rPr>
          <w:rFonts w:hint="default" w:ascii="Times New Roman" w:hAnsi="Times New Roman" w:eastAsia="仿宋" w:cs="Times New Roman"/>
          <w:sz w:val="30"/>
          <w:szCs w:val="30"/>
          <w:highlight w:val="none"/>
          <w:lang w:eastAsia="zh-CN"/>
        </w:rPr>
        <w:t>人。</w:t>
      </w:r>
    </w:p>
    <w:p w14:paraId="60276D37">
      <w:pPr>
        <w:keepNext w:val="0"/>
        <w:keepLines w:val="0"/>
        <w:pageBreakBefore w:val="0"/>
        <w:widowControl w:val="0"/>
        <w:kinsoku/>
        <w:wordWrap/>
        <w:overflowPunct/>
        <w:topLinePunct w:val="0"/>
        <w:autoSpaceDE/>
        <w:autoSpaceDN/>
        <w:bidi w:val="0"/>
        <w:adjustRightInd/>
        <w:snapToGrid/>
        <w:spacing w:line="590" w:lineRule="exact"/>
        <w:ind w:firstLine="600" w:firstLineChars="200"/>
        <w:textAlignment w:val="auto"/>
        <w:rPr>
          <w:rFonts w:hint="default" w:ascii="Times New Roman" w:hAnsi="Times New Roman" w:eastAsia="仿宋" w:cs="Times New Roman"/>
          <w:kern w:val="0"/>
          <w:sz w:val="30"/>
          <w:szCs w:val="30"/>
          <w:highlight w:val="none"/>
          <w:lang w:val="en-US" w:eastAsia="zh-CN"/>
        </w:rPr>
      </w:pPr>
      <w:r>
        <w:rPr>
          <w:rFonts w:hint="default" w:ascii="Times New Roman" w:hAnsi="Times New Roman" w:eastAsia="仿宋" w:cs="Times New Roman"/>
          <w:i w:val="0"/>
          <w:iCs w:val="0"/>
          <w:kern w:val="0"/>
          <w:sz w:val="30"/>
          <w:szCs w:val="30"/>
          <w:highlight w:val="none"/>
          <w:lang w:eastAsia="zh-CN"/>
        </w:rPr>
        <w:t>年末单位发放离退休费的</w:t>
      </w:r>
      <w:r>
        <w:rPr>
          <w:rFonts w:hint="default" w:ascii="Times New Roman" w:hAnsi="Times New Roman" w:eastAsia="仿宋" w:cs="Times New Roman"/>
          <w:i w:val="0"/>
          <w:iCs w:val="0"/>
          <w:strike w:val="0"/>
          <w:dstrike w:val="0"/>
          <w:color w:val="auto"/>
          <w:kern w:val="0"/>
          <w:sz w:val="30"/>
          <w:szCs w:val="30"/>
          <w:highlight w:val="none"/>
        </w:rPr>
        <w:t>离</w:t>
      </w:r>
      <w:r>
        <w:rPr>
          <w:rFonts w:hint="default" w:ascii="Times New Roman" w:hAnsi="Times New Roman" w:eastAsia="仿宋" w:cs="Times New Roman"/>
          <w:i w:val="0"/>
          <w:iCs w:val="0"/>
          <w:kern w:val="0"/>
          <w:sz w:val="30"/>
          <w:szCs w:val="30"/>
          <w:highlight w:val="none"/>
        </w:rPr>
        <w:t>退休人员</w:t>
      </w:r>
      <w:r>
        <w:rPr>
          <w:rFonts w:hint="default" w:ascii="Times New Roman" w:hAnsi="Times New Roman" w:eastAsia="仿宋" w:cs="Times New Roman"/>
          <w:i w:val="0"/>
          <w:iCs w:val="0"/>
          <w:kern w:val="0"/>
          <w:sz w:val="30"/>
          <w:szCs w:val="30"/>
          <w:highlight w:val="none"/>
          <w:lang w:eastAsia="zh-CN"/>
        </w:rPr>
        <w:t>共计</w:t>
      </w:r>
      <w:r>
        <w:rPr>
          <w:rFonts w:hint="default" w:ascii="Times New Roman" w:hAnsi="Times New Roman" w:eastAsia="仿宋" w:cs="Times New Roman"/>
          <w:color w:val="auto"/>
          <w:sz w:val="30"/>
          <w:szCs w:val="30"/>
          <w:lang w:val="en-US" w:eastAsia="zh-CN"/>
        </w:rPr>
        <w:t>0</w:t>
      </w:r>
      <w:r>
        <w:rPr>
          <w:rFonts w:hint="default" w:ascii="Times New Roman" w:hAnsi="Times New Roman" w:eastAsia="仿宋" w:cs="Times New Roman"/>
          <w:kern w:val="0"/>
          <w:sz w:val="30"/>
          <w:szCs w:val="30"/>
          <w:highlight w:val="none"/>
        </w:rPr>
        <w:t>人</w:t>
      </w:r>
      <w:r>
        <w:rPr>
          <w:rFonts w:hint="default" w:ascii="Times New Roman" w:hAnsi="Times New Roman" w:eastAsia="仿宋" w:cs="Times New Roman"/>
          <w:kern w:val="0"/>
          <w:sz w:val="30"/>
          <w:szCs w:val="30"/>
          <w:highlight w:val="none"/>
          <w:lang w:eastAsia="zh-CN"/>
        </w:rPr>
        <w:t>（</w:t>
      </w:r>
      <w:r>
        <w:rPr>
          <w:rFonts w:hint="default" w:ascii="Times New Roman" w:hAnsi="Times New Roman" w:eastAsia="仿宋" w:cs="Times New Roman"/>
          <w:kern w:val="0"/>
          <w:sz w:val="30"/>
          <w:szCs w:val="30"/>
          <w:highlight w:val="none"/>
        </w:rPr>
        <w:t>离休</w:t>
      </w:r>
      <w:r>
        <w:rPr>
          <w:rFonts w:hint="default" w:ascii="Times New Roman" w:hAnsi="Times New Roman" w:eastAsia="仿宋" w:cs="Times New Roman"/>
          <w:color w:val="auto"/>
          <w:sz w:val="30"/>
          <w:szCs w:val="30"/>
          <w:lang w:val="en-US" w:eastAsia="zh-CN"/>
        </w:rPr>
        <w:t>0</w:t>
      </w:r>
      <w:r>
        <w:rPr>
          <w:rFonts w:hint="default" w:ascii="Times New Roman" w:hAnsi="Times New Roman" w:eastAsia="仿宋" w:cs="Times New Roman"/>
          <w:kern w:val="0"/>
          <w:sz w:val="30"/>
          <w:szCs w:val="30"/>
          <w:highlight w:val="none"/>
        </w:rPr>
        <w:t>人，退休</w:t>
      </w:r>
      <w:r>
        <w:rPr>
          <w:rFonts w:hint="default" w:ascii="Times New Roman" w:hAnsi="Times New Roman" w:eastAsia="仿宋" w:cs="Times New Roman"/>
          <w:color w:val="auto"/>
          <w:sz w:val="30"/>
          <w:szCs w:val="30"/>
          <w:lang w:val="en-US" w:eastAsia="zh-CN"/>
        </w:rPr>
        <w:t>0</w:t>
      </w:r>
      <w:r>
        <w:rPr>
          <w:rFonts w:hint="default" w:ascii="Times New Roman" w:hAnsi="Times New Roman" w:eastAsia="仿宋" w:cs="Times New Roman"/>
          <w:kern w:val="0"/>
          <w:sz w:val="30"/>
          <w:szCs w:val="30"/>
          <w:highlight w:val="none"/>
        </w:rPr>
        <w:t>人</w:t>
      </w:r>
      <w:r>
        <w:rPr>
          <w:rFonts w:hint="default" w:ascii="Times New Roman" w:hAnsi="Times New Roman" w:eastAsia="仿宋" w:cs="Times New Roman"/>
          <w:kern w:val="0"/>
          <w:sz w:val="30"/>
          <w:szCs w:val="30"/>
          <w:highlight w:val="none"/>
          <w:lang w:eastAsia="zh-CN"/>
        </w:rPr>
        <w:t>）。年末</w:t>
      </w:r>
      <w:r>
        <w:rPr>
          <w:rFonts w:hint="default" w:ascii="Times New Roman" w:hAnsi="Times New Roman" w:eastAsia="仿宋" w:cs="Times New Roman"/>
          <w:kern w:val="0"/>
          <w:sz w:val="30"/>
          <w:szCs w:val="30"/>
          <w:highlight w:val="none"/>
        </w:rPr>
        <w:t>由养老保险基金发放养老金的离退休人员</w:t>
      </w:r>
      <w:r>
        <w:rPr>
          <w:rFonts w:hint="default" w:ascii="Times New Roman" w:hAnsi="Times New Roman" w:eastAsia="仿宋" w:cs="Times New Roman"/>
          <w:color w:val="auto"/>
          <w:sz w:val="30"/>
          <w:szCs w:val="30"/>
          <w:lang w:val="en-US" w:eastAsia="zh-CN"/>
        </w:rPr>
        <w:t>96</w:t>
      </w:r>
      <w:r>
        <w:rPr>
          <w:rFonts w:hint="default" w:ascii="Times New Roman" w:hAnsi="Times New Roman" w:eastAsia="仿宋" w:cs="Times New Roman"/>
          <w:kern w:val="0"/>
          <w:sz w:val="30"/>
          <w:szCs w:val="30"/>
          <w:highlight w:val="none"/>
          <w:lang w:val="en-US" w:eastAsia="zh-CN"/>
        </w:rPr>
        <w:t>人</w:t>
      </w:r>
      <w:r>
        <w:rPr>
          <w:rFonts w:hint="default" w:ascii="Times New Roman" w:hAnsi="Times New Roman" w:eastAsia="仿宋" w:cs="Times New Roman"/>
          <w:kern w:val="0"/>
          <w:sz w:val="30"/>
          <w:szCs w:val="30"/>
          <w:highlight w:val="none"/>
          <w:lang w:eastAsia="zh-CN"/>
        </w:rPr>
        <w:t>（</w:t>
      </w:r>
      <w:r>
        <w:rPr>
          <w:rFonts w:hint="default" w:ascii="Times New Roman" w:hAnsi="Times New Roman" w:eastAsia="仿宋" w:cs="Times New Roman"/>
          <w:kern w:val="0"/>
          <w:sz w:val="30"/>
          <w:szCs w:val="30"/>
          <w:highlight w:val="none"/>
        </w:rPr>
        <w:t>离休</w:t>
      </w:r>
      <w:r>
        <w:rPr>
          <w:rFonts w:hint="default" w:ascii="Times New Roman" w:hAnsi="Times New Roman" w:eastAsia="仿宋" w:cs="Times New Roman"/>
          <w:color w:val="auto"/>
          <w:sz w:val="30"/>
          <w:szCs w:val="30"/>
          <w:lang w:val="en-US" w:eastAsia="zh-CN"/>
        </w:rPr>
        <w:t>0</w:t>
      </w:r>
      <w:r>
        <w:rPr>
          <w:rFonts w:hint="default" w:ascii="Times New Roman" w:hAnsi="Times New Roman" w:eastAsia="仿宋" w:cs="Times New Roman"/>
          <w:kern w:val="0"/>
          <w:sz w:val="30"/>
          <w:szCs w:val="30"/>
          <w:highlight w:val="none"/>
        </w:rPr>
        <w:t>人，退休</w:t>
      </w:r>
      <w:r>
        <w:rPr>
          <w:rFonts w:hint="default" w:ascii="Times New Roman" w:hAnsi="Times New Roman" w:eastAsia="仿宋" w:cs="Times New Roman"/>
          <w:color w:val="auto"/>
          <w:sz w:val="30"/>
          <w:szCs w:val="30"/>
          <w:lang w:val="en-US" w:eastAsia="zh-CN"/>
        </w:rPr>
        <w:t>96</w:t>
      </w:r>
      <w:r>
        <w:rPr>
          <w:rFonts w:hint="default" w:ascii="Times New Roman" w:hAnsi="Times New Roman" w:eastAsia="仿宋" w:cs="Times New Roman"/>
          <w:kern w:val="0"/>
          <w:sz w:val="30"/>
          <w:szCs w:val="30"/>
          <w:highlight w:val="none"/>
        </w:rPr>
        <w:t>人</w:t>
      </w:r>
      <w:r>
        <w:rPr>
          <w:rFonts w:hint="default" w:ascii="Times New Roman" w:hAnsi="Times New Roman" w:eastAsia="仿宋" w:cs="Times New Roman"/>
          <w:kern w:val="0"/>
          <w:sz w:val="30"/>
          <w:szCs w:val="30"/>
          <w:highlight w:val="none"/>
          <w:lang w:eastAsia="zh-CN"/>
        </w:rPr>
        <w:t>）</w:t>
      </w:r>
      <w:r>
        <w:rPr>
          <w:rFonts w:hint="default" w:ascii="Times New Roman" w:hAnsi="Times New Roman" w:eastAsia="仿宋" w:cs="Times New Roman"/>
          <w:kern w:val="0"/>
          <w:sz w:val="30"/>
          <w:szCs w:val="30"/>
          <w:highlight w:val="none"/>
        </w:rPr>
        <w:t>。</w:t>
      </w:r>
      <w:r>
        <w:rPr>
          <w:rFonts w:hint="default" w:ascii="Times New Roman" w:hAnsi="Times New Roman" w:eastAsia="仿宋" w:cs="Times New Roman"/>
          <w:kern w:val="0"/>
          <w:sz w:val="30"/>
          <w:szCs w:val="30"/>
          <w:highlight w:val="none"/>
          <w:lang w:val="en-US" w:eastAsia="zh-CN"/>
        </w:rPr>
        <w:t>年末学生</w:t>
      </w:r>
      <w:r>
        <w:rPr>
          <w:rFonts w:hint="default" w:ascii="Times New Roman" w:hAnsi="Times New Roman" w:eastAsia="仿宋" w:cs="Times New Roman"/>
          <w:color w:val="auto"/>
          <w:sz w:val="30"/>
          <w:szCs w:val="30"/>
          <w:lang w:val="en-US" w:eastAsia="zh-CN"/>
        </w:rPr>
        <w:t>2</w:t>
      </w:r>
      <w:r>
        <w:rPr>
          <w:rFonts w:hint="eastAsia" w:ascii="Times New Roman" w:hAnsi="Times New Roman" w:eastAsia="仿宋" w:cs="Times New Roman"/>
          <w:color w:val="auto"/>
          <w:sz w:val="30"/>
          <w:szCs w:val="30"/>
          <w:lang w:val="en-US" w:eastAsia="zh-CN"/>
        </w:rPr>
        <w:t>,</w:t>
      </w:r>
      <w:r>
        <w:rPr>
          <w:rFonts w:hint="default" w:ascii="Times New Roman" w:hAnsi="Times New Roman" w:eastAsia="仿宋" w:cs="Times New Roman"/>
          <w:color w:val="auto"/>
          <w:sz w:val="30"/>
          <w:szCs w:val="30"/>
          <w:lang w:val="en-US" w:eastAsia="zh-CN"/>
        </w:rPr>
        <w:t>837</w:t>
      </w:r>
      <w:r>
        <w:rPr>
          <w:rFonts w:hint="default" w:ascii="Times New Roman" w:hAnsi="Times New Roman" w:eastAsia="仿宋" w:cs="Times New Roman"/>
          <w:kern w:val="0"/>
          <w:sz w:val="30"/>
          <w:szCs w:val="30"/>
          <w:highlight w:val="none"/>
          <w:lang w:val="en-US" w:eastAsia="zh-CN"/>
        </w:rPr>
        <w:t>人。年末遗属</w:t>
      </w:r>
      <w:r>
        <w:rPr>
          <w:rFonts w:hint="default" w:ascii="Times New Roman" w:hAnsi="Times New Roman" w:eastAsia="仿宋" w:cs="Times New Roman"/>
          <w:color w:val="auto"/>
          <w:sz w:val="30"/>
          <w:szCs w:val="30"/>
          <w:lang w:val="en-US" w:eastAsia="zh-CN"/>
        </w:rPr>
        <w:t>17</w:t>
      </w:r>
      <w:r>
        <w:rPr>
          <w:rFonts w:hint="default" w:ascii="Times New Roman" w:hAnsi="Times New Roman" w:eastAsia="仿宋" w:cs="Times New Roman"/>
          <w:kern w:val="0"/>
          <w:sz w:val="30"/>
          <w:szCs w:val="30"/>
          <w:highlight w:val="none"/>
          <w:lang w:val="en-US" w:eastAsia="zh-CN"/>
        </w:rPr>
        <w:t>人。</w:t>
      </w:r>
    </w:p>
    <w:p w14:paraId="0561C395">
      <w:pPr>
        <w:keepNext w:val="0"/>
        <w:keepLines w:val="0"/>
        <w:pageBreakBefore w:val="0"/>
        <w:widowControl w:val="0"/>
        <w:kinsoku/>
        <w:wordWrap/>
        <w:overflowPunct/>
        <w:topLinePunct w:val="0"/>
        <w:autoSpaceDE/>
        <w:autoSpaceDN/>
        <w:bidi w:val="0"/>
        <w:adjustRightInd/>
        <w:snapToGrid/>
        <w:spacing w:line="590" w:lineRule="exact"/>
        <w:ind w:firstLine="600" w:firstLineChars="200"/>
        <w:jc w:val="left"/>
        <w:textAlignment w:val="auto"/>
        <w:rPr>
          <w:rFonts w:hint="default" w:ascii="Times New Roman" w:hAnsi="Times New Roman" w:eastAsia="仿宋" w:cs="Times New Roman"/>
          <w:color w:val="FF0000"/>
          <w:kern w:val="0"/>
          <w:sz w:val="30"/>
          <w:szCs w:val="30"/>
          <w:highlight w:val="none"/>
          <w:lang w:val="en-US"/>
        </w:rPr>
      </w:pPr>
      <w:r>
        <w:rPr>
          <w:rFonts w:hint="default" w:ascii="Times New Roman" w:hAnsi="Times New Roman" w:eastAsia="仿宋" w:cs="Times New Roman"/>
          <w:b w:val="0"/>
          <w:bCs w:val="0"/>
          <w:sz w:val="30"/>
          <w:szCs w:val="30"/>
          <w:highlight w:val="none"/>
          <w:u w:val="none"/>
          <w:lang w:val="en-US" w:eastAsia="zh-CN"/>
        </w:rPr>
        <w:t>车辆编制0辆，在编实有车辆0辆，超编0辆。</w:t>
      </w:r>
    </w:p>
    <w:p w14:paraId="7246799C">
      <w:pPr>
        <w:keepNext w:val="0"/>
        <w:keepLines w:val="0"/>
        <w:pageBreakBefore w:val="0"/>
        <w:widowControl w:val="0"/>
        <w:kinsoku/>
        <w:wordWrap/>
        <w:overflowPunct/>
        <w:topLinePunct w:val="0"/>
        <w:autoSpaceDE/>
        <w:autoSpaceDN/>
        <w:bidi w:val="0"/>
        <w:adjustRightInd/>
        <w:snapToGrid/>
        <w:spacing w:line="590" w:lineRule="exact"/>
        <w:ind w:firstLine="600" w:firstLineChars="200"/>
        <w:textAlignment w:val="auto"/>
        <w:outlineLvl w:val="1"/>
        <w:rPr>
          <w:rFonts w:hint="eastAsia" w:ascii="黑体" w:hAnsi="黑体" w:eastAsia="黑体"/>
          <w:sz w:val="30"/>
          <w:szCs w:val="30"/>
          <w:highlight w:val="none"/>
          <w:lang w:eastAsia="zh-CN"/>
        </w:rPr>
      </w:pPr>
      <w:r>
        <w:rPr>
          <w:rFonts w:hint="eastAsia" w:ascii="黑体" w:hAnsi="黑体" w:eastAsia="黑体"/>
          <w:sz w:val="30"/>
          <w:szCs w:val="30"/>
          <w:highlight w:val="none"/>
          <w:lang w:eastAsia="zh-CN"/>
        </w:rPr>
        <w:t>三、重点工作概述</w:t>
      </w:r>
    </w:p>
    <w:p w14:paraId="50C65B69">
      <w:pPr>
        <w:keepNext w:val="0"/>
        <w:keepLines w:val="0"/>
        <w:pageBreakBefore w:val="0"/>
        <w:widowControl w:val="0"/>
        <w:kinsoku/>
        <w:wordWrap/>
        <w:overflowPunct/>
        <w:topLinePunct w:val="0"/>
        <w:autoSpaceDE/>
        <w:autoSpaceDN/>
        <w:bidi w:val="0"/>
        <w:adjustRightInd/>
        <w:snapToGrid/>
        <w:spacing w:line="590" w:lineRule="exact"/>
        <w:ind w:firstLine="600" w:firstLineChars="200"/>
        <w:jc w:val="left"/>
        <w:textAlignment w:val="auto"/>
        <w:rPr>
          <w:rFonts w:hint="default" w:ascii="Times New Roman" w:hAnsi="Times New Roman" w:eastAsia="仿宋" w:cs="Times New Roman"/>
          <w:kern w:val="0"/>
          <w:sz w:val="30"/>
          <w:szCs w:val="30"/>
          <w:highlight w:val="none"/>
        </w:rPr>
      </w:pPr>
      <w:r>
        <w:rPr>
          <w:rFonts w:hint="default" w:ascii="Times New Roman" w:hAnsi="Times New Roman" w:eastAsia="仿宋" w:cs="Times New Roman"/>
          <w:kern w:val="0"/>
          <w:sz w:val="30"/>
          <w:szCs w:val="30"/>
          <w:highlight w:val="none"/>
        </w:rPr>
        <w:t>1.抓好学校行政队伍。学校以“团结进取、开拓创新、求真务实”为目标，扎实开展行政队伍建设。首先是及时调整中层管理人员。本年度因学校分级部管理（宁德部和宁智部），学校中层变动较大，组建后的中层干部，除之前已经担任相应职务的，新提拔了9位教师。然后是重视行政人员培训学习，坚持每周五上午例会，讨论学校重大问题，形成集体意识；行政例会集中学习、统一思想、相互激励，进行工作总结和计划安排。本年度有3位班子成员外出参与“万名”校长培训学习。最后是所有行政人员兼课和包班听课，深入教室包班听课每周不少于2节，并参与全天值班。</w:t>
      </w:r>
    </w:p>
    <w:p w14:paraId="7FBB6F75">
      <w:pPr>
        <w:keepNext w:val="0"/>
        <w:keepLines w:val="0"/>
        <w:pageBreakBefore w:val="0"/>
        <w:widowControl w:val="0"/>
        <w:kinsoku/>
        <w:wordWrap/>
        <w:overflowPunct/>
        <w:topLinePunct w:val="0"/>
        <w:autoSpaceDE/>
        <w:autoSpaceDN/>
        <w:bidi w:val="0"/>
        <w:adjustRightInd/>
        <w:snapToGrid/>
        <w:spacing w:line="590" w:lineRule="exact"/>
        <w:ind w:firstLine="600" w:firstLineChars="200"/>
        <w:jc w:val="left"/>
        <w:textAlignment w:val="auto"/>
        <w:rPr>
          <w:rFonts w:hint="default" w:ascii="Times New Roman" w:hAnsi="Times New Roman" w:eastAsia="仿宋" w:cs="Times New Roman"/>
          <w:kern w:val="0"/>
          <w:sz w:val="30"/>
          <w:szCs w:val="30"/>
          <w:highlight w:val="none"/>
        </w:rPr>
      </w:pPr>
      <w:r>
        <w:rPr>
          <w:rFonts w:hint="default" w:ascii="Times New Roman" w:hAnsi="Times New Roman" w:eastAsia="仿宋" w:cs="Times New Roman"/>
          <w:kern w:val="0"/>
          <w:sz w:val="30"/>
          <w:szCs w:val="30"/>
          <w:highlight w:val="none"/>
        </w:rPr>
        <w:t>2.抓好学校教师队伍。加强师德教育，提高师德修养。2025年我校将支部融入级部管理，撤销原先的语文、数学、英语、文综、理综、体艺信管六个党支部，新成立宁智、宁德和综合3个党支部，将党支部建立在级部，加强师德师风建设，引导教师严守职业规范，恪守职业道德，弘扬爱岗敬业、关爱学生、团结协作、乐于奉献的精神风貌。积极组织教师参与校级、市级各类教学研讨、培训观摩活动。累计选派50名名师工作室教师参加市级培训各4次。20余人次参加省级以上培训，218人次参加市级联合教研培训。培训归来的教师，通过校内二次培训、公开课等形式在本组进行分享所学，实现了“一人受训，全员受益”的辐射效应。</w:t>
      </w:r>
    </w:p>
    <w:p w14:paraId="2E3C77D4">
      <w:pPr>
        <w:keepNext w:val="0"/>
        <w:keepLines w:val="0"/>
        <w:pageBreakBefore w:val="0"/>
        <w:widowControl w:val="0"/>
        <w:kinsoku/>
        <w:wordWrap/>
        <w:overflowPunct/>
        <w:topLinePunct w:val="0"/>
        <w:autoSpaceDE/>
        <w:autoSpaceDN/>
        <w:bidi w:val="0"/>
        <w:adjustRightInd/>
        <w:snapToGrid/>
        <w:spacing w:line="590" w:lineRule="exact"/>
        <w:ind w:firstLine="600" w:firstLineChars="200"/>
        <w:jc w:val="left"/>
        <w:textAlignment w:val="auto"/>
        <w:rPr>
          <w:rFonts w:hint="default" w:ascii="Times New Roman" w:hAnsi="Times New Roman" w:eastAsia="仿宋" w:cs="Times New Roman"/>
          <w:kern w:val="0"/>
          <w:sz w:val="30"/>
          <w:szCs w:val="30"/>
          <w:highlight w:val="none"/>
        </w:rPr>
      </w:pPr>
      <w:r>
        <w:rPr>
          <w:rFonts w:hint="default" w:ascii="Times New Roman" w:hAnsi="Times New Roman" w:eastAsia="仿宋" w:cs="Times New Roman"/>
          <w:kern w:val="0"/>
          <w:sz w:val="30"/>
          <w:szCs w:val="30"/>
          <w:highlight w:val="none"/>
        </w:rPr>
        <w:t>3.抓好学生队伍。我校持续开展以文明礼仪、纪律卫生、学习习惯、安全防护为重点的养成教育。通过每日检查、综合素质量化考核、榜样示范、个别谈话等方式，引导学生自觉遵守校纪校规，形成良好行为习惯；丰富德育主题活动载体，拓展综合素质；积极组织学生参加学校体艺节、百年校庆大型活动，并在年级内部每两周开展一次趣味活动、每个月一次电影观赏活动，高三学生高考备考减压活动。构建家校社协同育人网络，定期召开学生家长会，充分利用家长群、家访等渠道，保持家校沟通顺畅，形成育人合力。</w:t>
      </w:r>
    </w:p>
    <w:p w14:paraId="500D540C">
      <w:pPr>
        <w:keepNext w:val="0"/>
        <w:keepLines w:val="0"/>
        <w:pageBreakBefore w:val="0"/>
        <w:widowControl w:val="0"/>
        <w:kinsoku/>
        <w:wordWrap/>
        <w:overflowPunct/>
        <w:topLinePunct w:val="0"/>
        <w:autoSpaceDE/>
        <w:autoSpaceDN/>
        <w:bidi w:val="0"/>
        <w:adjustRightInd/>
        <w:snapToGrid/>
        <w:spacing w:line="590" w:lineRule="exact"/>
        <w:ind w:firstLine="600" w:firstLineChars="200"/>
        <w:jc w:val="left"/>
        <w:textAlignment w:val="auto"/>
        <w:rPr>
          <w:rFonts w:hint="default" w:ascii="Times New Roman" w:hAnsi="Times New Roman" w:eastAsia="仿宋" w:cs="Times New Roman"/>
          <w:kern w:val="0"/>
          <w:sz w:val="30"/>
          <w:szCs w:val="30"/>
          <w:highlight w:val="none"/>
        </w:rPr>
      </w:pPr>
      <w:r>
        <w:rPr>
          <w:rFonts w:hint="default" w:ascii="Times New Roman" w:hAnsi="Times New Roman" w:eastAsia="仿宋" w:cs="Times New Roman"/>
          <w:kern w:val="0"/>
          <w:sz w:val="30"/>
          <w:szCs w:val="30"/>
          <w:highlight w:val="none"/>
        </w:rPr>
        <w:t>4.以高考备考为重点。学生的管理，以学生为主。分层教学：春招班、体艺特长班、文化普通班、文化培优班、600分培养。分层教学、目标明确，班级目标明确、学生目标明确。深化教学管理，保障常规运行规范有序，依据学校教学管理制度，细化并落实年级教学常规要求。加强对备课、课堂教学、作业布置与批改、课后辅导及阶段性检测等环节的巡查、反馈与改进，确保教学过程规范、有序、高效。加强对自习课、早午晚“三读”的协调安排与管理，提升时间利用效率。召开质量分析会，总结经验，查找问题，制定改进措施。对学困生和潜力生建立跟踪档案，实施个性化辅导。</w:t>
      </w:r>
    </w:p>
    <w:p w14:paraId="393913D1">
      <w:pPr>
        <w:keepNext w:val="0"/>
        <w:keepLines w:val="0"/>
        <w:pageBreakBefore w:val="0"/>
        <w:widowControl w:val="0"/>
        <w:kinsoku/>
        <w:wordWrap/>
        <w:overflowPunct/>
        <w:topLinePunct w:val="0"/>
        <w:autoSpaceDE/>
        <w:autoSpaceDN/>
        <w:bidi w:val="0"/>
        <w:adjustRightInd/>
        <w:snapToGrid/>
        <w:spacing w:line="590" w:lineRule="exact"/>
        <w:ind w:firstLine="600" w:firstLineChars="200"/>
        <w:jc w:val="left"/>
        <w:textAlignment w:val="auto"/>
        <w:rPr>
          <w:rFonts w:hint="default" w:ascii="Times New Roman" w:hAnsi="Times New Roman" w:eastAsia="仿宋" w:cs="Times New Roman"/>
          <w:kern w:val="0"/>
          <w:sz w:val="30"/>
          <w:szCs w:val="30"/>
          <w:highlight w:val="none"/>
        </w:rPr>
      </w:pPr>
      <w:r>
        <w:rPr>
          <w:rFonts w:hint="default" w:ascii="Times New Roman" w:hAnsi="Times New Roman" w:eastAsia="仿宋" w:cs="Times New Roman"/>
          <w:kern w:val="0"/>
          <w:sz w:val="30"/>
          <w:szCs w:val="30"/>
          <w:highlight w:val="none"/>
        </w:rPr>
        <w:t>5.提升服务功能。在县委、政府、县教体局的关心和帮助下，目前，学校足球场已完成升级改造，学生资助款项和教师培训费用已基本解决，学生宿舍维修和教学楼排危改造积极推进。通过完善校园环境卫生管理制度，营造干净、整洁、温馨的育人环境。</w:t>
      </w:r>
    </w:p>
    <w:p w14:paraId="5D0C5083">
      <w:pPr>
        <w:keepNext w:val="0"/>
        <w:keepLines w:val="0"/>
        <w:pageBreakBefore w:val="0"/>
        <w:widowControl w:val="0"/>
        <w:kinsoku/>
        <w:wordWrap/>
        <w:overflowPunct/>
        <w:topLinePunct w:val="0"/>
        <w:autoSpaceDE/>
        <w:autoSpaceDN/>
        <w:bidi w:val="0"/>
        <w:adjustRightInd/>
        <w:snapToGrid/>
        <w:spacing w:line="590" w:lineRule="exact"/>
        <w:jc w:val="center"/>
        <w:textAlignment w:val="auto"/>
        <w:outlineLvl w:val="0"/>
        <w:rPr>
          <w:rFonts w:hint="eastAsia" w:ascii="黑体" w:hAnsi="黑体" w:eastAsia="黑体"/>
          <w:sz w:val="32"/>
          <w:szCs w:val="32"/>
          <w:highlight w:val="none"/>
        </w:rPr>
      </w:pPr>
      <w:r>
        <w:rPr>
          <w:rFonts w:hint="eastAsia" w:ascii="黑体" w:hAnsi="黑体" w:eastAsia="黑体"/>
          <w:sz w:val="32"/>
          <w:szCs w:val="32"/>
          <w:highlight w:val="none"/>
        </w:rPr>
        <w:t xml:space="preserve">第二部分  </w:t>
      </w:r>
      <w:r>
        <w:rPr>
          <w:rFonts w:hint="eastAsia" w:ascii="黑体" w:hAnsi="黑体" w:eastAsia="黑体"/>
          <w:sz w:val="32"/>
          <w:szCs w:val="32"/>
          <w:highlight w:val="none"/>
          <w:lang w:val="en-US" w:eastAsia="zh-CN"/>
        </w:rPr>
        <w:t>2025年度</w:t>
      </w:r>
      <w:r>
        <w:rPr>
          <w:rFonts w:hint="eastAsia" w:ascii="黑体" w:hAnsi="黑体" w:eastAsia="黑体"/>
          <w:sz w:val="32"/>
          <w:szCs w:val="32"/>
          <w:highlight w:val="none"/>
        </w:rPr>
        <w:t>部门决算表</w:t>
      </w:r>
    </w:p>
    <w:p w14:paraId="4D182D21">
      <w:pPr>
        <w:spacing w:line="600" w:lineRule="exact"/>
        <w:ind w:firstLine="600" w:firstLineChars="200"/>
        <w:jc w:val="center"/>
        <w:outlineLvl w:val="1"/>
        <w:rPr>
          <w:rFonts w:hint="eastAsia" w:ascii="仿宋_GB2312" w:eastAsia="仿宋_GB2312"/>
          <w:sz w:val="30"/>
          <w:szCs w:val="30"/>
          <w:highlight w:val="none"/>
        </w:rPr>
      </w:pPr>
      <w:r>
        <w:rPr>
          <w:rFonts w:hint="eastAsia" w:ascii="仿宋_GB2312" w:eastAsia="仿宋_GB2312"/>
          <w:sz w:val="30"/>
          <w:szCs w:val="30"/>
          <w:highlight w:val="none"/>
        </w:rPr>
        <w:t>（详见附件）</w:t>
      </w:r>
    </w:p>
    <w:p w14:paraId="749FC01C">
      <w:pPr>
        <w:keepNext w:val="0"/>
        <w:keepLines w:val="0"/>
        <w:pageBreakBefore w:val="0"/>
        <w:widowControl w:val="0"/>
        <w:kinsoku/>
        <w:wordWrap/>
        <w:overflowPunct/>
        <w:topLinePunct w:val="0"/>
        <w:autoSpaceDE/>
        <w:autoSpaceDN/>
        <w:bidi w:val="0"/>
        <w:adjustRightInd/>
        <w:snapToGrid/>
        <w:spacing w:line="590" w:lineRule="exact"/>
        <w:ind w:firstLine="600" w:firstLineChars="200"/>
        <w:jc w:val="left"/>
        <w:textAlignment w:val="auto"/>
        <w:rPr>
          <w:rFonts w:hint="eastAsia" w:ascii="Times New Roman" w:hAnsi="Times New Roman" w:eastAsia="仿宋" w:cs="Times New Roman"/>
          <w:kern w:val="0"/>
          <w:sz w:val="30"/>
          <w:szCs w:val="30"/>
          <w:highlight w:val="none"/>
          <w:lang w:eastAsia="zh-CN"/>
        </w:rPr>
      </w:pPr>
      <w:r>
        <w:rPr>
          <w:rFonts w:hint="eastAsia" w:ascii="Times New Roman" w:hAnsi="Times New Roman" w:eastAsia="仿宋" w:cs="Times New Roman"/>
          <w:kern w:val="0"/>
          <w:sz w:val="30"/>
          <w:szCs w:val="30"/>
          <w:highlight w:val="none"/>
          <w:lang w:eastAsia="zh-CN"/>
        </w:rPr>
        <w:t>本单位</w:t>
      </w:r>
      <w:r>
        <w:rPr>
          <w:rFonts w:hint="eastAsia" w:ascii="Times New Roman" w:hAnsi="Times New Roman" w:eastAsia="仿宋" w:cs="Times New Roman"/>
          <w:kern w:val="0"/>
          <w:sz w:val="30"/>
          <w:szCs w:val="30"/>
          <w:highlight w:val="none"/>
          <w:lang w:val="en-US" w:eastAsia="zh-CN"/>
        </w:rPr>
        <w:t>2025</w:t>
      </w:r>
      <w:r>
        <w:rPr>
          <w:rFonts w:hint="eastAsia" w:ascii="Times New Roman" w:hAnsi="Times New Roman" w:eastAsia="仿宋" w:cs="Times New Roman"/>
          <w:kern w:val="0"/>
          <w:sz w:val="30"/>
          <w:szCs w:val="30"/>
          <w:highlight w:val="none"/>
          <w:lang w:eastAsia="zh-CN"/>
        </w:rPr>
        <w:t>年度无国有资本经营预算财政拨款收入，《国有资本经营预算财政拨款收入支出决算表》为空表。</w:t>
      </w:r>
    </w:p>
    <w:p w14:paraId="08D1C10F">
      <w:pPr>
        <w:keepNext w:val="0"/>
        <w:keepLines w:val="0"/>
        <w:pageBreakBefore w:val="0"/>
        <w:widowControl w:val="0"/>
        <w:kinsoku/>
        <w:wordWrap/>
        <w:overflowPunct/>
        <w:topLinePunct w:val="0"/>
        <w:autoSpaceDE/>
        <w:autoSpaceDN/>
        <w:bidi w:val="0"/>
        <w:adjustRightInd/>
        <w:snapToGrid/>
        <w:spacing w:line="590" w:lineRule="exact"/>
        <w:jc w:val="center"/>
        <w:textAlignment w:val="auto"/>
        <w:outlineLvl w:val="0"/>
        <w:rPr>
          <w:rFonts w:hint="eastAsia" w:ascii="黑体" w:hAnsi="黑体" w:eastAsia="黑体"/>
          <w:sz w:val="32"/>
          <w:szCs w:val="32"/>
          <w:highlight w:val="none"/>
        </w:rPr>
      </w:pPr>
      <w:r>
        <w:rPr>
          <w:rFonts w:hint="eastAsia" w:ascii="黑体" w:hAnsi="黑体" w:eastAsia="黑体"/>
          <w:sz w:val="32"/>
          <w:szCs w:val="32"/>
          <w:highlight w:val="none"/>
        </w:rPr>
        <w:t>第三部</w:t>
      </w:r>
      <w:r>
        <w:rPr>
          <w:rFonts w:hint="eastAsia" w:ascii="黑体" w:hAnsi="黑体" w:eastAsia="黑体"/>
          <w:sz w:val="32"/>
          <w:szCs w:val="32"/>
          <w:highlight w:val="none"/>
          <w:lang w:eastAsia="zh-CN"/>
        </w:rPr>
        <w:t>分</w:t>
      </w:r>
      <w:r>
        <w:rPr>
          <w:rFonts w:hint="eastAsia" w:ascii="黑体" w:hAnsi="黑体" w:eastAsia="黑体"/>
          <w:sz w:val="32"/>
          <w:szCs w:val="32"/>
          <w:highlight w:val="none"/>
        </w:rPr>
        <w:t xml:space="preserve">  </w:t>
      </w:r>
      <w:r>
        <w:rPr>
          <w:rFonts w:hint="eastAsia" w:ascii="黑体" w:hAnsi="黑体" w:eastAsia="黑体"/>
          <w:sz w:val="32"/>
          <w:szCs w:val="32"/>
          <w:highlight w:val="none"/>
          <w:lang w:val="en-US" w:eastAsia="zh-CN"/>
        </w:rPr>
        <w:t>2025年度</w:t>
      </w:r>
      <w:r>
        <w:rPr>
          <w:rFonts w:hint="eastAsia" w:ascii="黑体" w:hAnsi="黑体" w:eastAsia="黑体"/>
          <w:sz w:val="32"/>
          <w:szCs w:val="32"/>
          <w:highlight w:val="none"/>
        </w:rPr>
        <w:t>部门决算情况说明</w:t>
      </w:r>
    </w:p>
    <w:p w14:paraId="7F12A787">
      <w:pPr>
        <w:keepNext w:val="0"/>
        <w:keepLines w:val="0"/>
        <w:pageBreakBefore w:val="0"/>
        <w:widowControl w:val="0"/>
        <w:kinsoku/>
        <w:wordWrap/>
        <w:overflowPunct/>
        <w:topLinePunct w:val="0"/>
        <w:autoSpaceDE/>
        <w:autoSpaceDN/>
        <w:bidi w:val="0"/>
        <w:adjustRightInd/>
        <w:snapToGrid/>
        <w:spacing w:line="590" w:lineRule="exact"/>
        <w:ind w:firstLine="600" w:firstLineChars="200"/>
        <w:jc w:val="left"/>
        <w:textAlignment w:val="auto"/>
        <w:outlineLvl w:val="1"/>
        <w:rPr>
          <w:rFonts w:hint="eastAsia" w:ascii="黑体" w:hAnsi="黑体" w:eastAsia="黑体"/>
          <w:sz w:val="30"/>
          <w:szCs w:val="30"/>
          <w:highlight w:val="none"/>
        </w:rPr>
      </w:pPr>
      <w:r>
        <w:rPr>
          <w:rFonts w:hint="eastAsia" w:ascii="黑体" w:hAnsi="黑体" w:eastAsia="黑体"/>
          <w:sz w:val="30"/>
          <w:szCs w:val="30"/>
          <w:highlight w:val="none"/>
        </w:rPr>
        <w:t>一、收入决算情况说明</w:t>
      </w:r>
    </w:p>
    <w:p w14:paraId="17BC4EEF">
      <w:pPr>
        <w:keepNext w:val="0"/>
        <w:keepLines w:val="0"/>
        <w:pageBreakBefore w:val="0"/>
        <w:widowControl/>
        <w:kinsoku/>
        <w:wordWrap/>
        <w:overflowPunct/>
        <w:topLinePunct w:val="0"/>
        <w:autoSpaceDE/>
        <w:autoSpaceDN/>
        <w:bidi w:val="0"/>
        <w:adjustRightInd/>
        <w:snapToGrid w:val="0"/>
        <w:spacing w:before="100" w:after="100" w:line="590" w:lineRule="exact"/>
        <w:ind w:firstLine="600" w:firstLineChars="200"/>
        <w:jc w:val="both"/>
        <w:textAlignment w:val="auto"/>
        <w:rPr>
          <w:rFonts w:hint="default" w:ascii="Times New Roman" w:hAnsi="Times New Roman" w:eastAsia="仿宋" w:cs="Times New Roman"/>
          <w:sz w:val="30"/>
          <w:szCs w:val="30"/>
          <w:highlight w:val="none"/>
          <w:lang w:eastAsia="zh-CN"/>
        </w:rPr>
      </w:pPr>
      <w:r>
        <w:rPr>
          <w:rFonts w:hint="default" w:ascii="Times New Roman" w:hAnsi="Times New Roman" w:eastAsia="仿宋" w:cs="Times New Roman"/>
          <w:color w:val="auto"/>
          <w:sz w:val="30"/>
          <w:lang w:val="zh-CN"/>
        </w:rPr>
        <w:t>华宁县第一中学</w:t>
      </w:r>
      <w:r>
        <w:rPr>
          <w:rFonts w:hint="default" w:ascii="Times New Roman" w:hAnsi="Times New Roman" w:eastAsia="仿宋" w:cs="Times New Roman"/>
          <w:sz w:val="30"/>
          <w:szCs w:val="30"/>
          <w:highlight w:val="none"/>
          <w:lang w:val="en-US" w:eastAsia="zh-CN"/>
        </w:rPr>
        <w:t>2025年度</w:t>
      </w:r>
      <w:r>
        <w:rPr>
          <w:rFonts w:hint="default" w:ascii="Times New Roman" w:hAnsi="Times New Roman" w:eastAsia="仿宋" w:cs="Times New Roman"/>
          <w:sz w:val="30"/>
          <w:szCs w:val="30"/>
          <w:highlight w:val="none"/>
        </w:rPr>
        <w:t>收入合计</w:t>
      </w:r>
      <w:r>
        <w:rPr>
          <w:rFonts w:hint="default" w:ascii="Times New Roman" w:hAnsi="Times New Roman" w:eastAsia="仿宋" w:cs="Times New Roman"/>
          <w:color w:val="auto"/>
          <w:sz w:val="30"/>
          <w:lang w:val="zh-CN"/>
        </w:rPr>
        <w:t>61</w:t>
      </w:r>
      <w:r>
        <w:rPr>
          <w:rFonts w:hint="default" w:ascii="Times New Roman" w:hAnsi="Times New Roman" w:eastAsia="仿宋" w:cs="Times New Roman"/>
          <w:color w:val="auto"/>
          <w:sz w:val="30"/>
          <w:lang w:val="en-US" w:eastAsia="zh-CN"/>
        </w:rPr>
        <w:t>,</w:t>
      </w:r>
      <w:r>
        <w:rPr>
          <w:rFonts w:hint="default" w:ascii="Times New Roman" w:hAnsi="Times New Roman" w:eastAsia="仿宋" w:cs="Times New Roman"/>
          <w:color w:val="auto"/>
          <w:sz w:val="30"/>
          <w:lang w:val="zh-CN"/>
        </w:rPr>
        <w:t>491</w:t>
      </w:r>
      <w:r>
        <w:rPr>
          <w:rFonts w:hint="default" w:ascii="Times New Roman" w:hAnsi="Times New Roman" w:eastAsia="仿宋" w:cs="Times New Roman"/>
          <w:color w:val="auto"/>
          <w:sz w:val="30"/>
          <w:lang w:val="en-US" w:eastAsia="zh-CN"/>
        </w:rPr>
        <w:t>,</w:t>
      </w:r>
      <w:r>
        <w:rPr>
          <w:rFonts w:hint="default" w:ascii="Times New Roman" w:hAnsi="Times New Roman" w:eastAsia="仿宋" w:cs="Times New Roman"/>
          <w:color w:val="auto"/>
          <w:sz w:val="30"/>
          <w:lang w:val="zh-CN"/>
        </w:rPr>
        <w:t>949.81</w:t>
      </w:r>
      <w:r>
        <w:rPr>
          <w:rFonts w:hint="default" w:ascii="Times New Roman" w:hAnsi="Times New Roman" w:eastAsia="仿宋" w:cs="Times New Roman"/>
          <w:sz w:val="30"/>
          <w:szCs w:val="30"/>
          <w:highlight w:val="none"/>
          <w:lang w:eastAsia="zh-CN"/>
        </w:rPr>
        <w:t>元</w:t>
      </w:r>
      <w:r>
        <w:rPr>
          <w:rFonts w:hint="default" w:ascii="Times New Roman" w:hAnsi="Times New Roman" w:eastAsia="仿宋" w:cs="Times New Roman"/>
          <w:sz w:val="30"/>
          <w:szCs w:val="30"/>
          <w:highlight w:val="none"/>
        </w:rPr>
        <w:t>。其中：财政拨款收入</w:t>
      </w:r>
      <w:r>
        <w:rPr>
          <w:rFonts w:hint="default" w:ascii="Times New Roman" w:hAnsi="Times New Roman" w:eastAsia="仿宋" w:cs="Times New Roman"/>
          <w:color w:val="auto"/>
          <w:sz w:val="30"/>
          <w:lang w:val="zh-CN"/>
        </w:rPr>
        <w:t>60</w:t>
      </w:r>
      <w:r>
        <w:rPr>
          <w:rFonts w:hint="default" w:ascii="Times New Roman" w:hAnsi="Times New Roman" w:eastAsia="仿宋" w:cs="Times New Roman"/>
          <w:color w:val="auto"/>
          <w:sz w:val="30"/>
          <w:lang w:val="en-US" w:eastAsia="zh-CN"/>
        </w:rPr>
        <w:t>,</w:t>
      </w:r>
      <w:r>
        <w:rPr>
          <w:rFonts w:hint="default" w:ascii="Times New Roman" w:hAnsi="Times New Roman" w:eastAsia="仿宋" w:cs="Times New Roman"/>
          <w:color w:val="auto"/>
          <w:sz w:val="30"/>
          <w:lang w:val="zh-CN"/>
        </w:rPr>
        <w:t>976</w:t>
      </w:r>
      <w:r>
        <w:rPr>
          <w:rFonts w:hint="default" w:ascii="Times New Roman" w:hAnsi="Times New Roman" w:eastAsia="仿宋" w:cs="Times New Roman"/>
          <w:color w:val="auto"/>
          <w:sz w:val="30"/>
          <w:lang w:val="en-US" w:eastAsia="zh-CN"/>
        </w:rPr>
        <w:t>,</w:t>
      </w:r>
      <w:r>
        <w:rPr>
          <w:rFonts w:hint="default" w:ascii="Times New Roman" w:hAnsi="Times New Roman" w:eastAsia="仿宋" w:cs="Times New Roman"/>
          <w:color w:val="auto"/>
          <w:sz w:val="30"/>
          <w:lang w:val="zh-CN"/>
        </w:rPr>
        <w:t>917.27</w:t>
      </w:r>
      <w:r>
        <w:rPr>
          <w:rFonts w:hint="default" w:ascii="Times New Roman" w:hAnsi="Times New Roman" w:eastAsia="仿宋" w:cs="Times New Roman"/>
          <w:sz w:val="30"/>
          <w:szCs w:val="30"/>
          <w:highlight w:val="none"/>
          <w:lang w:eastAsia="zh-CN"/>
        </w:rPr>
        <w:t>元</w:t>
      </w:r>
      <w:r>
        <w:rPr>
          <w:rFonts w:hint="default" w:ascii="Times New Roman" w:hAnsi="Times New Roman" w:eastAsia="仿宋" w:cs="Times New Roman"/>
          <w:sz w:val="30"/>
          <w:szCs w:val="30"/>
          <w:highlight w:val="none"/>
        </w:rPr>
        <w:t>，占总收入的</w:t>
      </w:r>
      <w:r>
        <w:rPr>
          <w:rFonts w:hint="default" w:ascii="Times New Roman" w:hAnsi="Times New Roman" w:eastAsia="仿宋" w:cs="Times New Roman"/>
          <w:color w:val="auto"/>
          <w:sz w:val="30"/>
          <w:lang w:val="zh-CN"/>
        </w:rPr>
        <w:t>99.16</w:t>
      </w:r>
      <w:r>
        <w:rPr>
          <w:rFonts w:hint="default" w:ascii="Times New Roman" w:hAnsi="Times New Roman" w:eastAsia="仿宋" w:cs="Times New Roman"/>
          <w:sz w:val="30"/>
          <w:szCs w:val="30"/>
          <w:highlight w:val="none"/>
        </w:rPr>
        <w:t>%；</w:t>
      </w:r>
      <w:r>
        <w:rPr>
          <w:rFonts w:hint="default" w:ascii="Times New Roman" w:hAnsi="Times New Roman" w:eastAsia="仿宋" w:cs="Times New Roman"/>
          <w:sz w:val="30"/>
          <w:szCs w:val="30"/>
          <w:highlight w:val="none"/>
          <w:lang w:val="en-US" w:eastAsia="zh-CN"/>
        </w:rPr>
        <w:t>无</w:t>
      </w:r>
      <w:r>
        <w:rPr>
          <w:rFonts w:hint="default" w:ascii="Times New Roman" w:hAnsi="Times New Roman" w:eastAsia="仿宋" w:cs="Times New Roman"/>
          <w:sz w:val="30"/>
          <w:szCs w:val="30"/>
          <w:highlight w:val="none"/>
        </w:rPr>
        <w:t>上级补助收入；事业收入</w:t>
      </w:r>
      <w:r>
        <w:rPr>
          <w:rFonts w:hint="default" w:ascii="Times New Roman" w:hAnsi="Times New Roman" w:eastAsia="仿宋" w:cs="Times New Roman"/>
          <w:color w:val="auto"/>
          <w:sz w:val="30"/>
          <w:lang w:val="zh-CN"/>
        </w:rPr>
        <w:t>515</w:t>
      </w:r>
      <w:r>
        <w:rPr>
          <w:rFonts w:hint="default" w:ascii="Times New Roman" w:hAnsi="Times New Roman" w:eastAsia="仿宋" w:cs="Times New Roman"/>
          <w:color w:val="auto"/>
          <w:sz w:val="30"/>
          <w:lang w:val="en-US" w:eastAsia="zh-CN"/>
        </w:rPr>
        <w:t>,</w:t>
      </w:r>
      <w:r>
        <w:rPr>
          <w:rFonts w:hint="default" w:ascii="Times New Roman" w:hAnsi="Times New Roman" w:eastAsia="仿宋" w:cs="Times New Roman"/>
          <w:color w:val="auto"/>
          <w:sz w:val="30"/>
          <w:lang w:val="zh-CN"/>
        </w:rPr>
        <w:t>000.00</w:t>
      </w:r>
      <w:r>
        <w:rPr>
          <w:rFonts w:hint="default" w:ascii="Times New Roman" w:hAnsi="Times New Roman" w:eastAsia="仿宋" w:cs="Times New Roman"/>
          <w:sz w:val="30"/>
          <w:szCs w:val="30"/>
          <w:highlight w:val="none"/>
          <w:lang w:eastAsia="zh-CN"/>
        </w:rPr>
        <w:t>元（含教育收费</w:t>
      </w:r>
      <w:r>
        <w:rPr>
          <w:rFonts w:hint="default" w:ascii="Times New Roman" w:hAnsi="Times New Roman" w:eastAsia="仿宋" w:cs="Times New Roman"/>
          <w:color w:val="auto"/>
          <w:sz w:val="30"/>
          <w:lang w:val="zh-CN"/>
        </w:rPr>
        <w:t>300</w:t>
      </w:r>
      <w:r>
        <w:rPr>
          <w:rFonts w:hint="default" w:ascii="Times New Roman" w:hAnsi="Times New Roman" w:eastAsia="仿宋" w:cs="Times New Roman"/>
          <w:color w:val="auto"/>
          <w:sz w:val="30"/>
          <w:lang w:val="en-US" w:eastAsia="zh-CN"/>
        </w:rPr>
        <w:t>,</w:t>
      </w:r>
      <w:r>
        <w:rPr>
          <w:rFonts w:hint="default" w:ascii="Times New Roman" w:hAnsi="Times New Roman" w:eastAsia="仿宋" w:cs="Times New Roman"/>
          <w:color w:val="auto"/>
          <w:sz w:val="30"/>
          <w:lang w:val="zh-CN"/>
        </w:rPr>
        <w:t>000.00</w:t>
      </w:r>
      <w:r>
        <w:rPr>
          <w:rFonts w:hint="default" w:ascii="Times New Roman" w:hAnsi="Times New Roman" w:eastAsia="仿宋" w:cs="Times New Roman"/>
          <w:sz w:val="30"/>
          <w:szCs w:val="30"/>
          <w:highlight w:val="none"/>
          <w:lang w:eastAsia="zh-CN"/>
        </w:rPr>
        <w:t>元）</w:t>
      </w:r>
      <w:r>
        <w:rPr>
          <w:rFonts w:hint="default" w:ascii="Times New Roman" w:hAnsi="Times New Roman" w:eastAsia="仿宋" w:cs="Times New Roman"/>
          <w:sz w:val="30"/>
          <w:szCs w:val="30"/>
          <w:highlight w:val="none"/>
        </w:rPr>
        <w:t>，占总收入的</w:t>
      </w:r>
      <w:r>
        <w:rPr>
          <w:rFonts w:hint="default" w:ascii="Times New Roman" w:hAnsi="Times New Roman" w:eastAsia="仿宋" w:cs="Times New Roman"/>
          <w:color w:val="auto"/>
          <w:sz w:val="30"/>
          <w:lang w:val="zh-CN"/>
        </w:rPr>
        <w:t>0.84</w:t>
      </w:r>
      <w:r>
        <w:rPr>
          <w:rFonts w:hint="default" w:ascii="Times New Roman" w:hAnsi="Times New Roman" w:eastAsia="仿宋" w:cs="Times New Roman"/>
          <w:sz w:val="30"/>
          <w:szCs w:val="30"/>
          <w:highlight w:val="none"/>
        </w:rPr>
        <w:t>%；</w:t>
      </w:r>
      <w:r>
        <w:rPr>
          <w:rFonts w:hint="default" w:ascii="Times New Roman" w:hAnsi="Times New Roman" w:eastAsia="仿宋" w:cs="Times New Roman"/>
          <w:sz w:val="30"/>
          <w:szCs w:val="30"/>
          <w:highlight w:val="none"/>
          <w:lang w:val="en-US" w:eastAsia="zh-CN"/>
        </w:rPr>
        <w:t>无</w:t>
      </w:r>
      <w:r>
        <w:rPr>
          <w:rFonts w:hint="default" w:ascii="Times New Roman" w:hAnsi="Times New Roman" w:eastAsia="仿宋" w:cs="Times New Roman"/>
          <w:sz w:val="30"/>
          <w:szCs w:val="30"/>
          <w:highlight w:val="none"/>
        </w:rPr>
        <w:t>经营收入；</w:t>
      </w:r>
      <w:r>
        <w:rPr>
          <w:rFonts w:hint="default" w:ascii="Times New Roman" w:hAnsi="Times New Roman" w:eastAsia="仿宋" w:cs="Times New Roman"/>
          <w:sz w:val="30"/>
          <w:szCs w:val="30"/>
          <w:highlight w:val="none"/>
          <w:lang w:eastAsia="zh-CN"/>
        </w:rPr>
        <w:t>无</w:t>
      </w:r>
      <w:r>
        <w:rPr>
          <w:rFonts w:hint="default" w:ascii="Times New Roman" w:hAnsi="Times New Roman" w:eastAsia="仿宋" w:cs="Times New Roman"/>
          <w:sz w:val="30"/>
          <w:szCs w:val="30"/>
          <w:highlight w:val="none"/>
        </w:rPr>
        <w:t>附属单位</w:t>
      </w:r>
      <w:r>
        <w:rPr>
          <w:rFonts w:hint="default" w:ascii="Times New Roman" w:hAnsi="Times New Roman" w:eastAsia="仿宋" w:cs="Times New Roman"/>
          <w:sz w:val="30"/>
          <w:szCs w:val="30"/>
          <w:highlight w:val="none"/>
          <w:lang w:eastAsia="zh-CN"/>
        </w:rPr>
        <w:t>上缴</w:t>
      </w:r>
      <w:r>
        <w:rPr>
          <w:rFonts w:hint="default" w:ascii="Times New Roman" w:hAnsi="Times New Roman" w:eastAsia="仿宋" w:cs="Times New Roman"/>
          <w:sz w:val="30"/>
          <w:szCs w:val="30"/>
          <w:highlight w:val="none"/>
        </w:rPr>
        <w:t>收入；其他收入</w:t>
      </w:r>
      <w:r>
        <w:rPr>
          <w:rFonts w:hint="default" w:ascii="Times New Roman" w:hAnsi="Times New Roman" w:eastAsia="仿宋" w:cs="Times New Roman"/>
          <w:color w:val="auto"/>
          <w:sz w:val="30"/>
          <w:lang w:val="zh-CN"/>
        </w:rPr>
        <w:t>32.54</w:t>
      </w:r>
      <w:r>
        <w:rPr>
          <w:rFonts w:hint="default" w:ascii="Times New Roman" w:hAnsi="Times New Roman" w:eastAsia="仿宋" w:cs="Times New Roman"/>
          <w:sz w:val="30"/>
          <w:szCs w:val="30"/>
          <w:highlight w:val="none"/>
          <w:lang w:eastAsia="zh-CN"/>
        </w:rPr>
        <w:t>元</w:t>
      </w:r>
      <w:r>
        <w:rPr>
          <w:rFonts w:hint="default" w:ascii="Times New Roman" w:hAnsi="Times New Roman" w:eastAsia="仿宋" w:cs="Times New Roman"/>
          <w:sz w:val="30"/>
          <w:szCs w:val="30"/>
          <w:highlight w:val="none"/>
        </w:rPr>
        <w:t>，占总收入的</w:t>
      </w:r>
      <w:r>
        <w:rPr>
          <w:rFonts w:hint="default" w:ascii="Times New Roman" w:hAnsi="Times New Roman" w:eastAsia="仿宋" w:cs="Times New Roman"/>
          <w:color w:val="auto"/>
          <w:sz w:val="30"/>
          <w:lang w:val="zh-CN"/>
        </w:rPr>
        <w:t>0.00</w:t>
      </w:r>
      <w:r>
        <w:rPr>
          <w:rFonts w:hint="default" w:ascii="Times New Roman" w:hAnsi="Times New Roman" w:eastAsia="仿宋" w:cs="Times New Roman"/>
          <w:sz w:val="30"/>
          <w:szCs w:val="30"/>
          <w:highlight w:val="none"/>
        </w:rPr>
        <w:t>%。</w:t>
      </w:r>
    </w:p>
    <w:p w14:paraId="6EF9306E">
      <w:pPr>
        <w:keepNext w:val="0"/>
        <w:keepLines w:val="0"/>
        <w:pageBreakBefore w:val="0"/>
        <w:widowControl/>
        <w:kinsoku/>
        <w:wordWrap/>
        <w:overflowPunct/>
        <w:topLinePunct w:val="0"/>
        <w:autoSpaceDE/>
        <w:autoSpaceDN/>
        <w:bidi w:val="0"/>
        <w:adjustRightInd/>
        <w:snapToGrid w:val="0"/>
        <w:spacing w:before="100" w:after="100" w:line="590" w:lineRule="exact"/>
        <w:ind w:firstLine="600" w:firstLineChars="200"/>
        <w:jc w:val="both"/>
        <w:textAlignment w:val="auto"/>
        <w:rPr>
          <w:rFonts w:hint="default" w:ascii="Times New Roman" w:hAnsi="Times New Roman" w:eastAsia="仿宋" w:cs="Times New Roman"/>
          <w:color w:val="FF0000"/>
          <w:kern w:val="0"/>
          <w:sz w:val="30"/>
          <w:szCs w:val="30"/>
          <w:highlight w:val="none"/>
        </w:rPr>
      </w:pPr>
      <w:r>
        <w:rPr>
          <w:rFonts w:hint="default" w:ascii="Times New Roman" w:hAnsi="Times New Roman" w:eastAsia="仿宋" w:cs="Times New Roman"/>
          <w:sz w:val="30"/>
          <w:szCs w:val="30"/>
          <w:highlight w:val="none"/>
        </w:rPr>
        <w:t>与上年</w:t>
      </w:r>
      <w:r>
        <w:rPr>
          <w:rFonts w:hint="default" w:ascii="Times New Roman" w:hAnsi="Times New Roman" w:eastAsia="仿宋" w:cs="Times New Roman"/>
          <w:sz w:val="30"/>
          <w:szCs w:val="30"/>
          <w:highlight w:val="none"/>
          <w:lang w:eastAsia="zh-CN"/>
        </w:rPr>
        <w:t>相比，</w:t>
      </w:r>
      <w:r>
        <w:rPr>
          <w:rFonts w:hint="default" w:ascii="Times New Roman" w:hAnsi="Times New Roman" w:eastAsia="仿宋" w:cs="Times New Roman"/>
          <w:sz w:val="30"/>
          <w:szCs w:val="30"/>
          <w:highlight w:val="none"/>
        </w:rPr>
        <w:t>收入合计</w:t>
      </w:r>
      <w:r>
        <w:rPr>
          <w:rFonts w:hint="default" w:ascii="Times New Roman" w:hAnsi="Times New Roman" w:eastAsia="仿宋" w:cs="Times New Roman"/>
          <w:sz w:val="30"/>
          <w:szCs w:val="30"/>
          <w:highlight w:val="none"/>
          <w:lang w:eastAsia="zh-CN"/>
        </w:rPr>
        <w:t>增加</w:t>
      </w:r>
      <w:r>
        <w:rPr>
          <w:rFonts w:hint="default" w:ascii="Times New Roman" w:hAnsi="Times New Roman" w:eastAsia="仿宋" w:cs="Times New Roman"/>
          <w:color w:val="auto"/>
          <w:sz w:val="30"/>
          <w:lang w:val="zh-CN"/>
        </w:rPr>
        <w:t>21</w:t>
      </w:r>
      <w:r>
        <w:rPr>
          <w:rFonts w:hint="default" w:ascii="Times New Roman" w:hAnsi="Times New Roman" w:eastAsia="仿宋" w:cs="Times New Roman"/>
          <w:color w:val="auto"/>
          <w:sz w:val="30"/>
          <w:lang w:val="en-US" w:eastAsia="zh-CN"/>
        </w:rPr>
        <w:t>,</w:t>
      </w:r>
      <w:r>
        <w:rPr>
          <w:rFonts w:hint="default" w:ascii="Times New Roman" w:hAnsi="Times New Roman" w:eastAsia="仿宋" w:cs="Times New Roman"/>
          <w:color w:val="auto"/>
          <w:sz w:val="30"/>
          <w:lang w:val="zh-CN"/>
        </w:rPr>
        <w:t>747</w:t>
      </w:r>
      <w:r>
        <w:rPr>
          <w:rFonts w:hint="default" w:ascii="Times New Roman" w:hAnsi="Times New Roman" w:eastAsia="仿宋" w:cs="Times New Roman"/>
          <w:color w:val="auto"/>
          <w:sz w:val="30"/>
          <w:lang w:val="en-US" w:eastAsia="zh-CN"/>
        </w:rPr>
        <w:t>,</w:t>
      </w:r>
      <w:r>
        <w:rPr>
          <w:rFonts w:hint="default" w:ascii="Times New Roman" w:hAnsi="Times New Roman" w:eastAsia="仿宋" w:cs="Times New Roman"/>
          <w:color w:val="auto"/>
          <w:sz w:val="30"/>
          <w:lang w:val="zh-CN"/>
        </w:rPr>
        <w:t>698.37</w:t>
      </w:r>
      <w:r>
        <w:rPr>
          <w:rFonts w:hint="default" w:ascii="Times New Roman" w:hAnsi="Times New Roman" w:eastAsia="仿宋" w:cs="Times New Roman"/>
          <w:sz w:val="30"/>
          <w:szCs w:val="30"/>
          <w:highlight w:val="none"/>
          <w:lang w:eastAsia="zh-CN"/>
        </w:rPr>
        <w:t>元，增长</w:t>
      </w:r>
      <w:r>
        <w:rPr>
          <w:rFonts w:hint="default" w:ascii="Times New Roman" w:hAnsi="Times New Roman" w:eastAsia="仿宋" w:cs="Times New Roman"/>
          <w:color w:val="auto"/>
          <w:sz w:val="30"/>
          <w:lang w:val="zh-CN"/>
        </w:rPr>
        <w:t>54.72</w:t>
      </w:r>
      <w:r>
        <w:rPr>
          <w:rFonts w:hint="default" w:ascii="Times New Roman" w:hAnsi="Times New Roman" w:eastAsia="仿宋" w:cs="Times New Roman"/>
          <w:sz w:val="30"/>
          <w:szCs w:val="30"/>
          <w:highlight w:val="none"/>
        </w:rPr>
        <w:t>%</w:t>
      </w:r>
      <w:r>
        <w:rPr>
          <w:rFonts w:hint="default" w:ascii="Times New Roman" w:hAnsi="Times New Roman" w:eastAsia="仿宋" w:cs="Times New Roman"/>
          <w:sz w:val="30"/>
          <w:szCs w:val="30"/>
          <w:highlight w:val="none"/>
          <w:lang w:eastAsia="zh-CN"/>
        </w:rPr>
        <w:t>。其中：</w:t>
      </w:r>
      <w:r>
        <w:rPr>
          <w:rFonts w:hint="default" w:ascii="Times New Roman" w:hAnsi="Times New Roman" w:eastAsia="仿宋" w:cs="Times New Roman"/>
          <w:sz w:val="30"/>
          <w:szCs w:val="30"/>
          <w:highlight w:val="none"/>
        </w:rPr>
        <w:t>财政拨款收入</w:t>
      </w:r>
      <w:r>
        <w:rPr>
          <w:rFonts w:hint="default" w:ascii="Times New Roman" w:hAnsi="Times New Roman" w:eastAsia="仿宋" w:cs="Times New Roman"/>
          <w:sz w:val="30"/>
          <w:szCs w:val="30"/>
          <w:highlight w:val="none"/>
          <w:lang w:eastAsia="zh-CN"/>
        </w:rPr>
        <w:t>增加</w:t>
      </w:r>
      <w:r>
        <w:rPr>
          <w:rFonts w:hint="default" w:ascii="Times New Roman" w:hAnsi="Times New Roman" w:eastAsia="仿宋" w:cs="Times New Roman"/>
          <w:color w:val="auto"/>
          <w:sz w:val="30"/>
          <w:lang w:val="zh-CN"/>
        </w:rPr>
        <w:t>21</w:t>
      </w:r>
      <w:r>
        <w:rPr>
          <w:rFonts w:hint="default" w:ascii="Times New Roman" w:hAnsi="Times New Roman" w:eastAsia="仿宋" w:cs="Times New Roman"/>
          <w:color w:val="auto"/>
          <w:sz w:val="30"/>
          <w:lang w:val="en-US" w:eastAsia="zh-CN"/>
        </w:rPr>
        <w:t>,</w:t>
      </w:r>
      <w:r>
        <w:rPr>
          <w:rFonts w:hint="default" w:ascii="Times New Roman" w:hAnsi="Times New Roman" w:eastAsia="仿宋" w:cs="Times New Roman"/>
          <w:color w:val="auto"/>
          <w:sz w:val="30"/>
          <w:lang w:val="zh-CN"/>
        </w:rPr>
        <w:t>538</w:t>
      </w:r>
      <w:r>
        <w:rPr>
          <w:rFonts w:hint="default" w:ascii="Times New Roman" w:hAnsi="Times New Roman" w:eastAsia="仿宋" w:cs="Times New Roman"/>
          <w:color w:val="auto"/>
          <w:sz w:val="30"/>
          <w:lang w:val="en-US" w:eastAsia="zh-CN"/>
        </w:rPr>
        <w:t>,</w:t>
      </w:r>
      <w:r>
        <w:rPr>
          <w:rFonts w:hint="default" w:ascii="Times New Roman" w:hAnsi="Times New Roman" w:eastAsia="仿宋" w:cs="Times New Roman"/>
          <w:color w:val="auto"/>
          <w:sz w:val="30"/>
          <w:lang w:val="zh-CN"/>
        </w:rPr>
        <w:t>312.23</w:t>
      </w:r>
      <w:r>
        <w:rPr>
          <w:rFonts w:hint="default" w:ascii="Times New Roman" w:hAnsi="Times New Roman" w:eastAsia="仿宋" w:cs="Times New Roman"/>
          <w:sz w:val="30"/>
          <w:szCs w:val="30"/>
          <w:highlight w:val="none"/>
          <w:lang w:eastAsia="zh-CN"/>
        </w:rPr>
        <w:t>元，增长</w:t>
      </w:r>
      <w:r>
        <w:rPr>
          <w:rFonts w:hint="default" w:ascii="Times New Roman" w:hAnsi="Times New Roman" w:eastAsia="仿宋" w:cs="Times New Roman"/>
          <w:color w:val="auto"/>
          <w:sz w:val="30"/>
          <w:lang w:val="zh-CN"/>
        </w:rPr>
        <w:t>54.61</w:t>
      </w:r>
      <w:r>
        <w:rPr>
          <w:rFonts w:hint="default" w:ascii="Times New Roman" w:hAnsi="Times New Roman" w:eastAsia="仿宋" w:cs="Times New Roman"/>
          <w:sz w:val="30"/>
          <w:szCs w:val="30"/>
          <w:highlight w:val="none"/>
        </w:rPr>
        <w:t>%</w:t>
      </w:r>
      <w:r>
        <w:rPr>
          <w:rFonts w:hint="default" w:ascii="Times New Roman" w:hAnsi="Times New Roman" w:eastAsia="仿宋" w:cs="Times New Roman"/>
          <w:sz w:val="30"/>
          <w:szCs w:val="30"/>
          <w:highlight w:val="none"/>
          <w:lang w:eastAsia="zh-CN"/>
        </w:rPr>
        <w:t>；事业收入增加</w:t>
      </w:r>
      <w:r>
        <w:rPr>
          <w:rFonts w:hint="default" w:ascii="Times New Roman" w:hAnsi="Times New Roman" w:eastAsia="仿宋" w:cs="Times New Roman"/>
          <w:color w:val="auto"/>
          <w:sz w:val="30"/>
          <w:lang w:val="zh-CN"/>
        </w:rPr>
        <w:t>209</w:t>
      </w:r>
      <w:r>
        <w:rPr>
          <w:rFonts w:hint="default" w:ascii="Times New Roman" w:hAnsi="Times New Roman" w:eastAsia="仿宋" w:cs="Times New Roman"/>
          <w:color w:val="auto"/>
          <w:sz w:val="30"/>
          <w:lang w:val="en-US" w:eastAsia="zh-CN"/>
        </w:rPr>
        <w:t>,</w:t>
      </w:r>
      <w:r>
        <w:rPr>
          <w:rFonts w:hint="default" w:ascii="Times New Roman" w:hAnsi="Times New Roman" w:eastAsia="仿宋" w:cs="Times New Roman"/>
          <w:color w:val="auto"/>
          <w:sz w:val="30"/>
          <w:lang w:val="zh-CN"/>
        </w:rPr>
        <w:t>444.00</w:t>
      </w:r>
      <w:r>
        <w:rPr>
          <w:rFonts w:hint="default" w:ascii="Times New Roman" w:hAnsi="Times New Roman" w:eastAsia="仿宋" w:cs="Times New Roman"/>
          <w:sz w:val="30"/>
          <w:szCs w:val="30"/>
          <w:highlight w:val="none"/>
          <w:lang w:eastAsia="zh-CN"/>
        </w:rPr>
        <w:t>元，增长</w:t>
      </w:r>
      <w:r>
        <w:rPr>
          <w:rFonts w:hint="default" w:ascii="Times New Roman" w:hAnsi="Times New Roman" w:eastAsia="仿宋" w:cs="Times New Roman"/>
          <w:color w:val="auto"/>
          <w:sz w:val="30"/>
          <w:lang w:val="zh-CN"/>
        </w:rPr>
        <w:t>68.55</w:t>
      </w:r>
      <w:r>
        <w:rPr>
          <w:rFonts w:hint="default" w:ascii="Times New Roman" w:hAnsi="Times New Roman" w:eastAsia="仿宋" w:cs="Times New Roman"/>
          <w:sz w:val="30"/>
          <w:szCs w:val="30"/>
          <w:highlight w:val="none"/>
        </w:rPr>
        <w:t>%</w:t>
      </w:r>
      <w:r>
        <w:rPr>
          <w:rFonts w:hint="default" w:ascii="Times New Roman" w:hAnsi="Times New Roman" w:eastAsia="仿宋" w:cs="Times New Roman"/>
          <w:sz w:val="30"/>
          <w:szCs w:val="30"/>
          <w:highlight w:val="none"/>
          <w:lang w:eastAsia="zh-CN"/>
        </w:rPr>
        <w:t>；其他收入</w:t>
      </w:r>
      <w:r>
        <w:rPr>
          <w:rFonts w:hint="default" w:ascii="Times New Roman" w:hAnsi="Times New Roman" w:eastAsia="仿宋" w:cs="Times New Roman"/>
          <w:sz w:val="30"/>
          <w:szCs w:val="30"/>
          <w:highlight w:val="none"/>
          <w:lang w:val="en-US" w:eastAsia="zh-CN"/>
        </w:rPr>
        <w:t>减少</w:t>
      </w:r>
      <w:r>
        <w:rPr>
          <w:rFonts w:hint="default" w:ascii="Times New Roman" w:hAnsi="Times New Roman" w:eastAsia="仿宋" w:cs="Times New Roman"/>
          <w:color w:val="auto"/>
          <w:sz w:val="30"/>
          <w:lang w:val="zh-CN"/>
        </w:rPr>
        <w:t>57.86</w:t>
      </w:r>
      <w:r>
        <w:rPr>
          <w:rFonts w:hint="default" w:ascii="Times New Roman" w:hAnsi="Times New Roman" w:eastAsia="仿宋" w:cs="Times New Roman"/>
          <w:sz w:val="30"/>
          <w:szCs w:val="30"/>
          <w:highlight w:val="none"/>
          <w:lang w:eastAsia="zh-CN"/>
        </w:rPr>
        <w:t>元，</w:t>
      </w:r>
      <w:r>
        <w:rPr>
          <w:rFonts w:hint="default" w:ascii="Times New Roman" w:hAnsi="Times New Roman" w:eastAsia="仿宋" w:cs="Times New Roman"/>
          <w:sz w:val="30"/>
          <w:szCs w:val="30"/>
          <w:highlight w:val="none"/>
          <w:lang w:val="en-US" w:eastAsia="zh-CN"/>
        </w:rPr>
        <w:t>下降</w:t>
      </w:r>
      <w:r>
        <w:rPr>
          <w:rFonts w:hint="default" w:ascii="Times New Roman" w:hAnsi="Times New Roman" w:eastAsia="仿宋" w:cs="Times New Roman"/>
          <w:color w:val="auto"/>
          <w:sz w:val="30"/>
          <w:lang w:val="zh-CN"/>
        </w:rPr>
        <w:t>64.00</w:t>
      </w:r>
      <w:r>
        <w:rPr>
          <w:rFonts w:hint="default" w:ascii="Times New Roman" w:hAnsi="Times New Roman" w:eastAsia="仿宋" w:cs="Times New Roman"/>
          <w:sz w:val="30"/>
          <w:szCs w:val="30"/>
          <w:highlight w:val="none"/>
        </w:rPr>
        <w:t>%</w:t>
      </w:r>
      <w:r>
        <w:rPr>
          <w:rFonts w:hint="default" w:ascii="Times New Roman" w:hAnsi="Times New Roman" w:eastAsia="仿宋" w:cs="Times New Roman"/>
          <w:sz w:val="30"/>
          <w:szCs w:val="30"/>
          <w:highlight w:val="none"/>
          <w:lang w:eastAsia="zh-CN"/>
        </w:rPr>
        <w:t>。</w:t>
      </w:r>
      <w:r>
        <w:rPr>
          <w:rFonts w:hint="default" w:ascii="Times New Roman" w:hAnsi="Times New Roman" w:eastAsia="仿宋" w:cs="Times New Roman"/>
          <w:sz w:val="30"/>
          <w:szCs w:val="30"/>
          <w:highlight w:val="none"/>
        </w:rPr>
        <w:t>主要原因</w:t>
      </w:r>
      <w:r>
        <w:rPr>
          <w:rFonts w:hint="default" w:ascii="Times New Roman" w:hAnsi="Times New Roman" w:eastAsia="仿宋" w:cs="Times New Roman"/>
          <w:sz w:val="30"/>
          <w:szCs w:val="30"/>
          <w:highlight w:val="none"/>
          <w:lang w:eastAsia="zh-CN"/>
        </w:rPr>
        <w:t>是：</w:t>
      </w:r>
      <w:r>
        <w:rPr>
          <w:rFonts w:hint="eastAsia" w:eastAsia="仿宋" w:cs="Times New Roman"/>
          <w:sz w:val="30"/>
          <w:szCs w:val="30"/>
          <w:highlight w:val="none"/>
          <w:lang w:val="en-US" w:eastAsia="zh-CN"/>
        </w:rPr>
        <w:t>本年度因</w:t>
      </w:r>
      <w:r>
        <w:rPr>
          <w:rFonts w:hint="default" w:ascii="Times New Roman" w:hAnsi="Times New Roman" w:eastAsia="仿宋" w:cs="Times New Roman"/>
          <w:sz w:val="30"/>
          <w:szCs w:val="30"/>
          <w:highlight w:val="none"/>
          <w:lang w:val="en-US" w:eastAsia="zh-CN"/>
        </w:rPr>
        <w:t>华宁县第一中学和华宁县第二中学教育资源整合，在职人员大幅度增加，所以财政拨款收入增加。</w:t>
      </w:r>
    </w:p>
    <w:p w14:paraId="74C4ED53">
      <w:pPr>
        <w:keepNext w:val="0"/>
        <w:keepLines w:val="0"/>
        <w:pageBreakBefore w:val="0"/>
        <w:widowControl w:val="0"/>
        <w:kinsoku/>
        <w:wordWrap/>
        <w:overflowPunct/>
        <w:topLinePunct w:val="0"/>
        <w:autoSpaceDE/>
        <w:autoSpaceDN/>
        <w:bidi w:val="0"/>
        <w:adjustRightInd/>
        <w:snapToGrid/>
        <w:spacing w:line="590" w:lineRule="exact"/>
        <w:ind w:firstLine="600" w:firstLineChars="200"/>
        <w:jc w:val="left"/>
        <w:textAlignment w:val="auto"/>
        <w:outlineLvl w:val="1"/>
        <w:rPr>
          <w:rFonts w:hint="eastAsia" w:ascii="黑体" w:hAnsi="黑体" w:eastAsia="黑体"/>
          <w:sz w:val="30"/>
          <w:szCs w:val="30"/>
          <w:highlight w:val="none"/>
        </w:rPr>
      </w:pPr>
      <w:r>
        <w:rPr>
          <w:rFonts w:hint="eastAsia" w:ascii="黑体" w:hAnsi="黑体" w:eastAsia="黑体"/>
          <w:sz w:val="30"/>
          <w:szCs w:val="30"/>
          <w:highlight w:val="none"/>
        </w:rPr>
        <w:t>二、支出决算情况说明</w:t>
      </w:r>
    </w:p>
    <w:p w14:paraId="3997C591">
      <w:pPr>
        <w:keepNext w:val="0"/>
        <w:keepLines w:val="0"/>
        <w:pageBreakBefore w:val="0"/>
        <w:widowControl/>
        <w:kinsoku/>
        <w:wordWrap/>
        <w:overflowPunct/>
        <w:topLinePunct w:val="0"/>
        <w:autoSpaceDE/>
        <w:autoSpaceDN/>
        <w:bidi w:val="0"/>
        <w:adjustRightInd/>
        <w:snapToGrid w:val="0"/>
        <w:spacing w:before="100" w:after="100" w:line="590" w:lineRule="exact"/>
        <w:ind w:firstLine="600" w:firstLineChars="200"/>
        <w:jc w:val="both"/>
        <w:textAlignment w:val="auto"/>
        <w:rPr>
          <w:rFonts w:hint="eastAsia" w:ascii="Times New Roman" w:hAnsi="Times New Roman" w:eastAsia="仿宋" w:cs="Times New Roman"/>
          <w:color w:val="auto"/>
          <w:sz w:val="30"/>
          <w:lang w:val="zh-CN"/>
        </w:rPr>
      </w:pPr>
      <w:r>
        <w:rPr>
          <w:rFonts w:hint="eastAsia" w:ascii="Times New Roman" w:hAnsi="Times New Roman" w:eastAsia="仿宋" w:cs="Times New Roman"/>
          <w:color w:val="auto"/>
          <w:sz w:val="30"/>
          <w:lang w:val="zh-CN"/>
        </w:rPr>
        <w:t>华宁县第一中学</w:t>
      </w:r>
      <w:r>
        <w:rPr>
          <w:rFonts w:hint="eastAsia" w:ascii="Times New Roman" w:hAnsi="Times New Roman" w:eastAsia="仿宋" w:cs="Times New Roman"/>
          <w:color w:val="auto"/>
          <w:sz w:val="30"/>
          <w:lang w:val="en-US" w:eastAsia="zh-CN"/>
        </w:rPr>
        <w:t>2025年度</w:t>
      </w:r>
      <w:r>
        <w:rPr>
          <w:rFonts w:hint="eastAsia" w:ascii="Times New Roman" w:hAnsi="Times New Roman" w:eastAsia="仿宋" w:cs="Times New Roman"/>
          <w:color w:val="auto"/>
          <w:sz w:val="30"/>
          <w:lang w:val="zh-CN"/>
        </w:rPr>
        <w:t>支出合计61</w:t>
      </w:r>
      <w:r>
        <w:rPr>
          <w:rFonts w:hint="eastAsia" w:ascii="Times New Roman" w:hAnsi="Times New Roman" w:eastAsia="仿宋" w:cs="Times New Roman"/>
          <w:color w:val="auto"/>
          <w:sz w:val="30"/>
          <w:lang w:val="en-US" w:eastAsia="zh-CN"/>
        </w:rPr>
        <w:t>,</w:t>
      </w:r>
      <w:r>
        <w:rPr>
          <w:rFonts w:hint="eastAsia" w:ascii="Times New Roman" w:hAnsi="Times New Roman" w:eastAsia="仿宋" w:cs="Times New Roman"/>
          <w:color w:val="auto"/>
          <w:sz w:val="30"/>
          <w:lang w:val="zh-CN"/>
        </w:rPr>
        <w:t>491</w:t>
      </w:r>
      <w:r>
        <w:rPr>
          <w:rFonts w:hint="eastAsia" w:ascii="Times New Roman" w:hAnsi="Times New Roman" w:eastAsia="仿宋" w:cs="Times New Roman"/>
          <w:color w:val="auto"/>
          <w:sz w:val="30"/>
          <w:lang w:val="en-US" w:eastAsia="zh-CN"/>
        </w:rPr>
        <w:t>,</w:t>
      </w:r>
      <w:r>
        <w:rPr>
          <w:rFonts w:hint="eastAsia" w:ascii="Times New Roman" w:hAnsi="Times New Roman" w:eastAsia="仿宋" w:cs="Times New Roman"/>
          <w:color w:val="auto"/>
          <w:sz w:val="30"/>
          <w:lang w:val="zh-CN"/>
        </w:rPr>
        <w:t>917.27</w:t>
      </w:r>
      <w:r>
        <w:rPr>
          <w:rFonts w:hint="eastAsia" w:ascii="Times New Roman" w:hAnsi="Times New Roman" w:eastAsia="仿宋" w:cs="Times New Roman"/>
          <w:color w:val="auto"/>
          <w:sz w:val="30"/>
          <w:lang w:val="zh-CN" w:eastAsia="zh-CN"/>
        </w:rPr>
        <w:t>元</w:t>
      </w:r>
      <w:r>
        <w:rPr>
          <w:rFonts w:hint="eastAsia" w:ascii="Times New Roman" w:hAnsi="Times New Roman" w:eastAsia="仿宋" w:cs="Times New Roman"/>
          <w:color w:val="auto"/>
          <w:sz w:val="30"/>
          <w:lang w:val="zh-CN"/>
        </w:rPr>
        <w:t>。其中：基本支出50</w:t>
      </w:r>
      <w:r>
        <w:rPr>
          <w:rFonts w:hint="eastAsia" w:ascii="Times New Roman" w:hAnsi="Times New Roman" w:eastAsia="仿宋" w:cs="Times New Roman"/>
          <w:color w:val="auto"/>
          <w:sz w:val="30"/>
          <w:lang w:val="en-US" w:eastAsia="zh-CN"/>
        </w:rPr>
        <w:t>,</w:t>
      </w:r>
      <w:r>
        <w:rPr>
          <w:rFonts w:hint="eastAsia" w:ascii="Times New Roman" w:hAnsi="Times New Roman" w:eastAsia="仿宋" w:cs="Times New Roman"/>
          <w:color w:val="auto"/>
          <w:sz w:val="30"/>
          <w:lang w:val="zh-CN"/>
        </w:rPr>
        <w:t>140</w:t>
      </w:r>
      <w:r>
        <w:rPr>
          <w:rFonts w:hint="eastAsia" w:ascii="Times New Roman" w:hAnsi="Times New Roman" w:eastAsia="仿宋" w:cs="Times New Roman"/>
          <w:color w:val="auto"/>
          <w:sz w:val="30"/>
          <w:lang w:val="en-US" w:eastAsia="zh-CN"/>
        </w:rPr>
        <w:t>,</w:t>
      </w:r>
      <w:r>
        <w:rPr>
          <w:rFonts w:hint="eastAsia" w:ascii="Times New Roman" w:hAnsi="Times New Roman" w:eastAsia="仿宋" w:cs="Times New Roman"/>
          <w:color w:val="auto"/>
          <w:sz w:val="30"/>
          <w:lang w:val="zh-CN"/>
        </w:rPr>
        <w:t>552.50</w:t>
      </w:r>
      <w:r>
        <w:rPr>
          <w:rFonts w:hint="eastAsia" w:ascii="Times New Roman" w:hAnsi="Times New Roman" w:eastAsia="仿宋" w:cs="Times New Roman"/>
          <w:color w:val="auto"/>
          <w:sz w:val="30"/>
          <w:lang w:val="zh-CN" w:eastAsia="zh-CN"/>
        </w:rPr>
        <w:t>元</w:t>
      </w:r>
      <w:r>
        <w:rPr>
          <w:rFonts w:hint="eastAsia" w:ascii="Times New Roman" w:hAnsi="Times New Roman" w:eastAsia="仿宋" w:cs="Times New Roman"/>
          <w:color w:val="auto"/>
          <w:sz w:val="30"/>
          <w:lang w:val="zh-CN"/>
        </w:rPr>
        <w:t>，占总支出的81.54％；项目支出11</w:t>
      </w:r>
      <w:r>
        <w:rPr>
          <w:rFonts w:hint="eastAsia" w:ascii="Times New Roman" w:hAnsi="Times New Roman" w:eastAsia="仿宋" w:cs="Times New Roman"/>
          <w:color w:val="auto"/>
          <w:sz w:val="30"/>
          <w:lang w:val="en-US" w:eastAsia="zh-CN"/>
        </w:rPr>
        <w:t>,</w:t>
      </w:r>
      <w:r>
        <w:rPr>
          <w:rFonts w:hint="eastAsia" w:ascii="Times New Roman" w:hAnsi="Times New Roman" w:eastAsia="仿宋" w:cs="Times New Roman"/>
          <w:color w:val="auto"/>
          <w:sz w:val="30"/>
          <w:lang w:val="zh-CN"/>
        </w:rPr>
        <w:t>351</w:t>
      </w:r>
      <w:r>
        <w:rPr>
          <w:rFonts w:hint="eastAsia" w:ascii="Times New Roman" w:hAnsi="Times New Roman" w:eastAsia="仿宋" w:cs="Times New Roman"/>
          <w:color w:val="auto"/>
          <w:sz w:val="30"/>
          <w:lang w:val="en-US" w:eastAsia="zh-CN"/>
        </w:rPr>
        <w:t>,</w:t>
      </w:r>
      <w:r>
        <w:rPr>
          <w:rFonts w:hint="eastAsia" w:ascii="Times New Roman" w:hAnsi="Times New Roman" w:eastAsia="仿宋" w:cs="Times New Roman"/>
          <w:color w:val="auto"/>
          <w:sz w:val="30"/>
          <w:lang w:val="zh-CN"/>
        </w:rPr>
        <w:t>364.77</w:t>
      </w:r>
      <w:r>
        <w:rPr>
          <w:rFonts w:hint="eastAsia" w:ascii="Times New Roman" w:hAnsi="Times New Roman" w:eastAsia="仿宋" w:cs="Times New Roman"/>
          <w:color w:val="auto"/>
          <w:sz w:val="30"/>
          <w:lang w:val="zh-CN" w:eastAsia="zh-CN"/>
        </w:rPr>
        <w:t>元</w:t>
      </w:r>
      <w:r>
        <w:rPr>
          <w:rFonts w:hint="eastAsia" w:ascii="Times New Roman" w:hAnsi="Times New Roman" w:eastAsia="仿宋" w:cs="Times New Roman"/>
          <w:color w:val="auto"/>
          <w:sz w:val="30"/>
          <w:lang w:val="zh-CN"/>
        </w:rPr>
        <w:t>，占总支出的18.46％；</w:t>
      </w:r>
      <w:r>
        <w:rPr>
          <w:rFonts w:hint="eastAsia" w:ascii="Times New Roman" w:hAnsi="Times New Roman" w:eastAsia="仿宋" w:cs="Times New Roman"/>
          <w:color w:val="auto"/>
          <w:sz w:val="30"/>
          <w:lang w:val="en-US" w:eastAsia="zh-CN"/>
        </w:rPr>
        <w:t>无</w:t>
      </w:r>
      <w:r>
        <w:rPr>
          <w:rFonts w:hint="eastAsia" w:ascii="Times New Roman" w:hAnsi="Times New Roman" w:eastAsia="仿宋" w:cs="Times New Roman"/>
          <w:color w:val="auto"/>
          <w:sz w:val="30"/>
          <w:lang w:val="zh-CN"/>
        </w:rPr>
        <w:t>上缴上级支出；</w:t>
      </w:r>
      <w:r>
        <w:rPr>
          <w:rFonts w:hint="eastAsia" w:ascii="Times New Roman" w:hAnsi="Times New Roman" w:eastAsia="仿宋" w:cs="Times New Roman"/>
          <w:color w:val="auto"/>
          <w:sz w:val="30"/>
          <w:lang w:val="zh-CN" w:eastAsia="zh-CN"/>
        </w:rPr>
        <w:t>无</w:t>
      </w:r>
      <w:r>
        <w:rPr>
          <w:rFonts w:hint="eastAsia" w:ascii="Times New Roman" w:hAnsi="Times New Roman" w:eastAsia="仿宋" w:cs="Times New Roman"/>
          <w:color w:val="auto"/>
          <w:sz w:val="30"/>
          <w:lang w:val="zh-CN"/>
        </w:rPr>
        <w:t>经营支出；</w:t>
      </w:r>
      <w:r>
        <w:rPr>
          <w:rFonts w:hint="eastAsia" w:ascii="Times New Roman" w:hAnsi="Times New Roman" w:eastAsia="仿宋" w:cs="Times New Roman"/>
          <w:color w:val="auto"/>
          <w:sz w:val="30"/>
          <w:lang w:val="en-US" w:eastAsia="zh-CN"/>
        </w:rPr>
        <w:t>无</w:t>
      </w:r>
      <w:r>
        <w:rPr>
          <w:rFonts w:hint="eastAsia" w:ascii="Times New Roman" w:hAnsi="Times New Roman" w:eastAsia="仿宋" w:cs="Times New Roman"/>
          <w:color w:val="auto"/>
          <w:sz w:val="30"/>
          <w:lang w:val="zh-CN"/>
        </w:rPr>
        <w:t>对附属单位补助支出。</w:t>
      </w:r>
    </w:p>
    <w:p w14:paraId="10CF6EBF">
      <w:pPr>
        <w:keepNext w:val="0"/>
        <w:keepLines w:val="0"/>
        <w:pageBreakBefore w:val="0"/>
        <w:widowControl/>
        <w:kinsoku/>
        <w:wordWrap/>
        <w:overflowPunct/>
        <w:topLinePunct w:val="0"/>
        <w:autoSpaceDE/>
        <w:autoSpaceDN/>
        <w:bidi w:val="0"/>
        <w:adjustRightInd/>
        <w:snapToGrid w:val="0"/>
        <w:spacing w:line="590" w:lineRule="exact"/>
        <w:ind w:firstLine="600" w:firstLineChars="200"/>
        <w:jc w:val="both"/>
        <w:textAlignment w:val="auto"/>
        <w:rPr>
          <w:rFonts w:hint="eastAsia" w:ascii="Times New Roman" w:hAnsi="Times New Roman" w:eastAsia="仿宋" w:cs="Times New Roman"/>
          <w:color w:val="auto"/>
          <w:sz w:val="30"/>
          <w:lang w:val="zh-CN"/>
        </w:rPr>
      </w:pPr>
      <w:r>
        <w:rPr>
          <w:rFonts w:hint="eastAsia" w:ascii="Times New Roman" w:hAnsi="Times New Roman" w:eastAsia="仿宋" w:cs="Times New Roman"/>
          <w:color w:val="auto"/>
          <w:sz w:val="30"/>
          <w:lang w:val="zh-CN"/>
        </w:rPr>
        <w:t>与上年</w:t>
      </w:r>
      <w:r>
        <w:rPr>
          <w:rFonts w:hint="eastAsia" w:ascii="Times New Roman" w:hAnsi="Times New Roman" w:eastAsia="仿宋" w:cs="Times New Roman"/>
          <w:color w:val="auto"/>
          <w:sz w:val="30"/>
          <w:lang w:val="zh-CN" w:eastAsia="zh-CN"/>
        </w:rPr>
        <w:t>相比，支出</w:t>
      </w:r>
      <w:r>
        <w:rPr>
          <w:rFonts w:hint="eastAsia" w:ascii="Times New Roman" w:hAnsi="Times New Roman" w:eastAsia="仿宋" w:cs="Times New Roman"/>
          <w:color w:val="auto"/>
          <w:sz w:val="30"/>
          <w:lang w:val="zh-CN"/>
        </w:rPr>
        <w:t>合计</w:t>
      </w:r>
      <w:r>
        <w:rPr>
          <w:rFonts w:hint="eastAsia" w:ascii="Times New Roman" w:hAnsi="Times New Roman" w:eastAsia="仿宋" w:cs="Times New Roman"/>
          <w:color w:val="auto"/>
          <w:sz w:val="30"/>
          <w:lang w:val="zh-CN" w:eastAsia="zh-CN"/>
        </w:rPr>
        <w:t>增</w:t>
      </w:r>
      <w:r>
        <w:rPr>
          <w:rFonts w:hint="eastAsia" w:ascii="Times New Roman" w:hAnsi="Times New Roman" w:eastAsia="仿宋" w:cs="Times New Roman"/>
          <w:color w:val="auto"/>
          <w:sz w:val="30"/>
          <w:lang w:val="en-US" w:eastAsia="zh-CN"/>
        </w:rPr>
        <w:t>加</w:t>
      </w:r>
      <w:r>
        <w:rPr>
          <w:rFonts w:hint="eastAsia" w:ascii="Times New Roman" w:hAnsi="Times New Roman" w:eastAsia="仿宋" w:cs="Times New Roman"/>
          <w:color w:val="auto"/>
          <w:sz w:val="30"/>
          <w:lang w:val="zh-CN"/>
        </w:rPr>
        <w:t>21</w:t>
      </w:r>
      <w:r>
        <w:rPr>
          <w:rFonts w:hint="eastAsia" w:ascii="Times New Roman" w:hAnsi="Times New Roman" w:eastAsia="仿宋" w:cs="Times New Roman"/>
          <w:color w:val="auto"/>
          <w:sz w:val="30"/>
          <w:lang w:val="en-US" w:eastAsia="zh-CN"/>
        </w:rPr>
        <w:t>,</w:t>
      </w:r>
      <w:r>
        <w:rPr>
          <w:rFonts w:hint="eastAsia" w:ascii="Times New Roman" w:hAnsi="Times New Roman" w:eastAsia="仿宋" w:cs="Times New Roman"/>
          <w:color w:val="auto"/>
          <w:sz w:val="30"/>
          <w:lang w:val="zh-CN"/>
        </w:rPr>
        <w:t>744</w:t>
      </w:r>
      <w:r>
        <w:rPr>
          <w:rFonts w:hint="eastAsia" w:ascii="Times New Roman" w:hAnsi="Times New Roman" w:eastAsia="仿宋" w:cs="Times New Roman"/>
          <w:color w:val="auto"/>
          <w:sz w:val="30"/>
          <w:lang w:val="en-US" w:eastAsia="zh-CN"/>
        </w:rPr>
        <w:t>,</w:t>
      </w:r>
      <w:r>
        <w:rPr>
          <w:rFonts w:hint="eastAsia" w:ascii="Times New Roman" w:hAnsi="Times New Roman" w:eastAsia="仿宋" w:cs="Times New Roman"/>
          <w:color w:val="auto"/>
          <w:sz w:val="30"/>
          <w:lang w:val="zh-CN"/>
        </w:rPr>
        <w:t>192.53</w:t>
      </w:r>
      <w:r>
        <w:rPr>
          <w:rFonts w:hint="eastAsia" w:ascii="Times New Roman" w:hAnsi="Times New Roman" w:eastAsia="仿宋" w:cs="Times New Roman"/>
          <w:color w:val="auto"/>
          <w:sz w:val="30"/>
          <w:lang w:val="zh-CN" w:eastAsia="zh-CN"/>
        </w:rPr>
        <w:t>元，增长</w:t>
      </w:r>
      <w:r>
        <w:rPr>
          <w:rFonts w:hint="eastAsia" w:ascii="Times New Roman" w:hAnsi="Times New Roman" w:eastAsia="仿宋" w:cs="Times New Roman"/>
          <w:color w:val="auto"/>
          <w:sz w:val="30"/>
          <w:lang w:val="zh-CN"/>
        </w:rPr>
        <w:t>54.71%</w:t>
      </w:r>
      <w:r>
        <w:rPr>
          <w:rFonts w:hint="eastAsia" w:ascii="Times New Roman" w:hAnsi="Times New Roman" w:eastAsia="仿宋" w:cs="Times New Roman"/>
          <w:color w:val="auto"/>
          <w:sz w:val="30"/>
          <w:lang w:val="zh-CN" w:eastAsia="zh-CN"/>
        </w:rPr>
        <w:t>。其中：</w:t>
      </w:r>
      <w:r>
        <w:rPr>
          <w:rFonts w:hint="eastAsia" w:ascii="Times New Roman" w:hAnsi="Times New Roman" w:eastAsia="仿宋" w:cs="Times New Roman"/>
          <w:color w:val="auto"/>
          <w:sz w:val="30"/>
          <w:lang w:val="zh-CN"/>
        </w:rPr>
        <w:t>基本支出</w:t>
      </w:r>
      <w:r>
        <w:rPr>
          <w:rFonts w:hint="eastAsia" w:ascii="Times New Roman" w:hAnsi="Times New Roman" w:eastAsia="仿宋" w:cs="Times New Roman"/>
          <w:color w:val="auto"/>
          <w:sz w:val="30"/>
          <w:lang w:val="zh-CN" w:eastAsia="zh-CN"/>
        </w:rPr>
        <w:t>增加</w:t>
      </w:r>
      <w:r>
        <w:rPr>
          <w:rFonts w:hint="eastAsia" w:ascii="Times New Roman" w:hAnsi="Times New Roman" w:eastAsia="仿宋" w:cs="Times New Roman"/>
          <w:color w:val="auto"/>
          <w:sz w:val="30"/>
          <w:lang w:val="zh-CN"/>
        </w:rPr>
        <w:t>17</w:t>
      </w:r>
      <w:r>
        <w:rPr>
          <w:rFonts w:hint="eastAsia" w:ascii="Times New Roman" w:hAnsi="Times New Roman" w:eastAsia="仿宋" w:cs="Times New Roman"/>
          <w:color w:val="auto"/>
          <w:sz w:val="30"/>
          <w:lang w:val="en-US" w:eastAsia="zh-CN"/>
        </w:rPr>
        <w:t>,</w:t>
      </w:r>
      <w:r>
        <w:rPr>
          <w:rFonts w:hint="eastAsia" w:ascii="Times New Roman" w:hAnsi="Times New Roman" w:eastAsia="仿宋" w:cs="Times New Roman"/>
          <w:color w:val="auto"/>
          <w:sz w:val="30"/>
          <w:lang w:val="zh-CN"/>
        </w:rPr>
        <w:t>789</w:t>
      </w:r>
      <w:r>
        <w:rPr>
          <w:rFonts w:hint="eastAsia" w:ascii="Times New Roman" w:hAnsi="Times New Roman" w:eastAsia="仿宋" w:cs="Times New Roman"/>
          <w:color w:val="auto"/>
          <w:sz w:val="30"/>
          <w:lang w:val="en-US" w:eastAsia="zh-CN"/>
        </w:rPr>
        <w:t>,</w:t>
      </w:r>
      <w:r>
        <w:rPr>
          <w:rFonts w:hint="eastAsia" w:ascii="Times New Roman" w:hAnsi="Times New Roman" w:eastAsia="仿宋" w:cs="Times New Roman"/>
          <w:color w:val="auto"/>
          <w:sz w:val="30"/>
          <w:lang w:val="zh-CN"/>
        </w:rPr>
        <w:t>147.36</w:t>
      </w:r>
      <w:r>
        <w:rPr>
          <w:rFonts w:hint="eastAsia" w:ascii="Times New Roman" w:hAnsi="Times New Roman" w:eastAsia="仿宋" w:cs="Times New Roman"/>
          <w:color w:val="auto"/>
          <w:sz w:val="30"/>
          <w:lang w:val="zh-CN" w:eastAsia="zh-CN"/>
        </w:rPr>
        <w:t>元，增长</w:t>
      </w:r>
      <w:r>
        <w:rPr>
          <w:rFonts w:hint="eastAsia" w:ascii="Times New Roman" w:hAnsi="Times New Roman" w:eastAsia="仿宋" w:cs="Times New Roman"/>
          <w:color w:val="auto"/>
          <w:sz w:val="30"/>
          <w:lang w:val="zh-CN"/>
        </w:rPr>
        <w:t>54.99%</w:t>
      </w:r>
      <w:r>
        <w:rPr>
          <w:rFonts w:hint="eastAsia" w:ascii="Times New Roman" w:hAnsi="Times New Roman" w:eastAsia="仿宋" w:cs="Times New Roman"/>
          <w:color w:val="auto"/>
          <w:sz w:val="30"/>
          <w:lang w:val="zh-CN" w:eastAsia="zh-CN"/>
        </w:rPr>
        <w:t>；项目支出增加</w:t>
      </w:r>
      <w:r>
        <w:rPr>
          <w:rFonts w:hint="eastAsia" w:ascii="Times New Roman" w:hAnsi="Times New Roman" w:eastAsia="仿宋" w:cs="Times New Roman"/>
          <w:color w:val="auto"/>
          <w:sz w:val="30"/>
          <w:lang w:val="zh-CN"/>
        </w:rPr>
        <w:t>3</w:t>
      </w:r>
      <w:r>
        <w:rPr>
          <w:rFonts w:hint="eastAsia" w:ascii="Times New Roman" w:hAnsi="Times New Roman" w:eastAsia="仿宋" w:cs="Times New Roman"/>
          <w:color w:val="auto"/>
          <w:sz w:val="30"/>
          <w:lang w:val="en-US" w:eastAsia="zh-CN"/>
        </w:rPr>
        <w:t>,</w:t>
      </w:r>
      <w:r>
        <w:rPr>
          <w:rFonts w:hint="eastAsia" w:ascii="Times New Roman" w:hAnsi="Times New Roman" w:eastAsia="仿宋" w:cs="Times New Roman"/>
          <w:color w:val="auto"/>
          <w:sz w:val="30"/>
          <w:lang w:val="zh-CN"/>
        </w:rPr>
        <w:t>955</w:t>
      </w:r>
      <w:r>
        <w:rPr>
          <w:rFonts w:hint="eastAsia" w:ascii="Times New Roman" w:hAnsi="Times New Roman" w:eastAsia="仿宋" w:cs="Times New Roman"/>
          <w:color w:val="auto"/>
          <w:sz w:val="30"/>
          <w:lang w:val="en-US" w:eastAsia="zh-CN"/>
        </w:rPr>
        <w:t>,</w:t>
      </w:r>
      <w:r>
        <w:rPr>
          <w:rFonts w:hint="eastAsia" w:ascii="Times New Roman" w:hAnsi="Times New Roman" w:eastAsia="仿宋" w:cs="Times New Roman"/>
          <w:color w:val="auto"/>
          <w:sz w:val="30"/>
          <w:lang w:val="zh-CN"/>
        </w:rPr>
        <w:t>045.17</w:t>
      </w:r>
      <w:r>
        <w:rPr>
          <w:rFonts w:hint="eastAsia" w:ascii="Times New Roman" w:hAnsi="Times New Roman" w:eastAsia="仿宋" w:cs="Times New Roman"/>
          <w:color w:val="auto"/>
          <w:sz w:val="30"/>
          <w:lang w:val="zh-CN" w:eastAsia="zh-CN"/>
        </w:rPr>
        <w:t>元，增长</w:t>
      </w:r>
      <w:r>
        <w:rPr>
          <w:rFonts w:hint="eastAsia" w:ascii="Times New Roman" w:hAnsi="Times New Roman" w:eastAsia="仿宋" w:cs="Times New Roman"/>
          <w:color w:val="auto"/>
          <w:sz w:val="30"/>
          <w:lang w:val="zh-CN"/>
        </w:rPr>
        <w:t>53.47%</w:t>
      </w:r>
      <w:r>
        <w:rPr>
          <w:rFonts w:hint="eastAsia" w:ascii="Times New Roman" w:hAnsi="Times New Roman" w:eastAsia="仿宋" w:cs="Times New Roman"/>
          <w:color w:val="auto"/>
          <w:sz w:val="30"/>
          <w:lang w:val="zh-CN" w:eastAsia="zh-CN"/>
        </w:rPr>
        <w:t>。</w:t>
      </w:r>
      <w:r>
        <w:rPr>
          <w:rFonts w:hint="eastAsia" w:ascii="Times New Roman" w:hAnsi="Times New Roman" w:eastAsia="仿宋" w:cs="Times New Roman"/>
          <w:color w:val="auto"/>
          <w:sz w:val="30"/>
          <w:lang w:val="en-US" w:eastAsia="zh-CN"/>
        </w:rPr>
        <w:t>基本支出增加的</w:t>
      </w:r>
      <w:r>
        <w:rPr>
          <w:rFonts w:hint="eastAsia" w:ascii="Times New Roman" w:hAnsi="Times New Roman" w:eastAsia="仿宋" w:cs="Times New Roman"/>
          <w:color w:val="auto"/>
          <w:sz w:val="30"/>
          <w:lang w:val="zh-CN"/>
        </w:rPr>
        <w:t>主要原因</w:t>
      </w:r>
      <w:r>
        <w:rPr>
          <w:rFonts w:hint="eastAsia" w:ascii="Times New Roman" w:hAnsi="Times New Roman" w:eastAsia="仿宋" w:cs="Times New Roman"/>
          <w:color w:val="auto"/>
          <w:sz w:val="30"/>
          <w:lang w:val="zh-CN" w:eastAsia="zh-CN"/>
        </w:rPr>
        <w:t>是：</w:t>
      </w:r>
      <w:r>
        <w:rPr>
          <w:rFonts w:hint="eastAsia" w:ascii="Times New Roman" w:hAnsi="Times New Roman" w:eastAsia="仿宋" w:cs="Times New Roman"/>
          <w:color w:val="auto"/>
          <w:sz w:val="30"/>
          <w:lang w:val="en-US" w:eastAsia="zh-CN"/>
        </w:rPr>
        <w:t>华宁县第一中学和华宁县第二中学教育资源整合，在职人员增加，导致工资福利支出等大幅度增加。项目支出增加的主要原因是：本年度安排了政府性基金预算财政拨款偿还拖欠中小企业债务支出。</w:t>
      </w:r>
    </w:p>
    <w:p w14:paraId="78BBB32A">
      <w:pPr>
        <w:keepNext w:val="0"/>
        <w:keepLines w:val="0"/>
        <w:pageBreakBefore w:val="0"/>
        <w:widowControl/>
        <w:kinsoku/>
        <w:wordWrap/>
        <w:overflowPunct/>
        <w:topLinePunct w:val="0"/>
        <w:autoSpaceDE/>
        <w:autoSpaceDN/>
        <w:bidi w:val="0"/>
        <w:adjustRightInd/>
        <w:snapToGrid w:val="0"/>
        <w:spacing w:line="590" w:lineRule="exact"/>
        <w:ind w:firstLine="600" w:firstLineChars="200"/>
        <w:jc w:val="left"/>
        <w:textAlignment w:val="auto"/>
        <w:outlineLvl w:val="2"/>
        <w:rPr>
          <w:rFonts w:hint="eastAsia" w:ascii="楷体" w:hAnsi="楷体" w:eastAsia="楷体"/>
          <w:sz w:val="30"/>
          <w:szCs w:val="30"/>
          <w:highlight w:val="none"/>
        </w:rPr>
      </w:pPr>
      <w:r>
        <w:rPr>
          <w:rFonts w:hint="eastAsia" w:ascii="楷体" w:hAnsi="楷体" w:eastAsia="楷体"/>
          <w:sz w:val="30"/>
          <w:szCs w:val="30"/>
          <w:highlight w:val="none"/>
        </w:rPr>
        <w:t>（一）基本支出情况</w:t>
      </w:r>
    </w:p>
    <w:p w14:paraId="583FCC87">
      <w:pPr>
        <w:keepNext w:val="0"/>
        <w:keepLines w:val="0"/>
        <w:pageBreakBefore w:val="0"/>
        <w:widowControl/>
        <w:kinsoku/>
        <w:wordWrap/>
        <w:overflowPunct/>
        <w:topLinePunct w:val="0"/>
        <w:autoSpaceDE/>
        <w:autoSpaceDN/>
        <w:bidi w:val="0"/>
        <w:adjustRightInd/>
        <w:snapToGrid w:val="0"/>
        <w:spacing w:line="590" w:lineRule="exact"/>
        <w:ind w:firstLine="600" w:firstLineChars="200"/>
        <w:jc w:val="both"/>
        <w:textAlignment w:val="auto"/>
        <w:rPr>
          <w:rFonts w:hint="eastAsia" w:ascii="Times New Roman" w:hAnsi="Times New Roman" w:eastAsia="仿宋" w:cs="Times New Roman"/>
          <w:color w:val="auto"/>
          <w:sz w:val="30"/>
          <w:lang w:val="zh-CN"/>
        </w:rPr>
      </w:pPr>
      <w:r>
        <w:rPr>
          <w:rFonts w:hint="eastAsia" w:ascii="Times New Roman" w:hAnsi="Times New Roman" w:eastAsia="仿宋" w:cs="Times New Roman"/>
          <w:color w:val="auto"/>
          <w:sz w:val="30"/>
          <w:lang w:val="en-US" w:eastAsia="zh-CN"/>
        </w:rPr>
        <w:t>2025年度</w:t>
      </w:r>
      <w:r>
        <w:rPr>
          <w:rFonts w:hint="eastAsia" w:ascii="Times New Roman" w:hAnsi="Times New Roman" w:eastAsia="仿宋" w:cs="Times New Roman"/>
          <w:color w:val="auto"/>
          <w:sz w:val="30"/>
          <w:lang w:val="zh-CN"/>
        </w:rPr>
        <w:t>用于保障华宁县第一中学机构正常运转的日常支出50</w:t>
      </w:r>
      <w:r>
        <w:rPr>
          <w:rFonts w:hint="eastAsia" w:ascii="Times New Roman" w:hAnsi="Times New Roman" w:eastAsia="仿宋" w:cs="Times New Roman"/>
          <w:color w:val="auto"/>
          <w:sz w:val="30"/>
          <w:lang w:val="en-US" w:eastAsia="zh-CN"/>
        </w:rPr>
        <w:t>,</w:t>
      </w:r>
      <w:r>
        <w:rPr>
          <w:rFonts w:hint="eastAsia" w:ascii="Times New Roman" w:hAnsi="Times New Roman" w:eastAsia="仿宋" w:cs="Times New Roman"/>
          <w:color w:val="auto"/>
          <w:sz w:val="30"/>
          <w:lang w:val="zh-CN"/>
        </w:rPr>
        <w:t>140</w:t>
      </w:r>
      <w:r>
        <w:rPr>
          <w:rFonts w:hint="eastAsia" w:ascii="Times New Roman" w:hAnsi="Times New Roman" w:eastAsia="仿宋" w:cs="Times New Roman"/>
          <w:color w:val="auto"/>
          <w:sz w:val="30"/>
          <w:lang w:val="en-US" w:eastAsia="zh-CN"/>
        </w:rPr>
        <w:t>,</w:t>
      </w:r>
      <w:r>
        <w:rPr>
          <w:rFonts w:hint="eastAsia" w:ascii="Times New Roman" w:hAnsi="Times New Roman" w:eastAsia="仿宋" w:cs="Times New Roman"/>
          <w:color w:val="auto"/>
          <w:sz w:val="30"/>
          <w:lang w:val="zh-CN"/>
        </w:rPr>
        <w:t>552.50</w:t>
      </w:r>
      <w:r>
        <w:rPr>
          <w:rFonts w:hint="eastAsia" w:ascii="Times New Roman" w:hAnsi="Times New Roman" w:eastAsia="仿宋" w:cs="Times New Roman"/>
          <w:color w:val="auto"/>
          <w:sz w:val="30"/>
          <w:lang w:val="zh-CN" w:eastAsia="zh-CN"/>
        </w:rPr>
        <w:t>元</w:t>
      </w:r>
      <w:r>
        <w:rPr>
          <w:rFonts w:hint="eastAsia" w:ascii="Times New Roman" w:hAnsi="Times New Roman" w:eastAsia="仿宋" w:cs="Times New Roman"/>
          <w:color w:val="auto"/>
          <w:sz w:val="30"/>
          <w:lang w:val="zh-CN"/>
        </w:rPr>
        <w:t>。</w:t>
      </w:r>
      <w:r>
        <w:rPr>
          <w:rFonts w:hint="eastAsia" w:ascii="Times New Roman" w:hAnsi="Times New Roman" w:eastAsia="仿宋" w:cs="Times New Roman"/>
          <w:color w:val="auto"/>
          <w:sz w:val="30"/>
          <w:lang w:val="zh-CN" w:eastAsia="zh-CN"/>
        </w:rPr>
        <w:t>其中：</w:t>
      </w:r>
      <w:r>
        <w:rPr>
          <w:rFonts w:hint="eastAsia" w:ascii="Times New Roman" w:hAnsi="Times New Roman" w:eastAsia="仿宋" w:cs="Times New Roman"/>
          <w:color w:val="auto"/>
          <w:sz w:val="30"/>
          <w:lang w:val="zh-CN"/>
        </w:rPr>
        <w:t>基本工资、津贴补贴等人员经费支出49</w:t>
      </w:r>
      <w:r>
        <w:rPr>
          <w:rFonts w:hint="eastAsia" w:ascii="Times New Roman" w:hAnsi="Times New Roman" w:eastAsia="仿宋" w:cs="Times New Roman"/>
          <w:color w:val="auto"/>
          <w:sz w:val="30"/>
          <w:lang w:val="en-US" w:eastAsia="zh-CN"/>
        </w:rPr>
        <w:t>,</w:t>
      </w:r>
      <w:r>
        <w:rPr>
          <w:rFonts w:hint="eastAsia" w:ascii="Times New Roman" w:hAnsi="Times New Roman" w:eastAsia="仿宋" w:cs="Times New Roman"/>
          <w:color w:val="auto"/>
          <w:sz w:val="30"/>
          <w:lang w:val="zh-CN"/>
        </w:rPr>
        <w:t>952</w:t>
      </w:r>
      <w:r>
        <w:rPr>
          <w:rFonts w:hint="eastAsia" w:ascii="Times New Roman" w:hAnsi="Times New Roman" w:eastAsia="仿宋" w:cs="Times New Roman"/>
          <w:color w:val="auto"/>
          <w:sz w:val="30"/>
          <w:lang w:val="en-US" w:eastAsia="zh-CN"/>
        </w:rPr>
        <w:t>,</w:t>
      </w:r>
      <w:r>
        <w:rPr>
          <w:rFonts w:hint="eastAsia" w:ascii="Times New Roman" w:hAnsi="Times New Roman" w:eastAsia="仿宋" w:cs="Times New Roman"/>
          <w:color w:val="auto"/>
          <w:sz w:val="30"/>
          <w:lang w:val="zh-CN"/>
        </w:rPr>
        <w:t>548.90</w:t>
      </w:r>
      <w:r>
        <w:rPr>
          <w:rFonts w:hint="eastAsia" w:ascii="Times New Roman" w:hAnsi="Times New Roman" w:eastAsia="仿宋" w:cs="Times New Roman"/>
          <w:color w:val="auto"/>
          <w:sz w:val="30"/>
          <w:lang w:val="zh-CN" w:eastAsia="zh-CN"/>
        </w:rPr>
        <w:t>元，</w:t>
      </w:r>
      <w:r>
        <w:rPr>
          <w:rFonts w:hint="eastAsia" w:ascii="Times New Roman" w:hAnsi="Times New Roman" w:eastAsia="仿宋" w:cs="Times New Roman"/>
          <w:color w:val="auto"/>
          <w:sz w:val="30"/>
          <w:lang w:val="zh-CN"/>
        </w:rPr>
        <w:t>占基本支出的99.63％；办公费、印刷费、水电费、办公设备购置等公用经费188</w:t>
      </w:r>
      <w:r>
        <w:rPr>
          <w:rFonts w:hint="eastAsia" w:ascii="Times New Roman" w:hAnsi="Times New Roman" w:eastAsia="仿宋" w:cs="Times New Roman"/>
          <w:color w:val="auto"/>
          <w:sz w:val="30"/>
          <w:lang w:val="en-US" w:eastAsia="zh-CN"/>
        </w:rPr>
        <w:t>,</w:t>
      </w:r>
      <w:r>
        <w:rPr>
          <w:rFonts w:hint="eastAsia" w:ascii="Times New Roman" w:hAnsi="Times New Roman" w:eastAsia="仿宋" w:cs="Times New Roman"/>
          <w:color w:val="auto"/>
          <w:sz w:val="30"/>
          <w:lang w:val="zh-CN"/>
        </w:rPr>
        <w:t>003.60</w:t>
      </w:r>
      <w:r>
        <w:rPr>
          <w:rFonts w:hint="eastAsia" w:ascii="Times New Roman" w:hAnsi="Times New Roman" w:eastAsia="仿宋" w:cs="Times New Roman"/>
          <w:color w:val="auto"/>
          <w:sz w:val="30"/>
          <w:lang w:val="zh-CN" w:eastAsia="zh-CN"/>
        </w:rPr>
        <w:t>元，</w:t>
      </w:r>
      <w:r>
        <w:rPr>
          <w:rFonts w:hint="eastAsia" w:ascii="Times New Roman" w:hAnsi="Times New Roman" w:eastAsia="仿宋" w:cs="Times New Roman"/>
          <w:color w:val="auto"/>
          <w:sz w:val="30"/>
          <w:lang w:val="zh-CN"/>
        </w:rPr>
        <w:t>占基本支出的0.37％。</w:t>
      </w:r>
      <w:r>
        <w:rPr>
          <w:rFonts w:hint="eastAsia" w:ascii="Times New Roman" w:hAnsi="Times New Roman" w:eastAsia="仿宋" w:cs="Times New Roman"/>
          <w:color w:val="auto"/>
          <w:sz w:val="30"/>
          <w:lang w:val="en-US" w:eastAsia="zh-CN"/>
        </w:rPr>
        <w:t>人均支出202,179.64元，人均工资福利支出201,421.56元。</w:t>
      </w:r>
    </w:p>
    <w:p w14:paraId="704DF543">
      <w:pPr>
        <w:keepNext w:val="0"/>
        <w:keepLines w:val="0"/>
        <w:pageBreakBefore w:val="0"/>
        <w:widowControl/>
        <w:kinsoku/>
        <w:wordWrap/>
        <w:overflowPunct/>
        <w:topLinePunct w:val="0"/>
        <w:autoSpaceDE/>
        <w:autoSpaceDN/>
        <w:bidi w:val="0"/>
        <w:adjustRightInd/>
        <w:snapToGrid w:val="0"/>
        <w:spacing w:line="590" w:lineRule="exact"/>
        <w:ind w:firstLine="600" w:firstLineChars="200"/>
        <w:jc w:val="left"/>
        <w:textAlignment w:val="auto"/>
        <w:outlineLvl w:val="2"/>
        <w:rPr>
          <w:rFonts w:hint="eastAsia" w:ascii="楷体" w:hAnsi="楷体" w:eastAsia="楷体"/>
          <w:sz w:val="30"/>
          <w:szCs w:val="30"/>
          <w:highlight w:val="none"/>
        </w:rPr>
      </w:pPr>
      <w:r>
        <w:rPr>
          <w:rFonts w:hint="eastAsia" w:ascii="楷体" w:hAnsi="楷体" w:eastAsia="楷体"/>
          <w:sz w:val="30"/>
          <w:szCs w:val="30"/>
          <w:highlight w:val="none"/>
        </w:rPr>
        <w:t>（二）项目支出情况</w:t>
      </w:r>
    </w:p>
    <w:p w14:paraId="77FB7393">
      <w:pPr>
        <w:keepNext w:val="0"/>
        <w:keepLines w:val="0"/>
        <w:pageBreakBefore w:val="0"/>
        <w:widowControl/>
        <w:kinsoku/>
        <w:wordWrap/>
        <w:overflowPunct/>
        <w:topLinePunct w:val="0"/>
        <w:autoSpaceDE/>
        <w:autoSpaceDN/>
        <w:bidi w:val="0"/>
        <w:adjustRightInd/>
        <w:snapToGrid w:val="0"/>
        <w:spacing w:line="590" w:lineRule="exact"/>
        <w:ind w:firstLine="600" w:firstLineChars="200"/>
        <w:jc w:val="both"/>
        <w:textAlignment w:val="auto"/>
        <w:rPr>
          <w:rFonts w:hint="default" w:ascii="Times New Roman" w:hAnsi="Times New Roman" w:eastAsia="仿宋" w:cs="Times New Roman"/>
          <w:color w:val="auto"/>
          <w:sz w:val="30"/>
          <w:lang w:val="en-US"/>
        </w:rPr>
      </w:pPr>
      <w:r>
        <w:rPr>
          <w:rFonts w:hint="eastAsia" w:ascii="Times New Roman" w:hAnsi="Times New Roman" w:eastAsia="仿宋" w:cs="Times New Roman"/>
          <w:color w:val="auto"/>
          <w:sz w:val="30"/>
          <w:lang w:val="en-US" w:eastAsia="zh-CN"/>
        </w:rPr>
        <w:t>2025年度</w:t>
      </w:r>
      <w:r>
        <w:rPr>
          <w:rFonts w:hint="eastAsia" w:ascii="Times New Roman" w:hAnsi="Times New Roman" w:eastAsia="仿宋" w:cs="Times New Roman"/>
          <w:color w:val="auto"/>
          <w:sz w:val="30"/>
          <w:lang w:val="zh-CN"/>
        </w:rPr>
        <w:t>用于保障华宁县第一中学为完成特定的行政工作任务或事业发展目标，用于专项业务工作的经费支出11</w:t>
      </w:r>
      <w:r>
        <w:rPr>
          <w:rFonts w:hint="eastAsia" w:ascii="Times New Roman" w:hAnsi="Times New Roman" w:eastAsia="仿宋" w:cs="Times New Roman"/>
          <w:color w:val="auto"/>
          <w:sz w:val="30"/>
          <w:lang w:val="en-US" w:eastAsia="zh-CN"/>
        </w:rPr>
        <w:t>,</w:t>
      </w:r>
      <w:r>
        <w:rPr>
          <w:rFonts w:hint="eastAsia" w:ascii="Times New Roman" w:hAnsi="Times New Roman" w:eastAsia="仿宋" w:cs="Times New Roman"/>
          <w:color w:val="auto"/>
          <w:sz w:val="30"/>
          <w:lang w:val="zh-CN"/>
        </w:rPr>
        <w:t>351</w:t>
      </w:r>
      <w:r>
        <w:rPr>
          <w:rFonts w:hint="eastAsia" w:ascii="Times New Roman" w:hAnsi="Times New Roman" w:eastAsia="仿宋" w:cs="Times New Roman"/>
          <w:color w:val="auto"/>
          <w:sz w:val="30"/>
          <w:lang w:val="en-US" w:eastAsia="zh-CN"/>
        </w:rPr>
        <w:t>,</w:t>
      </w:r>
      <w:r>
        <w:rPr>
          <w:rFonts w:hint="eastAsia" w:ascii="Times New Roman" w:hAnsi="Times New Roman" w:eastAsia="仿宋" w:cs="Times New Roman"/>
          <w:color w:val="auto"/>
          <w:sz w:val="30"/>
          <w:lang w:val="zh-CN"/>
        </w:rPr>
        <w:t>364.77</w:t>
      </w:r>
      <w:r>
        <w:rPr>
          <w:rFonts w:hint="eastAsia" w:ascii="Times New Roman" w:hAnsi="Times New Roman" w:eastAsia="仿宋" w:cs="Times New Roman"/>
          <w:color w:val="auto"/>
          <w:sz w:val="30"/>
          <w:lang w:val="zh-CN" w:eastAsia="zh-CN"/>
        </w:rPr>
        <w:t>元</w:t>
      </w:r>
      <w:r>
        <w:rPr>
          <w:rFonts w:hint="eastAsia" w:ascii="Times New Roman" w:hAnsi="Times New Roman" w:eastAsia="仿宋" w:cs="Times New Roman"/>
          <w:color w:val="auto"/>
          <w:sz w:val="30"/>
          <w:lang w:val="zh-CN"/>
        </w:rPr>
        <w:t>。</w:t>
      </w:r>
      <w:r>
        <w:rPr>
          <w:rFonts w:hint="eastAsia" w:ascii="Times New Roman" w:hAnsi="Times New Roman" w:eastAsia="仿宋" w:cs="Times New Roman"/>
          <w:color w:val="auto"/>
          <w:sz w:val="30"/>
          <w:lang w:val="zh-CN" w:eastAsia="zh-CN"/>
        </w:rPr>
        <w:t>其中：</w:t>
      </w:r>
      <w:r>
        <w:rPr>
          <w:rFonts w:hint="eastAsia" w:ascii="Times New Roman" w:hAnsi="Times New Roman" w:eastAsia="仿宋" w:cs="Times New Roman"/>
          <w:color w:val="auto"/>
          <w:sz w:val="30"/>
          <w:lang w:val="en-US" w:eastAsia="zh-CN"/>
        </w:rPr>
        <w:t>商品和服务支出2,801,982.37元，占比24.68%；对个人和家庭的补助2,140,782.40，占比18.86%；资本性支出（</w:t>
      </w:r>
      <w:r>
        <w:rPr>
          <w:rFonts w:hint="eastAsia" w:ascii="Times New Roman" w:hAnsi="Times New Roman" w:eastAsia="仿宋" w:cs="Times New Roman"/>
          <w:color w:val="auto"/>
          <w:sz w:val="30"/>
          <w:lang w:val="zh-CN" w:eastAsia="zh-CN"/>
        </w:rPr>
        <w:t>基本建设</w:t>
      </w:r>
      <w:r>
        <w:rPr>
          <w:rFonts w:hint="eastAsia" w:ascii="Times New Roman" w:hAnsi="Times New Roman" w:eastAsia="仿宋" w:cs="Times New Roman"/>
          <w:color w:val="auto"/>
          <w:sz w:val="30"/>
          <w:lang w:val="en-US" w:eastAsia="zh-CN"/>
        </w:rPr>
        <w:t>）</w:t>
      </w:r>
      <w:r>
        <w:rPr>
          <w:rFonts w:hint="eastAsia" w:ascii="Times New Roman" w:hAnsi="Times New Roman" w:eastAsia="仿宋" w:cs="Times New Roman"/>
          <w:color w:val="auto"/>
          <w:sz w:val="30"/>
          <w:lang w:val="zh-CN"/>
        </w:rPr>
        <w:t>1</w:t>
      </w:r>
      <w:r>
        <w:rPr>
          <w:rFonts w:hint="eastAsia" w:ascii="Times New Roman" w:hAnsi="Times New Roman" w:eastAsia="仿宋" w:cs="Times New Roman"/>
          <w:color w:val="auto"/>
          <w:sz w:val="30"/>
          <w:lang w:val="en-US" w:eastAsia="zh-CN"/>
        </w:rPr>
        <w:t>,</w:t>
      </w:r>
      <w:r>
        <w:rPr>
          <w:rFonts w:hint="eastAsia" w:ascii="Times New Roman" w:hAnsi="Times New Roman" w:eastAsia="仿宋" w:cs="Times New Roman"/>
          <w:color w:val="auto"/>
          <w:sz w:val="30"/>
          <w:lang w:val="zh-CN"/>
        </w:rPr>
        <w:t>500</w:t>
      </w:r>
      <w:r>
        <w:rPr>
          <w:rFonts w:hint="eastAsia" w:ascii="Times New Roman" w:hAnsi="Times New Roman" w:eastAsia="仿宋" w:cs="Times New Roman"/>
          <w:color w:val="auto"/>
          <w:sz w:val="30"/>
          <w:lang w:val="en-US" w:eastAsia="zh-CN"/>
        </w:rPr>
        <w:t>,</w:t>
      </w:r>
      <w:r>
        <w:rPr>
          <w:rFonts w:hint="eastAsia" w:ascii="Times New Roman" w:hAnsi="Times New Roman" w:eastAsia="仿宋" w:cs="Times New Roman"/>
          <w:color w:val="auto"/>
          <w:sz w:val="30"/>
          <w:lang w:val="zh-CN"/>
        </w:rPr>
        <w:t>000.00</w:t>
      </w:r>
      <w:r>
        <w:rPr>
          <w:rFonts w:hint="eastAsia" w:ascii="Times New Roman" w:hAnsi="Times New Roman" w:eastAsia="仿宋" w:cs="Times New Roman"/>
          <w:color w:val="auto"/>
          <w:sz w:val="30"/>
          <w:lang w:val="zh-CN" w:eastAsia="zh-CN"/>
        </w:rPr>
        <w:t>元，</w:t>
      </w:r>
      <w:r>
        <w:rPr>
          <w:rFonts w:hint="eastAsia" w:ascii="Times New Roman" w:hAnsi="Times New Roman" w:eastAsia="仿宋" w:cs="Times New Roman"/>
          <w:color w:val="auto"/>
          <w:sz w:val="30"/>
          <w:lang w:val="en-US" w:eastAsia="zh-CN"/>
        </w:rPr>
        <w:t>占比13.21%</w:t>
      </w:r>
      <w:r>
        <w:rPr>
          <w:rFonts w:hint="eastAsia" w:ascii="Times New Roman" w:hAnsi="Times New Roman" w:eastAsia="仿宋" w:cs="Times New Roman"/>
          <w:color w:val="auto"/>
          <w:sz w:val="30"/>
          <w:lang w:val="zh-CN" w:eastAsia="zh-CN"/>
        </w:rPr>
        <w:t>；</w:t>
      </w:r>
      <w:r>
        <w:rPr>
          <w:rFonts w:hint="eastAsia" w:ascii="Times New Roman" w:hAnsi="Times New Roman" w:eastAsia="仿宋" w:cs="Times New Roman"/>
          <w:color w:val="auto"/>
          <w:sz w:val="30"/>
          <w:lang w:val="en-US" w:eastAsia="zh-CN"/>
        </w:rPr>
        <w:t>资本性支出4,908,600.00元，占比43.25%。</w:t>
      </w:r>
    </w:p>
    <w:p w14:paraId="259C3A3F">
      <w:pPr>
        <w:keepNext w:val="0"/>
        <w:keepLines w:val="0"/>
        <w:pageBreakBefore w:val="0"/>
        <w:widowControl/>
        <w:kinsoku/>
        <w:wordWrap/>
        <w:overflowPunct/>
        <w:topLinePunct w:val="0"/>
        <w:autoSpaceDE/>
        <w:autoSpaceDN/>
        <w:bidi w:val="0"/>
        <w:adjustRightInd/>
        <w:snapToGrid w:val="0"/>
        <w:spacing w:line="590" w:lineRule="exact"/>
        <w:ind w:firstLine="600" w:firstLineChars="200"/>
        <w:jc w:val="both"/>
        <w:textAlignment w:val="auto"/>
        <w:rPr>
          <w:rFonts w:hint="eastAsia" w:ascii="Times New Roman" w:hAnsi="Times New Roman" w:eastAsia="仿宋" w:cs="Times New Roman"/>
          <w:color w:val="auto"/>
          <w:sz w:val="30"/>
          <w:lang w:val="zh-CN"/>
        </w:rPr>
      </w:pPr>
      <w:r>
        <w:rPr>
          <w:rFonts w:hint="eastAsia" w:ascii="Times New Roman" w:hAnsi="Times New Roman" w:eastAsia="仿宋" w:cs="Times New Roman"/>
          <w:color w:val="auto"/>
          <w:sz w:val="30"/>
          <w:lang w:val="zh-CN"/>
        </w:rPr>
        <w:t>生均公用经费项目经费</w:t>
      </w:r>
      <w:r>
        <w:rPr>
          <w:rFonts w:hint="eastAsia" w:ascii="Times New Roman" w:hAnsi="Times New Roman" w:eastAsia="仿宋" w:cs="Times New Roman"/>
          <w:color w:val="auto"/>
          <w:sz w:val="30"/>
          <w:lang w:val="en-US" w:eastAsia="zh-CN"/>
        </w:rPr>
        <w:t>2</w:t>
      </w:r>
      <w:r>
        <w:rPr>
          <w:rFonts w:hint="eastAsia" w:eastAsia="仿宋" w:cs="Times New Roman"/>
          <w:color w:val="auto"/>
          <w:sz w:val="30"/>
          <w:lang w:val="en-US" w:eastAsia="zh-CN"/>
        </w:rPr>
        <w:t>,</w:t>
      </w:r>
      <w:r>
        <w:rPr>
          <w:rFonts w:hint="eastAsia" w:ascii="Times New Roman" w:hAnsi="Times New Roman" w:eastAsia="仿宋" w:cs="Times New Roman"/>
          <w:color w:val="auto"/>
          <w:sz w:val="30"/>
          <w:lang w:val="en-US" w:eastAsia="zh-CN"/>
        </w:rPr>
        <w:t>432</w:t>
      </w:r>
      <w:r>
        <w:rPr>
          <w:rFonts w:hint="eastAsia" w:eastAsia="仿宋" w:cs="Times New Roman"/>
          <w:color w:val="auto"/>
          <w:sz w:val="30"/>
          <w:lang w:val="en-US" w:eastAsia="zh-CN"/>
        </w:rPr>
        <w:t>,</w:t>
      </w:r>
      <w:r>
        <w:rPr>
          <w:rFonts w:hint="eastAsia" w:ascii="Times New Roman" w:hAnsi="Times New Roman" w:eastAsia="仿宋" w:cs="Times New Roman"/>
          <w:color w:val="auto"/>
          <w:sz w:val="30"/>
          <w:lang w:val="en-US" w:eastAsia="zh-CN"/>
        </w:rPr>
        <w:t>919.01</w:t>
      </w:r>
      <w:r>
        <w:rPr>
          <w:rFonts w:hint="eastAsia" w:ascii="Times New Roman" w:hAnsi="Times New Roman" w:eastAsia="仿宋" w:cs="Times New Roman"/>
          <w:color w:val="auto"/>
          <w:sz w:val="30"/>
          <w:lang w:val="zh-CN"/>
        </w:rPr>
        <w:t>元，主要用于支付学校办公费、差旅费、水费、电费、维修维护费。</w:t>
      </w:r>
    </w:p>
    <w:p w14:paraId="70878AD5">
      <w:pPr>
        <w:keepNext w:val="0"/>
        <w:keepLines w:val="0"/>
        <w:pageBreakBefore w:val="0"/>
        <w:widowControl/>
        <w:kinsoku/>
        <w:wordWrap/>
        <w:overflowPunct/>
        <w:topLinePunct w:val="0"/>
        <w:autoSpaceDE/>
        <w:autoSpaceDN/>
        <w:bidi w:val="0"/>
        <w:adjustRightInd/>
        <w:snapToGrid w:val="0"/>
        <w:spacing w:line="590" w:lineRule="exact"/>
        <w:ind w:firstLine="600" w:firstLineChars="200"/>
        <w:jc w:val="both"/>
        <w:textAlignment w:val="auto"/>
        <w:rPr>
          <w:rFonts w:hint="eastAsia" w:ascii="Times New Roman" w:hAnsi="Times New Roman" w:eastAsia="仿宋" w:cs="Times New Roman"/>
          <w:color w:val="auto"/>
          <w:sz w:val="30"/>
          <w:lang w:val="en-US" w:eastAsia="zh-CN"/>
        </w:rPr>
      </w:pPr>
      <w:r>
        <w:rPr>
          <w:rFonts w:hint="eastAsia" w:ascii="Times New Roman" w:hAnsi="Times New Roman" w:eastAsia="仿宋" w:cs="Times New Roman"/>
          <w:color w:val="auto"/>
          <w:sz w:val="30"/>
          <w:lang w:val="en-US" w:eastAsia="zh-CN"/>
        </w:rPr>
        <w:t>普通高中免学杂费</w:t>
      </w:r>
      <w:r>
        <w:rPr>
          <w:rFonts w:hint="eastAsia" w:ascii="Times New Roman" w:hAnsi="Times New Roman" w:eastAsia="仿宋" w:cs="Times New Roman"/>
          <w:color w:val="auto"/>
          <w:sz w:val="30"/>
          <w:lang w:val="zh-CN"/>
        </w:rPr>
        <w:t>项目经费</w:t>
      </w:r>
      <w:r>
        <w:rPr>
          <w:rFonts w:hint="eastAsia" w:ascii="Times New Roman" w:hAnsi="Times New Roman" w:eastAsia="仿宋" w:cs="Times New Roman"/>
          <w:color w:val="auto"/>
          <w:sz w:val="30"/>
          <w:lang w:val="en-US" w:eastAsia="zh-CN"/>
        </w:rPr>
        <w:t>353</w:t>
      </w:r>
      <w:r>
        <w:rPr>
          <w:rFonts w:hint="eastAsia" w:eastAsia="仿宋" w:cs="Times New Roman"/>
          <w:color w:val="auto"/>
          <w:sz w:val="30"/>
          <w:lang w:val="en-US" w:eastAsia="zh-CN"/>
        </w:rPr>
        <w:t>,</w:t>
      </w:r>
      <w:r>
        <w:rPr>
          <w:rFonts w:hint="eastAsia" w:ascii="Times New Roman" w:hAnsi="Times New Roman" w:eastAsia="仿宋" w:cs="Times New Roman"/>
          <w:color w:val="auto"/>
          <w:sz w:val="30"/>
          <w:lang w:val="en-US" w:eastAsia="zh-CN"/>
        </w:rPr>
        <w:t>751.00</w:t>
      </w:r>
      <w:r>
        <w:rPr>
          <w:rFonts w:hint="eastAsia" w:ascii="Times New Roman" w:hAnsi="Times New Roman" w:eastAsia="仿宋" w:cs="Times New Roman"/>
          <w:color w:val="auto"/>
          <w:sz w:val="30"/>
          <w:lang w:val="zh-CN"/>
        </w:rPr>
        <w:t>元，主要用于</w:t>
      </w:r>
      <w:r>
        <w:rPr>
          <w:rFonts w:hint="eastAsia" w:ascii="Times New Roman" w:hAnsi="Times New Roman" w:eastAsia="仿宋" w:cs="Times New Roman"/>
          <w:color w:val="auto"/>
          <w:sz w:val="30"/>
          <w:lang w:val="en-US" w:eastAsia="zh-CN"/>
        </w:rPr>
        <w:t>支付我校符合享受减免学杂费学生的资助资金。</w:t>
      </w:r>
    </w:p>
    <w:p w14:paraId="02E0D5F1">
      <w:pPr>
        <w:keepNext w:val="0"/>
        <w:keepLines w:val="0"/>
        <w:pageBreakBefore w:val="0"/>
        <w:widowControl/>
        <w:kinsoku/>
        <w:wordWrap/>
        <w:overflowPunct/>
        <w:topLinePunct w:val="0"/>
        <w:autoSpaceDE/>
        <w:autoSpaceDN/>
        <w:bidi w:val="0"/>
        <w:adjustRightInd/>
        <w:snapToGrid w:val="0"/>
        <w:spacing w:line="590" w:lineRule="exact"/>
        <w:ind w:firstLine="600" w:firstLineChars="200"/>
        <w:jc w:val="both"/>
        <w:textAlignment w:val="auto"/>
        <w:rPr>
          <w:rFonts w:hint="eastAsia" w:ascii="Times New Roman" w:hAnsi="Times New Roman" w:eastAsia="仿宋" w:cs="Times New Roman"/>
          <w:color w:val="auto"/>
          <w:sz w:val="30"/>
          <w:lang w:val="en-US" w:eastAsia="zh-CN"/>
        </w:rPr>
      </w:pPr>
      <w:r>
        <w:rPr>
          <w:rFonts w:hint="eastAsia" w:ascii="Times New Roman" w:hAnsi="Times New Roman" w:eastAsia="仿宋" w:cs="Times New Roman"/>
          <w:color w:val="auto"/>
          <w:sz w:val="30"/>
          <w:lang w:val="en-US" w:eastAsia="zh-CN"/>
        </w:rPr>
        <w:t>普通高中国家助学金项目经费1</w:t>
      </w:r>
      <w:r>
        <w:rPr>
          <w:rFonts w:hint="eastAsia" w:eastAsia="仿宋" w:cs="Times New Roman"/>
          <w:color w:val="auto"/>
          <w:sz w:val="30"/>
          <w:lang w:val="en-US" w:eastAsia="zh-CN"/>
        </w:rPr>
        <w:t>,</w:t>
      </w:r>
      <w:r>
        <w:rPr>
          <w:rFonts w:hint="eastAsia" w:ascii="Times New Roman" w:hAnsi="Times New Roman" w:eastAsia="仿宋" w:cs="Times New Roman"/>
          <w:color w:val="auto"/>
          <w:sz w:val="30"/>
          <w:lang w:val="en-US" w:eastAsia="zh-CN"/>
        </w:rPr>
        <w:t>402</w:t>
      </w:r>
      <w:r>
        <w:rPr>
          <w:rFonts w:hint="eastAsia" w:eastAsia="仿宋" w:cs="Times New Roman"/>
          <w:color w:val="auto"/>
          <w:sz w:val="30"/>
          <w:lang w:val="en-US" w:eastAsia="zh-CN"/>
        </w:rPr>
        <w:t>,</w:t>
      </w:r>
      <w:r>
        <w:rPr>
          <w:rFonts w:hint="eastAsia" w:ascii="Times New Roman" w:hAnsi="Times New Roman" w:eastAsia="仿宋" w:cs="Times New Roman"/>
          <w:color w:val="auto"/>
          <w:sz w:val="30"/>
          <w:lang w:val="en-US" w:eastAsia="zh-CN"/>
        </w:rPr>
        <w:t>500.00元，主要用于支付我校符合享受国家助学金学生的资助资金。</w:t>
      </w:r>
    </w:p>
    <w:p w14:paraId="7C326D6D">
      <w:pPr>
        <w:keepNext w:val="0"/>
        <w:keepLines w:val="0"/>
        <w:pageBreakBefore w:val="0"/>
        <w:widowControl/>
        <w:kinsoku/>
        <w:wordWrap/>
        <w:overflowPunct/>
        <w:topLinePunct w:val="0"/>
        <w:autoSpaceDE/>
        <w:autoSpaceDN/>
        <w:bidi w:val="0"/>
        <w:adjustRightInd/>
        <w:snapToGrid w:val="0"/>
        <w:spacing w:line="590" w:lineRule="exact"/>
        <w:ind w:firstLine="600" w:firstLineChars="200"/>
        <w:jc w:val="both"/>
        <w:textAlignment w:val="auto"/>
        <w:rPr>
          <w:rFonts w:hint="eastAsia" w:ascii="Times New Roman" w:hAnsi="Times New Roman" w:eastAsia="仿宋" w:cs="Times New Roman"/>
          <w:color w:val="auto"/>
          <w:sz w:val="30"/>
          <w:lang w:val="en-US" w:eastAsia="zh-CN"/>
        </w:rPr>
      </w:pPr>
      <w:r>
        <w:rPr>
          <w:rFonts w:hint="eastAsia" w:ascii="Times New Roman" w:hAnsi="Times New Roman" w:eastAsia="仿宋" w:cs="Times New Roman"/>
          <w:color w:val="auto"/>
          <w:sz w:val="30"/>
          <w:lang w:val="en-US" w:eastAsia="zh-CN"/>
        </w:rPr>
        <w:t>省管校用和组团帮扶项目经费93</w:t>
      </w:r>
      <w:r>
        <w:rPr>
          <w:rFonts w:hint="eastAsia" w:eastAsia="仿宋" w:cs="Times New Roman"/>
          <w:color w:val="auto"/>
          <w:sz w:val="30"/>
          <w:lang w:val="en-US" w:eastAsia="zh-CN"/>
        </w:rPr>
        <w:t>,</w:t>
      </w:r>
      <w:r>
        <w:rPr>
          <w:rFonts w:hint="eastAsia" w:ascii="Times New Roman" w:hAnsi="Times New Roman" w:eastAsia="仿宋" w:cs="Times New Roman"/>
          <w:color w:val="auto"/>
          <w:sz w:val="30"/>
          <w:lang w:val="en-US" w:eastAsia="zh-CN"/>
        </w:rPr>
        <w:t>291.80元，主要用于支付省管校用和组团式帮扶的相关费用。</w:t>
      </w:r>
    </w:p>
    <w:p w14:paraId="243673D1">
      <w:pPr>
        <w:keepNext w:val="0"/>
        <w:keepLines w:val="0"/>
        <w:pageBreakBefore w:val="0"/>
        <w:widowControl/>
        <w:kinsoku/>
        <w:wordWrap/>
        <w:overflowPunct/>
        <w:topLinePunct w:val="0"/>
        <w:autoSpaceDE/>
        <w:autoSpaceDN/>
        <w:bidi w:val="0"/>
        <w:adjustRightInd/>
        <w:snapToGrid w:val="0"/>
        <w:spacing w:line="590" w:lineRule="exact"/>
        <w:ind w:firstLine="600" w:firstLineChars="200"/>
        <w:jc w:val="both"/>
        <w:textAlignment w:val="auto"/>
        <w:rPr>
          <w:rFonts w:hint="eastAsia" w:ascii="Times New Roman" w:hAnsi="Times New Roman" w:eastAsia="仿宋" w:cs="Times New Roman"/>
          <w:color w:val="auto"/>
          <w:sz w:val="30"/>
          <w:lang w:val="en-US" w:eastAsia="zh-CN"/>
        </w:rPr>
      </w:pPr>
      <w:r>
        <w:rPr>
          <w:rFonts w:hint="eastAsia" w:ascii="Times New Roman" w:hAnsi="Times New Roman" w:eastAsia="仿宋" w:cs="Times New Roman"/>
          <w:color w:val="auto"/>
          <w:sz w:val="30"/>
          <w:lang w:val="zh-CN"/>
        </w:rPr>
        <w:t>采购货物专项资金</w:t>
      </w:r>
      <w:r>
        <w:rPr>
          <w:rFonts w:hint="eastAsia" w:ascii="Times New Roman" w:hAnsi="Times New Roman" w:eastAsia="仿宋" w:cs="Times New Roman"/>
          <w:color w:val="auto"/>
          <w:sz w:val="30"/>
          <w:lang w:val="en-US" w:eastAsia="zh-CN"/>
        </w:rPr>
        <w:t>项目经费609</w:t>
      </w:r>
      <w:r>
        <w:rPr>
          <w:rFonts w:hint="eastAsia" w:eastAsia="仿宋" w:cs="Times New Roman"/>
          <w:color w:val="auto"/>
          <w:sz w:val="30"/>
          <w:lang w:val="en-US" w:eastAsia="zh-CN"/>
        </w:rPr>
        <w:t>,</w:t>
      </w:r>
      <w:r>
        <w:rPr>
          <w:rFonts w:hint="eastAsia" w:ascii="Times New Roman" w:hAnsi="Times New Roman" w:eastAsia="仿宋" w:cs="Times New Roman"/>
          <w:color w:val="auto"/>
          <w:sz w:val="30"/>
          <w:lang w:val="en-US" w:eastAsia="zh-CN"/>
        </w:rPr>
        <w:t>300.00元，主要用于支付货物类相关费用。</w:t>
      </w:r>
    </w:p>
    <w:p w14:paraId="63850061">
      <w:pPr>
        <w:keepNext w:val="0"/>
        <w:keepLines w:val="0"/>
        <w:pageBreakBefore w:val="0"/>
        <w:widowControl/>
        <w:kinsoku/>
        <w:wordWrap/>
        <w:overflowPunct/>
        <w:topLinePunct w:val="0"/>
        <w:autoSpaceDE/>
        <w:autoSpaceDN/>
        <w:bidi w:val="0"/>
        <w:adjustRightInd/>
        <w:snapToGrid w:val="0"/>
        <w:spacing w:line="590" w:lineRule="exact"/>
        <w:ind w:firstLine="600" w:firstLineChars="200"/>
        <w:jc w:val="both"/>
        <w:textAlignment w:val="auto"/>
        <w:rPr>
          <w:rFonts w:hint="eastAsia" w:ascii="Times New Roman" w:hAnsi="Times New Roman" w:eastAsia="仿宋" w:cs="Times New Roman"/>
          <w:color w:val="auto"/>
          <w:sz w:val="30"/>
          <w:lang w:val="en-US" w:eastAsia="zh-CN"/>
        </w:rPr>
      </w:pPr>
      <w:r>
        <w:rPr>
          <w:rFonts w:hint="eastAsia" w:ascii="Times New Roman" w:hAnsi="Times New Roman" w:eastAsia="仿宋" w:cs="Times New Roman"/>
          <w:color w:val="auto"/>
          <w:sz w:val="30"/>
          <w:lang w:val="en-US" w:eastAsia="zh-CN"/>
        </w:rPr>
        <w:t>运动场改造项目经费1</w:t>
      </w:r>
      <w:r>
        <w:rPr>
          <w:rFonts w:hint="eastAsia" w:eastAsia="仿宋" w:cs="Times New Roman"/>
          <w:color w:val="auto"/>
          <w:sz w:val="30"/>
          <w:lang w:val="en-US" w:eastAsia="zh-CN"/>
        </w:rPr>
        <w:t>,</w:t>
      </w:r>
      <w:r>
        <w:rPr>
          <w:rFonts w:hint="eastAsia" w:ascii="Times New Roman" w:hAnsi="Times New Roman" w:eastAsia="仿宋" w:cs="Times New Roman"/>
          <w:color w:val="auto"/>
          <w:sz w:val="30"/>
          <w:lang w:val="en-US" w:eastAsia="zh-CN"/>
        </w:rPr>
        <w:t>500</w:t>
      </w:r>
      <w:r>
        <w:rPr>
          <w:rFonts w:hint="eastAsia" w:eastAsia="仿宋" w:cs="Times New Roman"/>
          <w:color w:val="auto"/>
          <w:sz w:val="30"/>
          <w:lang w:val="en-US" w:eastAsia="zh-CN"/>
        </w:rPr>
        <w:t>,</w:t>
      </w:r>
      <w:r>
        <w:rPr>
          <w:rFonts w:hint="eastAsia" w:ascii="Times New Roman" w:hAnsi="Times New Roman" w:eastAsia="仿宋" w:cs="Times New Roman"/>
          <w:color w:val="auto"/>
          <w:sz w:val="30"/>
          <w:lang w:val="en-US" w:eastAsia="zh-CN"/>
        </w:rPr>
        <w:t>000.00元，主要用于支付运动改造项目的相关费用。</w:t>
      </w:r>
    </w:p>
    <w:p w14:paraId="26502800">
      <w:pPr>
        <w:keepNext w:val="0"/>
        <w:keepLines w:val="0"/>
        <w:pageBreakBefore w:val="0"/>
        <w:widowControl/>
        <w:kinsoku/>
        <w:wordWrap/>
        <w:overflowPunct/>
        <w:topLinePunct w:val="0"/>
        <w:autoSpaceDE/>
        <w:autoSpaceDN/>
        <w:bidi w:val="0"/>
        <w:adjustRightInd/>
        <w:snapToGrid w:val="0"/>
        <w:spacing w:line="590" w:lineRule="exact"/>
        <w:ind w:firstLine="600" w:firstLineChars="200"/>
        <w:jc w:val="both"/>
        <w:textAlignment w:val="auto"/>
        <w:rPr>
          <w:rFonts w:hint="eastAsia" w:ascii="Times New Roman" w:hAnsi="Times New Roman" w:eastAsia="仿宋" w:cs="Times New Roman"/>
          <w:color w:val="auto"/>
          <w:sz w:val="30"/>
          <w:lang w:val="en-US" w:eastAsia="zh-CN"/>
        </w:rPr>
      </w:pPr>
      <w:r>
        <w:rPr>
          <w:rFonts w:hint="eastAsia" w:ascii="Times New Roman" w:hAnsi="Times New Roman" w:eastAsia="仿宋" w:cs="Times New Roman"/>
          <w:color w:val="auto"/>
          <w:sz w:val="30"/>
          <w:lang w:val="zh-CN"/>
        </w:rPr>
        <w:t>省级人才发展教育人才项目经费</w:t>
      </w:r>
      <w:r>
        <w:rPr>
          <w:rFonts w:hint="eastAsia" w:ascii="Times New Roman" w:hAnsi="Times New Roman" w:eastAsia="仿宋" w:cs="Times New Roman"/>
          <w:color w:val="auto"/>
          <w:sz w:val="30"/>
          <w:lang w:val="en-US" w:eastAsia="zh-CN"/>
        </w:rPr>
        <w:t>26</w:t>
      </w:r>
      <w:r>
        <w:rPr>
          <w:rFonts w:hint="eastAsia" w:eastAsia="仿宋" w:cs="Times New Roman"/>
          <w:color w:val="auto"/>
          <w:sz w:val="30"/>
          <w:lang w:val="en-US" w:eastAsia="zh-CN"/>
        </w:rPr>
        <w:t>,</w:t>
      </w:r>
      <w:r>
        <w:rPr>
          <w:rFonts w:hint="eastAsia" w:ascii="Times New Roman" w:hAnsi="Times New Roman" w:eastAsia="仿宋" w:cs="Times New Roman"/>
          <w:color w:val="auto"/>
          <w:sz w:val="30"/>
          <w:lang w:val="en-US" w:eastAsia="zh-CN"/>
        </w:rPr>
        <w:t>154.00</w:t>
      </w:r>
      <w:r>
        <w:rPr>
          <w:rFonts w:hint="eastAsia" w:ascii="Times New Roman" w:hAnsi="Times New Roman" w:eastAsia="仿宋" w:cs="Times New Roman"/>
          <w:color w:val="auto"/>
          <w:sz w:val="30"/>
          <w:lang w:val="zh-CN"/>
        </w:rPr>
        <w:t>元，主要用于</w:t>
      </w:r>
      <w:r>
        <w:rPr>
          <w:rFonts w:hint="eastAsia" w:ascii="Times New Roman" w:hAnsi="Times New Roman" w:eastAsia="仿宋" w:cs="Times New Roman"/>
          <w:color w:val="auto"/>
          <w:sz w:val="30"/>
          <w:lang w:val="en-US" w:eastAsia="zh-CN"/>
        </w:rPr>
        <w:t>支付省级人才发展教育人才项目相关费用。</w:t>
      </w:r>
    </w:p>
    <w:p w14:paraId="321A38A2">
      <w:pPr>
        <w:keepNext w:val="0"/>
        <w:keepLines w:val="0"/>
        <w:pageBreakBefore w:val="0"/>
        <w:widowControl/>
        <w:kinsoku/>
        <w:wordWrap/>
        <w:overflowPunct/>
        <w:topLinePunct w:val="0"/>
        <w:autoSpaceDE/>
        <w:autoSpaceDN/>
        <w:bidi w:val="0"/>
        <w:adjustRightInd/>
        <w:snapToGrid w:val="0"/>
        <w:spacing w:line="590" w:lineRule="exact"/>
        <w:ind w:firstLine="600" w:firstLineChars="200"/>
        <w:jc w:val="both"/>
        <w:textAlignment w:val="auto"/>
        <w:rPr>
          <w:rFonts w:hint="eastAsia" w:ascii="Times New Roman" w:hAnsi="Times New Roman" w:eastAsia="仿宋" w:cs="Times New Roman"/>
          <w:color w:val="auto"/>
          <w:sz w:val="30"/>
          <w:lang w:val="en-US" w:eastAsia="zh-CN"/>
        </w:rPr>
      </w:pPr>
      <w:r>
        <w:rPr>
          <w:rFonts w:hint="eastAsia" w:ascii="Times New Roman" w:hAnsi="Times New Roman" w:eastAsia="仿宋" w:cs="Times New Roman"/>
          <w:color w:val="auto"/>
          <w:sz w:val="30"/>
          <w:lang w:val="en-US" w:eastAsia="zh-CN"/>
        </w:rPr>
        <w:t>普通高中建档立卡生活补助项目经费18</w:t>
      </w:r>
      <w:r>
        <w:rPr>
          <w:rFonts w:hint="eastAsia" w:eastAsia="仿宋" w:cs="Times New Roman"/>
          <w:color w:val="auto"/>
          <w:sz w:val="30"/>
          <w:lang w:val="en-US" w:eastAsia="zh-CN"/>
        </w:rPr>
        <w:t>,</w:t>
      </w:r>
      <w:r>
        <w:rPr>
          <w:rFonts w:hint="eastAsia" w:ascii="Times New Roman" w:hAnsi="Times New Roman" w:eastAsia="仿宋" w:cs="Times New Roman"/>
          <w:color w:val="auto"/>
          <w:sz w:val="30"/>
          <w:lang w:val="en-US" w:eastAsia="zh-CN"/>
        </w:rPr>
        <w:t>750.00元，主要用于支付建档立卡生活补助资金。</w:t>
      </w:r>
    </w:p>
    <w:p w14:paraId="247B8127">
      <w:pPr>
        <w:keepNext w:val="0"/>
        <w:keepLines w:val="0"/>
        <w:pageBreakBefore w:val="0"/>
        <w:widowControl/>
        <w:kinsoku/>
        <w:wordWrap/>
        <w:overflowPunct/>
        <w:topLinePunct w:val="0"/>
        <w:autoSpaceDE/>
        <w:autoSpaceDN/>
        <w:bidi w:val="0"/>
        <w:adjustRightInd/>
        <w:snapToGrid w:val="0"/>
        <w:spacing w:line="590" w:lineRule="exact"/>
        <w:ind w:firstLine="600" w:firstLineChars="200"/>
        <w:jc w:val="both"/>
        <w:textAlignment w:val="auto"/>
        <w:rPr>
          <w:rFonts w:hint="eastAsia" w:ascii="Times New Roman" w:hAnsi="Times New Roman" w:eastAsia="仿宋" w:cs="Times New Roman"/>
          <w:color w:val="auto"/>
          <w:sz w:val="30"/>
          <w:lang w:val="zh-CN"/>
        </w:rPr>
      </w:pPr>
      <w:r>
        <w:rPr>
          <w:rFonts w:hint="eastAsia" w:ascii="Times New Roman" w:hAnsi="Times New Roman" w:eastAsia="仿宋" w:cs="Times New Roman"/>
          <w:color w:val="auto"/>
          <w:sz w:val="30"/>
          <w:lang w:val="en-US" w:eastAsia="zh-CN"/>
        </w:rPr>
        <w:t>死亡抚恤金及遗属补助项目经费466</w:t>
      </w:r>
      <w:r>
        <w:rPr>
          <w:rFonts w:hint="eastAsia" w:eastAsia="仿宋" w:cs="Times New Roman"/>
          <w:color w:val="auto"/>
          <w:sz w:val="30"/>
          <w:lang w:val="en-US" w:eastAsia="zh-CN"/>
        </w:rPr>
        <w:t>,</w:t>
      </w:r>
      <w:r>
        <w:rPr>
          <w:rFonts w:hint="eastAsia" w:ascii="Times New Roman" w:hAnsi="Times New Roman" w:eastAsia="仿宋" w:cs="Times New Roman"/>
          <w:color w:val="auto"/>
          <w:sz w:val="30"/>
          <w:lang w:val="en-US" w:eastAsia="zh-CN"/>
        </w:rPr>
        <w:t>632.40元，主要用于支付死亡人员抚恤金及遗属补助资金。</w:t>
      </w:r>
    </w:p>
    <w:p w14:paraId="6BBA2F2D">
      <w:pPr>
        <w:keepNext w:val="0"/>
        <w:keepLines w:val="0"/>
        <w:pageBreakBefore w:val="0"/>
        <w:widowControl/>
        <w:kinsoku/>
        <w:wordWrap/>
        <w:overflowPunct/>
        <w:topLinePunct w:val="0"/>
        <w:autoSpaceDE/>
        <w:autoSpaceDN/>
        <w:bidi w:val="0"/>
        <w:adjustRightInd/>
        <w:snapToGrid w:val="0"/>
        <w:spacing w:line="590" w:lineRule="exact"/>
        <w:ind w:firstLine="600" w:firstLineChars="200"/>
        <w:jc w:val="both"/>
        <w:textAlignment w:val="auto"/>
        <w:rPr>
          <w:rFonts w:hint="eastAsia" w:ascii="Times New Roman" w:hAnsi="Times New Roman" w:eastAsia="仿宋" w:cs="Times New Roman"/>
          <w:color w:val="auto"/>
          <w:sz w:val="30"/>
          <w:lang w:val="en-US" w:eastAsia="zh-CN"/>
        </w:rPr>
      </w:pPr>
      <w:r>
        <w:rPr>
          <w:rFonts w:hint="eastAsia" w:ascii="Times New Roman" w:hAnsi="Times New Roman" w:eastAsia="仿宋" w:cs="Times New Roman"/>
          <w:color w:val="auto"/>
          <w:sz w:val="30"/>
          <w:lang w:val="en-US" w:eastAsia="zh-CN"/>
        </w:rPr>
        <w:t>美丽100校安工程项目经费1</w:t>
      </w:r>
      <w:r>
        <w:rPr>
          <w:rFonts w:hint="eastAsia" w:eastAsia="仿宋" w:cs="Times New Roman"/>
          <w:color w:val="auto"/>
          <w:sz w:val="30"/>
          <w:lang w:val="en-US" w:eastAsia="zh-CN"/>
        </w:rPr>
        <w:t>,</w:t>
      </w:r>
      <w:r>
        <w:rPr>
          <w:rFonts w:hint="eastAsia" w:ascii="Times New Roman" w:hAnsi="Times New Roman" w:eastAsia="仿宋" w:cs="Times New Roman"/>
          <w:color w:val="auto"/>
          <w:sz w:val="30"/>
          <w:lang w:val="en-US" w:eastAsia="zh-CN"/>
        </w:rPr>
        <w:t>860</w:t>
      </w:r>
      <w:r>
        <w:rPr>
          <w:rFonts w:hint="eastAsia" w:eastAsia="仿宋" w:cs="Times New Roman"/>
          <w:color w:val="auto"/>
          <w:sz w:val="30"/>
          <w:lang w:val="en-US" w:eastAsia="zh-CN"/>
        </w:rPr>
        <w:t>,</w:t>
      </w:r>
      <w:r>
        <w:rPr>
          <w:rFonts w:hint="eastAsia" w:ascii="Times New Roman" w:hAnsi="Times New Roman" w:eastAsia="仿宋" w:cs="Times New Roman"/>
          <w:color w:val="auto"/>
          <w:sz w:val="30"/>
          <w:lang w:val="en-US" w:eastAsia="zh-CN"/>
        </w:rPr>
        <w:t>000.00元，主要用于支付</w:t>
      </w:r>
      <w:bookmarkStart w:id="0" w:name="_GoBack"/>
      <w:bookmarkEnd w:id="0"/>
      <w:r>
        <w:rPr>
          <w:rFonts w:hint="eastAsia" w:ascii="Times New Roman" w:hAnsi="Times New Roman" w:eastAsia="仿宋" w:cs="Times New Roman"/>
          <w:color w:val="auto"/>
          <w:sz w:val="30"/>
          <w:lang w:val="en-US" w:eastAsia="zh-CN"/>
        </w:rPr>
        <w:t>美丽100校安工程项目资金。</w:t>
      </w:r>
    </w:p>
    <w:p w14:paraId="55840B1E">
      <w:pPr>
        <w:keepNext w:val="0"/>
        <w:keepLines w:val="0"/>
        <w:pageBreakBefore w:val="0"/>
        <w:widowControl/>
        <w:kinsoku/>
        <w:wordWrap/>
        <w:overflowPunct/>
        <w:topLinePunct w:val="0"/>
        <w:autoSpaceDE/>
        <w:autoSpaceDN/>
        <w:bidi w:val="0"/>
        <w:adjustRightInd/>
        <w:snapToGrid w:val="0"/>
        <w:spacing w:line="590" w:lineRule="exact"/>
        <w:ind w:firstLine="600" w:firstLineChars="200"/>
        <w:jc w:val="both"/>
        <w:textAlignment w:val="auto"/>
        <w:rPr>
          <w:rFonts w:hint="default" w:ascii="Times New Roman" w:hAnsi="Times New Roman" w:eastAsia="仿宋" w:cs="Times New Roman"/>
          <w:color w:val="auto"/>
          <w:sz w:val="30"/>
          <w:lang w:val="en-US" w:eastAsia="zh-CN"/>
        </w:rPr>
      </w:pPr>
      <w:r>
        <w:rPr>
          <w:rFonts w:hint="eastAsia" w:ascii="Times New Roman" w:hAnsi="Times New Roman" w:eastAsia="仿宋" w:cs="Times New Roman"/>
          <w:color w:val="auto"/>
          <w:sz w:val="30"/>
          <w:lang w:val="en-US" w:eastAsia="zh-CN"/>
        </w:rPr>
        <w:t>华宁县第八中学新建篮球场项目经费79</w:t>
      </w:r>
      <w:r>
        <w:rPr>
          <w:rFonts w:hint="eastAsia" w:eastAsia="仿宋" w:cs="Times New Roman"/>
          <w:color w:val="auto"/>
          <w:sz w:val="30"/>
          <w:lang w:val="en-US" w:eastAsia="zh-CN"/>
        </w:rPr>
        <w:t>,</w:t>
      </w:r>
      <w:r>
        <w:rPr>
          <w:rFonts w:hint="eastAsia" w:ascii="Times New Roman" w:hAnsi="Times New Roman" w:eastAsia="仿宋" w:cs="Times New Roman"/>
          <w:color w:val="auto"/>
          <w:sz w:val="30"/>
          <w:lang w:val="en-US" w:eastAsia="zh-CN"/>
        </w:rPr>
        <w:t>400.00元，主要用于支付华宁县第八中学新建篮球场项目相关费用。</w:t>
      </w:r>
    </w:p>
    <w:p w14:paraId="09F9D1E6">
      <w:pPr>
        <w:keepNext w:val="0"/>
        <w:keepLines w:val="0"/>
        <w:pageBreakBefore w:val="0"/>
        <w:widowControl/>
        <w:kinsoku/>
        <w:wordWrap/>
        <w:overflowPunct/>
        <w:topLinePunct w:val="0"/>
        <w:autoSpaceDE/>
        <w:autoSpaceDN/>
        <w:bidi w:val="0"/>
        <w:adjustRightInd/>
        <w:snapToGrid w:val="0"/>
        <w:spacing w:line="590" w:lineRule="exact"/>
        <w:ind w:firstLine="600" w:firstLineChars="200"/>
        <w:jc w:val="both"/>
        <w:textAlignment w:val="auto"/>
        <w:rPr>
          <w:rFonts w:hint="default" w:ascii="Times New Roman" w:hAnsi="Times New Roman" w:eastAsia="仿宋" w:cs="Times New Roman"/>
          <w:color w:val="auto"/>
          <w:sz w:val="30"/>
          <w:lang w:val="en-US" w:eastAsia="zh-CN"/>
        </w:rPr>
      </w:pPr>
      <w:r>
        <w:rPr>
          <w:rFonts w:hint="eastAsia" w:ascii="Times New Roman" w:hAnsi="Times New Roman" w:eastAsia="仿宋" w:cs="Times New Roman"/>
          <w:color w:val="auto"/>
          <w:sz w:val="30"/>
          <w:lang w:val="en-US" w:eastAsia="zh-CN"/>
        </w:rPr>
        <w:t>华宁县第二中学公厕建设项目经费6</w:t>
      </w:r>
      <w:r>
        <w:rPr>
          <w:rFonts w:hint="eastAsia" w:eastAsia="仿宋" w:cs="Times New Roman"/>
          <w:color w:val="auto"/>
          <w:sz w:val="30"/>
          <w:lang w:val="en-US" w:eastAsia="zh-CN"/>
        </w:rPr>
        <w:t>,</w:t>
      </w:r>
      <w:r>
        <w:rPr>
          <w:rFonts w:hint="eastAsia" w:ascii="Times New Roman" w:hAnsi="Times New Roman" w:eastAsia="仿宋" w:cs="Times New Roman"/>
          <w:color w:val="auto"/>
          <w:sz w:val="30"/>
          <w:lang w:val="en-US" w:eastAsia="zh-CN"/>
        </w:rPr>
        <w:t>500.00元，主要用于支付华宁县第二中学公厕建设项目相关费用。</w:t>
      </w:r>
    </w:p>
    <w:p w14:paraId="3A056CA0">
      <w:pPr>
        <w:keepNext w:val="0"/>
        <w:keepLines w:val="0"/>
        <w:pageBreakBefore w:val="0"/>
        <w:widowControl/>
        <w:kinsoku/>
        <w:wordWrap/>
        <w:overflowPunct/>
        <w:topLinePunct w:val="0"/>
        <w:autoSpaceDE/>
        <w:autoSpaceDN/>
        <w:bidi w:val="0"/>
        <w:adjustRightInd/>
        <w:snapToGrid w:val="0"/>
        <w:spacing w:line="590" w:lineRule="exact"/>
        <w:ind w:firstLine="600" w:firstLineChars="200"/>
        <w:jc w:val="both"/>
        <w:textAlignment w:val="auto"/>
        <w:rPr>
          <w:rFonts w:hint="eastAsia" w:ascii="Times New Roman" w:hAnsi="Times New Roman" w:eastAsia="仿宋" w:cs="Times New Roman"/>
          <w:color w:val="auto"/>
          <w:sz w:val="30"/>
          <w:lang w:val="en-US" w:eastAsia="zh-CN"/>
        </w:rPr>
      </w:pPr>
      <w:r>
        <w:rPr>
          <w:rFonts w:hint="eastAsia" w:ascii="Times New Roman" w:hAnsi="Times New Roman" w:eastAsia="仿宋" w:cs="Times New Roman"/>
          <w:color w:val="auto"/>
          <w:sz w:val="30"/>
          <w:lang w:val="en-US" w:eastAsia="zh-CN"/>
        </w:rPr>
        <w:t>晋升一级三等高中校舍修缮改造工程项目经费2</w:t>
      </w:r>
      <w:r>
        <w:rPr>
          <w:rFonts w:hint="eastAsia" w:eastAsia="仿宋" w:cs="Times New Roman"/>
          <w:color w:val="auto"/>
          <w:sz w:val="30"/>
          <w:lang w:val="en-US" w:eastAsia="zh-CN"/>
        </w:rPr>
        <w:t>,</w:t>
      </w:r>
      <w:r>
        <w:rPr>
          <w:rFonts w:hint="eastAsia" w:ascii="Times New Roman" w:hAnsi="Times New Roman" w:eastAsia="仿宋" w:cs="Times New Roman"/>
          <w:color w:val="auto"/>
          <w:sz w:val="30"/>
          <w:lang w:val="en-US" w:eastAsia="zh-CN"/>
        </w:rPr>
        <w:t>139</w:t>
      </w:r>
      <w:r>
        <w:rPr>
          <w:rFonts w:hint="eastAsia" w:eastAsia="仿宋" w:cs="Times New Roman"/>
          <w:color w:val="auto"/>
          <w:sz w:val="30"/>
          <w:lang w:val="en-US" w:eastAsia="zh-CN"/>
        </w:rPr>
        <w:t>,</w:t>
      </w:r>
      <w:r>
        <w:rPr>
          <w:rFonts w:hint="eastAsia" w:ascii="Times New Roman" w:hAnsi="Times New Roman" w:eastAsia="仿宋" w:cs="Times New Roman"/>
          <w:color w:val="auto"/>
          <w:sz w:val="30"/>
          <w:lang w:val="en-US" w:eastAsia="zh-CN"/>
        </w:rPr>
        <w:t>400.00元，主要用于支付晋升一级三等高中校舍修缮改造工程相关费用。</w:t>
      </w:r>
    </w:p>
    <w:p w14:paraId="011546AE">
      <w:pPr>
        <w:keepNext w:val="0"/>
        <w:keepLines w:val="0"/>
        <w:pageBreakBefore w:val="0"/>
        <w:widowControl/>
        <w:kinsoku/>
        <w:wordWrap/>
        <w:overflowPunct/>
        <w:topLinePunct w:val="0"/>
        <w:autoSpaceDE/>
        <w:autoSpaceDN/>
        <w:bidi w:val="0"/>
        <w:adjustRightInd/>
        <w:snapToGrid w:val="0"/>
        <w:spacing w:line="590" w:lineRule="exact"/>
        <w:ind w:firstLine="600" w:firstLineChars="200"/>
        <w:jc w:val="both"/>
        <w:textAlignment w:val="auto"/>
        <w:rPr>
          <w:rFonts w:hint="default" w:ascii="Times New Roman" w:hAnsi="Times New Roman" w:eastAsia="仿宋" w:cs="Times New Roman"/>
          <w:color w:val="auto"/>
          <w:sz w:val="30"/>
          <w:lang w:val="en-US" w:eastAsia="zh-CN"/>
        </w:rPr>
      </w:pPr>
      <w:r>
        <w:rPr>
          <w:rFonts w:hint="eastAsia" w:ascii="Times New Roman" w:hAnsi="Times New Roman" w:eastAsia="仿宋" w:cs="Times New Roman"/>
          <w:color w:val="auto"/>
          <w:sz w:val="30"/>
          <w:lang w:val="en-US" w:eastAsia="zh-CN"/>
        </w:rPr>
        <w:t>纪念碑亭项目建设项目经费14</w:t>
      </w:r>
      <w:r>
        <w:rPr>
          <w:rFonts w:hint="eastAsia" w:eastAsia="仿宋" w:cs="Times New Roman"/>
          <w:color w:val="auto"/>
          <w:sz w:val="30"/>
          <w:lang w:val="en-US" w:eastAsia="zh-CN"/>
        </w:rPr>
        <w:t>,</w:t>
      </w:r>
      <w:r>
        <w:rPr>
          <w:rFonts w:hint="eastAsia" w:ascii="Times New Roman" w:hAnsi="Times New Roman" w:eastAsia="仿宋" w:cs="Times New Roman"/>
          <w:color w:val="auto"/>
          <w:sz w:val="30"/>
          <w:lang w:val="en-US" w:eastAsia="zh-CN"/>
        </w:rPr>
        <w:t>000.00元，主要用于支付纪念碑亭相关费用。</w:t>
      </w:r>
    </w:p>
    <w:p w14:paraId="2357786E">
      <w:pPr>
        <w:keepNext w:val="0"/>
        <w:keepLines w:val="0"/>
        <w:pageBreakBefore w:val="0"/>
        <w:widowControl/>
        <w:kinsoku/>
        <w:wordWrap/>
        <w:overflowPunct/>
        <w:topLinePunct w:val="0"/>
        <w:autoSpaceDE/>
        <w:autoSpaceDN/>
        <w:bidi w:val="0"/>
        <w:adjustRightInd/>
        <w:snapToGrid w:val="0"/>
        <w:spacing w:line="590" w:lineRule="exact"/>
        <w:ind w:firstLine="600" w:firstLineChars="200"/>
        <w:jc w:val="both"/>
        <w:textAlignment w:val="auto"/>
        <w:rPr>
          <w:rFonts w:hint="eastAsia" w:ascii="Times New Roman" w:hAnsi="Times New Roman" w:eastAsia="仿宋" w:cs="Times New Roman"/>
          <w:color w:val="auto"/>
          <w:sz w:val="30"/>
          <w:lang w:val="en-US" w:eastAsia="zh-CN"/>
        </w:rPr>
      </w:pPr>
      <w:r>
        <w:rPr>
          <w:rFonts w:hint="eastAsia" w:ascii="Times New Roman" w:hAnsi="Times New Roman" w:eastAsia="仿宋" w:cs="Times New Roman"/>
          <w:color w:val="auto"/>
          <w:sz w:val="30"/>
          <w:lang w:val="en-US" w:eastAsia="zh-CN"/>
        </w:rPr>
        <w:t>审计结算监理服务项目经费133</w:t>
      </w:r>
      <w:r>
        <w:rPr>
          <w:rFonts w:hint="eastAsia" w:eastAsia="仿宋" w:cs="Times New Roman"/>
          <w:color w:val="auto"/>
          <w:sz w:val="30"/>
          <w:lang w:val="en-US" w:eastAsia="zh-CN"/>
        </w:rPr>
        <w:t>,</w:t>
      </w:r>
      <w:r>
        <w:rPr>
          <w:rFonts w:hint="eastAsia" w:ascii="Times New Roman" w:hAnsi="Times New Roman" w:eastAsia="仿宋" w:cs="Times New Roman"/>
          <w:color w:val="auto"/>
          <w:sz w:val="30"/>
          <w:lang w:val="en-US" w:eastAsia="zh-CN"/>
        </w:rPr>
        <w:t>766.56元，主要用于支付工程审计结算、监理服务等费用。</w:t>
      </w:r>
    </w:p>
    <w:p w14:paraId="25F31DD9">
      <w:pPr>
        <w:keepNext w:val="0"/>
        <w:keepLines w:val="0"/>
        <w:pageBreakBefore w:val="0"/>
        <w:widowControl/>
        <w:kinsoku/>
        <w:wordWrap/>
        <w:overflowPunct/>
        <w:topLinePunct w:val="0"/>
        <w:autoSpaceDE/>
        <w:autoSpaceDN/>
        <w:bidi w:val="0"/>
        <w:adjustRightInd/>
        <w:snapToGrid w:val="0"/>
        <w:spacing w:line="590" w:lineRule="exact"/>
        <w:ind w:firstLine="600" w:firstLineChars="200"/>
        <w:jc w:val="both"/>
        <w:textAlignment w:val="auto"/>
        <w:rPr>
          <w:rFonts w:hint="eastAsia" w:ascii="Times New Roman" w:hAnsi="Times New Roman" w:eastAsia="仿宋" w:cs="Times New Roman"/>
          <w:color w:val="auto"/>
          <w:sz w:val="30"/>
          <w:lang w:val="en-US" w:eastAsia="zh-CN"/>
        </w:rPr>
      </w:pPr>
      <w:r>
        <w:rPr>
          <w:rFonts w:hint="eastAsia" w:ascii="Times New Roman" w:hAnsi="Times New Roman" w:eastAsia="仿宋" w:cs="Times New Roman"/>
          <w:color w:val="auto"/>
          <w:sz w:val="30"/>
          <w:lang w:val="en-US" w:eastAsia="zh-CN"/>
        </w:rPr>
        <w:t>汪仲山夫妇及思远奖学金项目经费15</w:t>
      </w:r>
      <w:r>
        <w:rPr>
          <w:rFonts w:hint="eastAsia" w:eastAsia="仿宋" w:cs="Times New Roman"/>
          <w:color w:val="auto"/>
          <w:sz w:val="30"/>
          <w:lang w:val="en-US" w:eastAsia="zh-CN"/>
        </w:rPr>
        <w:t>,</w:t>
      </w:r>
      <w:r>
        <w:rPr>
          <w:rFonts w:hint="eastAsia" w:ascii="Times New Roman" w:hAnsi="Times New Roman" w:eastAsia="仿宋" w:cs="Times New Roman"/>
          <w:color w:val="auto"/>
          <w:sz w:val="30"/>
          <w:lang w:val="en-US" w:eastAsia="zh-CN"/>
        </w:rPr>
        <w:t>000.00元，主要用于支付汪仲山夫妇及思远奖学金。</w:t>
      </w:r>
    </w:p>
    <w:p w14:paraId="0F0186FF">
      <w:pPr>
        <w:keepNext w:val="0"/>
        <w:keepLines w:val="0"/>
        <w:pageBreakBefore w:val="0"/>
        <w:widowControl/>
        <w:kinsoku/>
        <w:wordWrap/>
        <w:overflowPunct/>
        <w:topLinePunct w:val="0"/>
        <w:autoSpaceDE/>
        <w:autoSpaceDN/>
        <w:bidi w:val="0"/>
        <w:adjustRightInd/>
        <w:snapToGrid w:val="0"/>
        <w:spacing w:line="590" w:lineRule="exact"/>
        <w:ind w:firstLine="600" w:firstLineChars="200"/>
        <w:jc w:val="both"/>
        <w:textAlignment w:val="auto"/>
        <w:rPr>
          <w:rFonts w:hint="eastAsia" w:ascii="Times New Roman" w:hAnsi="Times New Roman" w:eastAsia="仿宋" w:cs="Times New Roman"/>
          <w:color w:val="auto"/>
          <w:sz w:val="30"/>
          <w:lang w:val="en-US" w:eastAsia="zh-CN"/>
        </w:rPr>
      </w:pPr>
      <w:r>
        <w:rPr>
          <w:rFonts w:hint="eastAsia" w:ascii="Times New Roman" w:hAnsi="Times New Roman" w:eastAsia="仿宋" w:cs="Times New Roman"/>
          <w:color w:val="auto"/>
          <w:sz w:val="30"/>
          <w:lang w:val="en-US" w:eastAsia="zh-CN"/>
        </w:rPr>
        <w:t>智慧黑板采购项目经费200</w:t>
      </w:r>
      <w:r>
        <w:rPr>
          <w:rFonts w:hint="eastAsia" w:eastAsia="仿宋" w:cs="Times New Roman"/>
          <w:color w:val="auto"/>
          <w:sz w:val="30"/>
          <w:lang w:val="en-US" w:eastAsia="zh-CN"/>
        </w:rPr>
        <w:t>,</w:t>
      </w:r>
      <w:r>
        <w:rPr>
          <w:rFonts w:hint="eastAsia" w:ascii="Times New Roman" w:hAnsi="Times New Roman" w:eastAsia="仿宋" w:cs="Times New Roman"/>
          <w:color w:val="auto"/>
          <w:sz w:val="30"/>
          <w:lang w:val="en-US" w:eastAsia="zh-CN"/>
        </w:rPr>
        <w:t>000.00元，主要用于支付采购智慧黑板相关费用。</w:t>
      </w:r>
    </w:p>
    <w:p w14:paraId="3462BBB0">
      <w:pPr>
        <w:keepNext w:val="0"/>
        <w:keepLines w:val="0"/>
        <w:pageBreakBefore w:val="0"/>
        <w:widowControl/>
        <w:kinsoku/>
        <w:wordWrap/>
        <w:overflowPunct/>
        <w:topLinePunct w:val="0"/>
        <w:autoSpaceDE/>
        <w:autoSpaceDN/>
        <w:bidi w:val="0"/>
        <w:adjustRightInd/>
        <w:snapToGrid w:val="0"/>
        <w:spacing w:line="590" w:lineRule="exact"/>
        <w:ind w:firstLine="600" w:firstLineChars="200"/>
        <w:jc w:val="left"/>
        <w:textAlignment w:val="auto"/>
        <w:outlineLvl w:val="1"/>
        <w:rPr>
          <w:rFonts w:hint="eastAsia" w:ascii="黑体" w:hAnsi="黑体" w:eastAsia="黑体"/>
          <w:sz w:val="30"/>
          <w:szCs w:val="30"/>
          <w:highlight w:val="none"/>
        </w:rPr>
      </w:pPr>
      <w:r>
        <w:rPr>
          <w:rFonts w:hint="eastAsia" w:ascii="黑体" w:hAnsi="黑体" w:eastAsia="黑体"/>
          <w:sz w:val="30"/>
          <w:szCs w:val="30"/>
          <w:highlight w:val="none"/>
        </w:rPr>
        <w:t>三、一般公共预算财政拨款支出决算情况说明</w:t>
      </w:r>
    </w:p>
    <w:p w14:paraId="718B51FE">
      <w:pPr>
        <w:keepNext w:val="0"/>
        <w:keepLines w:val="0"/>
        <w:pageBreakBefore w:val="0"/>
        <w:widowControl/>
        <w:kinsoku/>
        <w:wordWrap/>
        <w:overflowPunct/>
        <w:topLinePunct w:val="0"/>
        <w:autoSpaceDE/>
        <w:autoSpaceDN/>
        <w:bidi w:val="0"/>
        <w:adjustRightInd/>
        <w:snapToGrid w:val="0"/>
        <w:spacing w:line="590" w:lineRule="exact"/>
        <w:ind w:firstLine="600" w:firstLineChars="200"/>
        <w:jc w:val="left"/>
        <w:textAlignment w:val="auto"/>
        <w:outlineLvl w:val="2"/>
        <w:rPr>
          <w:rFonts w:hint="eastAsia" w:ascii="楷体" w:hAnsi="楷体" w:eastAsia="楷体"/>
          <w:sz w:val="30"/>
          <w:szCs w:val="30"/>
          <w:highlight w:val="none"/>
        </w:rPr>
      </w:pPr>
      <w:r>
        <w:rPr>
          <w:rFonts w:hint="eastAsia" w:ascii="楷体" w:hAnsi="楷体" w:eastAsia="楷体"/>
          <w:sz w:val="30"/>
          <w:szCs w:val="30"/>
          <w:highlight w:val="none"/>
        </w:rPr>
        <w:t>（一）一般公共预算财政拨款支出决算总体情况</w:t>
      </w:r>
    </w:p>
    <w:p w14:paraId="34DB5FB8">
      <w:pPr>
        <w:keepNext w:val="0"/>
        <w:keepLines w:val="0"/>
        <w:pageBreakBefore w:val="0"/>
        <w:widowControl/>
        <w:kinsoku/>
        <w:wordWrap/>
        <w:overflowPunct/>
        <w:topLinePunct w:val="0"/>
        <w:autoSpaceDE/>
        <w:autoSpaceDN/>
        <w:bidi w:val="0"/>
        <w:adjustRightInd/>
        <w:snapToGrid w:val="0"/>
        <w:spacing w:line="590" w:lineRule="exact"/>
        <w:ind w:firstLine="600" w:firstLineChars="200"/>
        <w:jc w:val="both"/>
        <w:textAlignment w:val="auto"/>
        <w:rPr>
          <w:rFonts w:hint="default" w:ascii="Times New Roman" w:hAnsi="Times New Roman" w:eastAsia="仿宋" w:cs="Times New Roman"/>
          <w:color w:val="auto"/>
          <w:sz w:val="30"/>
          <w:lang w:val="en-US" w:eastAsia="zh-CN"/>
        </w:rPr>
      </w:pPr>
      <w:r>
        <w:rPr>
          <w:rFonts w:hint="eastAsia" w:ascii="Times New Roman" w:hAnsi="Times New Roman" w:eastAsia="仿宋" w:cs="Times New Roman"/>
          <w:color w:val="auto"/>
          <w:sz w:val="30"/>
          <w:lang w:val="zh-CN" w:eastAsia="zh-CN"/>
        </w:rPr>
        <w:t>华宁县第一中学</w:t>
      </w:r>
      <w:r>
        <w:rPr>
          <w:rFonts w:hint="eastAsia" w:ascii="Times New Roman" w:hAnsi="Times New Roman" w:eastAsia="仿宋" w:cs="Times New Roman"/>
          <w:color w:val="auto"/>
          <w:sz w:val="30"/>
          <w:lang w:val="en-US" w:eastAsia="zh-CN"/>
        </w:rPr>
        <w:t>2025年度一般公共预算财政拨款支出</w:t>
      </w:r>
      <w:r>
        <w:rPr>
          <w:rFonts w:hint="eastAsia" w:ascii="Times New Roman" w:hAnsi="Times New Roman" w:eastAsia="仿宋" w:cs="Times New Roman"/>
          <w:color w:val="auto"/>
          <w:sz w:val="30"/>
          <w:lang w:val="zh-CN" w:eastAsia="zh-CN"/>
        </w:rPr>
        <w:t>56</w:t>
      </w:r>
      <w:r>
        <w:rPr>
          <w:rFonts w:hint="eastAsia" w:ascii="Times New Roman" w:hAnsi="Times New Roman" w:eastAsia="仿宋" w:cs="Times New Roman"/>
          <w:color w:val="auto"/>
          <w:sz w:val="30"/>
          <w:lang w:val="en-US" w:eastAsia="zh-CN"/>
        </w:rPr>
        <w:t>,</w:t>
      </w:r>
      <w:r>
        <w:rPr>
          <w:rFonts w:hint="eastAsia" w:ascii="Times New Roman" w:hAnsi="Times New Roman" w:eastAsia="仿宋" w:cs="Times New Roman"/>
          <w:color w:val="auto"/>
          <w:sz w:val="30"/>
          <w:lang w:val="zh-CN" w:eastAsia="zh-CN"/>
        </w:rPr>
        <w:t>743</w:t>
      </w:r>
      <w:r>
        <w:rPr>
          <w:rFonts w:hint="eastAsia" w:ascii="Times New Roman" w:hAnsi="Times New Roman" w:eastAsia="仿宋" w:cs="Times New Roman"/>
          <w:color w:val="auto"/>
          <w:sz w:val="30"/>
          <w:lang w:val="en-US" w:eastAsia="zh-CN"/>
        </w:rPr>
        <w:t>,</w:t>
      </w:r>
      <w:r>
        <w:rPr>
          <w:rFonts w:hint="eastAsia" w:ascii="Times New Roman" w:hAnsi="Times New Roman" w:eastAsia="仿宋" w:cs="Times New Roman"/>
          <w:color w:val="auto"/>
          <w:sz w:val="30"/>
          <w:lang w:val="zh-CN" w:eastAsia="zh-CN"/>
        </w:rPr>
        <w:t>850.71</w:t>
      </w:r>
      <w:r>
        <w:rPr>
          <w:rFonts w:hint="eastAsia" w:ascii="Times New Roman" w:hAnsi="Times New Roman" w:eastAsia="仿宋" w:cs="Times New Roman"/>
          <w:color w:val="auto"/>
          <w:sz w:val="30"/>
          <w:lang w:val="en-US" w:eastAsia="zh-CN"/>
        </w:rPr>
        <w:t>元,占本年支出合计的</w:t>
      </w:r>
      <w:r>
        <w:rPr>
          <w:rFonts w:hint="eastAsia" w:ascii="Times New Roman" w:hAnsi="Times New Roman" w:eastAsia="仿宋" w:cs="Times New Roman"/>
          <w:color w:val="auto"/>
          <w:sz w:val="30"/>
          <w:lang w:val="zh-CN" w:eastAsia="zh-CN"/>
        </w:rPr>
        <w:t>92.28</w:t>
      </w:r>
      <w:r>
        <w:rPr>
          <w:rFonts w:hint="eastAsia" w:ascii="Times New Roman" w:hAnsi="Times New Roman" w:eastAsia="仿宋" w:cs="Times New Roman"/>
          <w:color w:val="auto"/>
          <w:sz w:val="30"/>
          <w:lang w:val="en-US" w:eastAsia="zh-CN"/>
        </w:rPr>
        <w:t>%。与上年相比增加</w:t>
      </w:r>
      <w:r>
        <w:rPr>
          <w:rFonts w:hint="eastAsia" w:ascii="Times New Roman" w:hAnsi="Times New Roman" w:eastAsia="仿宋" w:cs="Times New Roman"/>
          <w:color w:val="auto"/>
          <w:sz w:val="30"/>
          <w:lang w:val="zh-CN" w:eastAsia="zh-CN"/>
        </w:rPr>
        <w:t>20</w:t>
      </w:r>
      <w:r>
        <w:rPr>
          <w:rFonts w:hint="eastAsia" w:ascii="Times New Roman" w:hAnsi="Times New Roman" w:eastAsia="仿宋" w:cs="Times New Roman"/>
          <w:color w:val="auto"/>
          <w:sz w:val="30"/>
          <w:lang w:val="en-US" w:eastAsia="zh-CN"/>
        </w:rPr>
        <w:t>,</w:t>
      </w:r>
      <w:r>
        <w:rPr>
          <w:rFonts w:hint="eastAsia" w:ascii="Times New Roman" w:hAnsi="Times New Roman" w:eastAsia="仿宋" w:cs="Times New Roman"/>
          <w:color w:val="auto"/>
          <w:sz w:val="30"/>
          <w:lang w:val="zh-CN" w:eastAsia="zh-CN"/>
        </w:rPr>
        <w:t>819</w:t>
      </w:r>
      <w:r>
        <w:rPr>
          <w:rFonts w:hint="eastAsia" w:ascii="Times New Roman" w:hAnsi="Times New Roman" w:eastAsia="仿宋" w:cs="Times New Roman"/>
          <w:color w:val="auto"/>
          <w:sz w:val="30"/>
          <w:lang w:val="en-US" w:eastAsia="zh-CN"/>
        </w:rPr>
        <w:t>,</w:t>
      </w:r>
      <w:r>
        <w:rPr>
          <w:rFonts w:hint="eastAsia" w:ascii="Times New Roman" w:hAnsi="Times New Roman" w:eastAsia="仿宋" w:cs="Times New Roman"/>
          <w:color w:val="auto"/>
          <w:sz w:val="30"/>
          <w:lang w:val="zh-CN" w:eastAsia="zh-CN"/>
        </w:rPr>
        <w:t>683.52</w:t>
      </w:r>
      <w:r>
        <w:rPr>
          <w:rFonts w:hint="eastAsia" w:ascii="Times New Roman" w:hAnsi="Times New Roman" w:eastAsia="仿宋" w:cs="Times New Roman"/>
          <w:color w:val="auto"/>
          <w:sz w:val="30"/>
          <w:lang w:val="en-US" w:eastAsia="zh-CN"/>
        </w:rPr>
        <w:t>元，增长</w:t>
      </w:r>
      <w:r>
        <w:rPr>
          <w:rFonts w:hint="eastAsia" w:ascii="Times New Roman" w:hAnsi="Times New Roman" w:eastAsia="仿宋" w:cs="Times New Roman"/>
          <w:color w:val="auto"/>
          <w:sz w:val="30"/>
          <w:lang w:val="zh-CN" w:eastAsia="zh-CN"/>
        </w:rPr>
        <w:t>57.95</w:t>
      </w:r>
      <w:r>
        <w:rPr>
          <w:rFonts w:hint="eastAsia" w:ascii="Times New Roman" w:hAnsi="Times New Roman" w:eastAsia="仿宋" w:cs="Times New Roman"/>
          <w:color w:val="auto"/>
          <w:sz w:val="30"/>
          <w:lang w:val="en-US" w:eastAsia="zh-CN"/>
        </w:rPr>
        <w:t>%,完成年初预算的</w:t>
      </w:r>
      <w:r>
        <w:rPr>
          <w:rFonts w:hint="eastAsia" w:ascii="Times New Roman" w:hAnsi="Times New Roman" w:eastAsia="仿宋" w:cs="Times New Roman"/>
          <w:color w:val="auto"/>
          <w:sz w:val="30"/>
          <w:lang w:val="zh-CN" w:eastAsia="zh-CN"/>
        </w:rPr>
        <w:t>100.00</w:t>
      </w:r>
      <w:r>
        <w:rPr>
          <w:rFonts w:hint="eastAsia" w:ascii="Times New Roman" w:hAnsi="Times New Roman" w:eastAsia="仿宋" w:cs="Times New Roman"/>
          <w:color w:val="auto"/>
          <w:sz w:val="30"/>
          <w:lang w:val="en-US" w:eastAsia="zh-CN"/>
        </w:rPr>
        <w:t>%。增加的主要原因是华宁县第一中学和华宁县第二中学教育资源整合，本年度在职人员增加导致公共预算财政拨款支出增加。</w:t>
      </w:r>
    </w:p>
    <w:p w14:paraId="51AB6AFF">
      <w:pPr>
        <w:keepNext w:val="0"/>
        <w:keepLines w:val="0"/>
        <w:pageBreakBefore w:val="0"/>
        <w:widowControl/>
        <w:kinsoku/>
        <w:wordWrap/>
        <w:overflowPunct/>
        <w:topLinePunct w:val="0"/>
        <w:autoSpaceDE/>
        <w:autoSpaceDN/>
        <w:bidi w:val="0"/>
        <w:adjustRightInd/>
        <w:snapToGrid w:val="0"/>
        <w:spacing w:line="590" w:lineRule="exact"/>
        <w:ind w:firstLine="600" w:firstLineChars="200"/>
        <w:jc w:val="both"/>
        <w:textAlignment w:val="auto"/>
        <w:rPr>
          <w:rFonts w:hint="eastAsia" w:ascii="Times New Roman" w:hAnsi="Times New Roman" w:eastAsia="仿宋" w:cs="Times New Roman"/>
          <w:color w:val="auto"/>
          <w:sz w:val="30"/>
          <w:lang w:val="en-US" w:eastAsia="zh-CN"/>
        </w:rPr>
      </w:pPr>
      <w:r>
        <w:rPr>
          <w:rFonts w:hint="eastAsia" w:ascii="Times New Roman" w:hAnsi="Times New Roman" w:eastAsia="仿宋" w:cs="Times New Roman"/>
          <w:color w:val="auto"/>
          <w:sz w:val="30"/>
          <w:lang w:val="en-US" w:eastAsia="zh-CN"/>
        </w:rPr>
        <w:t>（二）一般公共预算财政拨款支出决算分功能分类科目情况</w:t>
      </w:r>
      <w:r>
        <w:rPr>
          <w:rFonts w:hint="eastAsia" w:ascii="Times New Roman" w:hAnsi="Times New Roman" w:eastAsia="仿宋" w:cs="Times New Roman"/>
          <w:color w:val="auto"/>
          <w:sz w:val="30"/>
          <w:lang w:val="en-US" w:eastAsia="zh-CN"/>
        </w:rPr>
        <w:tab/>
      </w:r>
    </w:p>
    <w:p w14:paraId="07D7C83E">
      <w:pPr>
        <w:keepNext w:val="0"/>
        <w:keepLines w:val="0"/>
        <w:pageBreakBefore w:val="0"/>
        <w:widowControl/>
        <w:kinsoku/>
        <w:wordWrap/>
        <w:overflowPunct/>
        <w:topLinePunct w:val="0"/>
        <w:autoSpaceDE/>
        <w:autoSpaceDN/>
        <w:bidi w:val="0"/>
        <w:adjustRightInd/>
        <w:snapToGrid w:val="0"/>
        <w:spacing w:line="590" w:lineRule="exact"/>
        <w:ind w:firstLine="600" w:firstLineChars="200"/>
        <w:jc w:val="both"/>
        <w:textAlignment w:val="auto"/>
        <w:rPr>
          <w:rFonts w:hint="eastAsia" w:ascii="Times New Roman" w:hAnsi="Times New Roman" w:eastAsia="仿宋" w:cs="Times New Roman"/>
          <w:color w:val="auto"/>
          <w:sz w:val="30"/>
          <w:lang w:val="en-US" w:eastAsia="zh-CN"/>
        </w:rPr>
      </w:pPr>
      <w:r>
        <w:rPr>
          <w:rFonts w:hint="eastAsia" w:ascii="Times New Roman" w:hAnsi="Times New Roman" w:eastAsia="仿宋" w:cs="Times New Roman"/>
          <w:color w:val="auto"/>
          <w:sz w:val="30"/>
          <w:lang w:val="en-US" w:eastAsia="zh-CN"/>
        </w:rPr>
        <w:t>1.一般公共服务（类）支出</w:t>
      </w:r>
      <w:r>
        <w:rPr>
          <w:rFonts w:hint="eastAsia" w:ascii="Times New Roman" w:hAnsi="Times New Roman" w:eastAsia="仿宋" w:cs="Times New Roman"/>
          <w:color w:val="auto"/>
          <w:sz w:val="30"/>
          <w:lang w:val="zh-CN" w:eastAsia="zh-CN"/>
        </w:rPr>
        <w:t>0.00</w:t>
      </w:r>
      <w:r>
        <w:rPr>
          <w:rFonts w:hint="eastAsia" w:ascii="Times New Roman" w:hAnsi="Times New Roman" w:eastAsia="仿宋" w:cs="Times New Roman"/>
          <w:color w:val="auto"/>
          <w:sz w:val="30"/>
          <w:lang w:val="en-US" w:eastAsia="zh-CN"/>
        </w:rPr>
        <w:t>元，占一般公共预算财政拨款总支出的</w:t>
      </w:r>
      <w:r>
        <w:rPr>
          <w:rFonts w:hint="eastAsia" w:ascii="Times New Roman" w:hAnsi="Times New Roman" w:eastAsia="仿宋" w:cs="Times New Roman"/>
          <w:color w:val="auto"/>
          <w:sz w:val="30"/>
          <w:lang w:val="zh-CN" w:eastAsia="zh-CN"/>
        </w:rPr>
        <w:t>0.00</w:t>
      </w:r>
      <w:r>
        <w:rPr>
          <w:rFonts w:hint="eastAsia" w:ascii="Times New Roman" w:hAnsi="Times New Roman" w:eastAsia="仿宋" w:cs="Times New Roman"/>
          <w:color w:val="auto"/>
          <w:sz w:val="30"/>
          <w:lang w:val="en-US" w:eastAsia="zh-CN"/>
        </w:rPr>
        <w:t>%,年初无此项预算。</w:t>
      </w:r>
    </w:p>
    <w:p w14:paraId="4D795D33">
      <w:pPr>
        <w:keepNext w:val="0"/>
        <w:keepLines w:val="0"/>
        <w:pageBreakBefore w:val="0"/>
        <w:widowControl/>
        <w:kinsoku/>
        <w:wordWrap/>
        <w:overflowPunct/>
        <w:topLinePunct w:val="0"/>
        <w:autoSpaceDE/>
        <w:autoSpaceDN/>
        <w:bidi w:val="0"/>
        <w:adjustRightInd/>
        <w:snapToGrid w:val="0"/>
        <w:spacing w:line="590" w:lineRule="exact"/>
        <w:ind w:firstLine="600" w:firstLineChars="200"/>
        <w:jc w:val="both"/>
        <w:textAlignment w:val="auto"/>
        <w:rPr>
          <w:rFonts w:hint="eastAsia" w:ascii="Times New Roman" w:hAnsi="Times New Roman" w:eastAsia="仿宋" w:cs="Times New Roman"/>
          <w:color w:val="auto"/>
          <w:sz w:val="30"/>
          <w:lang w:val="en-US" w:eastAsia="zh-CN"/>
        </w:rPr>
      </w:pPr>
      <w:r>
        <w:rPr>
          <w:rFonts w:hint="eastAsia" w:ascii="Times New Roman" w:hAnsi="Times New Roman" w:eastAsia="仿宋" w:cs="Times New Roman"/>
          <w:color w:val="auto"/>
          <w:sz w:val="30"/>
          <w:lang w:val="en-US" w:eastAsia="zh-CN"/>
        </w:rPr>
        <w:t>2.外交（类）支出</w:t>
      </w:r>
      <w:r>
        <w:rPr>
          <w:rFonts w:hint="eastAsia" w:ascii="Times New Roman" w:hAnsi="Times New Roman" w:eastAsia="仿宋" w:cs="Times New Roman"/>
          <w:color w:val="auto"/>
          <w:sz w:val="30"/>
          <w:lang w:val="zh-CN" w:eastAsia="zh-CN"/>
        </w:rPr>
        <w:t>0.00</w:t>
      </w:r>
      <w:r>
        <w:rPr>
          <w:rFonts w:hint="eastAsia" w:ascii="Times New Roman" w:hAnsi="Times New Roman" w:eastAsia="仿宋" w:cs="Times New Roman"/>
          <w:color w:val="auto"/>
          <w:sz w:val="30"/>
          <w:lang w:val="en-US" w:eastAsia="zh-CN"/>
        </w:rPr>
        <w:t>元，占一般公共预算财政拨款总支出的</w:t>
      </w:r>
      <w:r>
        <w:rPr>
          <w:rFonts w:hint="eastAsia" w:ascii="Times New Roman" w:hAnsi="Times New Roman" w:eastAsia="仿宋" w:cs="Times New Roman"/>
          <w:color w:val="auto"/>
          <w:sz w:val="30"/>
          <w:lang w:val="zh-CN" w:eastAsia="zh-CN"/>
        </w:rPr>
        <w:t>0.00</w:t>
      </w:r>
      <w:r>
        <w:rPr>
          <w:rFonts w:hint="eastAsia" w:ascii="Times New Roman" w:hAnsi="Times New Roman" w:eastAsia="仿宋" w:cs="Times New Roman"/>
          <w:color w:val="auto"/>
          <w:sz w:val="30"/>
          <w:lang w:val="en-US" w:eastAsia="zh-CN"/>
        </w:rPr>
        <w:t>%,年初无此项预算。</w:t>
      </w:r>
    </w:p>
    <w:p w14:paraId="324E00F6">
      <w:pPr>
        <w:keepNext w:val="0"/>
        <w:keepLines w:val="0"/>
        <w:pageBreakBefore w:val="0"/>
        <w:widowControl/>
        <w:kinsoku/>
        <w:wordWrap/>
        <w:overflowPunct/>
        <w:topLinePunct w:val="0"/>
        <w:autoSpaceDE/>
        <w:autoSpaceDN/>
        <w:bidi w:val="0"/>
        <w:adjustRightInd/>
        <w:snapToGrid w:val="0"/>
        <w:spacing w:line="590" w:lineRule="exact"/>
        <w:ind w:firstLine="600" w:firstLineChars="200"/>
        <w:jc w:val="both"/>
        <w:textAlignment w:val="auto"/>
        <w:rPr>
          <w:rFonts w:hint="eastAsia" w:ascii="Times New Roman" w:hAnsi="Times New Roman" w:eastAsia="仿宋" w:cs="Times New Roman"/>
          <w:color w:val="auto"/>
          <w:sz w:val="30"/>
          <w:lang w:val="en-US" w:eastAsia="zh-CN"/>
        </w:rPr>
      </w:pPr>
      <w:r>
        <w:rPr>
          <w:rFonts w:hint="eastAsia" w:ascii="Times New Roman" w:hAnsi="Times New Roman" w:eastAsia="仿宋" w:cs="Times New Roman"/>
          <w:color w:val="auto"/>
          <w:sz w:val="30"/>
          <w:lang w:val="en-US" w:eastAsia="zh-CN"/>
        </w:rPr>
        <w:t>3.国防（类）支出</w:t>
      </w:r>
      <w:r>
        <w:rPr>
          <w:rFonts w:hint="eastAsia" w:ascii="Times New Roman" w:hAnsi="Times New Roman" w:eastAsia="仿宋" w:cs="Times New Roman"/>
          <w:color w:val="auto"/>
          <w:sz w:val="30"/>
          <w:lang w:val="zh-CN" w:eastAsia="zh-CN"/>
        </w:rPr>
        <w:t>0.00</w:t>
      </w:r>
      <w:r>
        <w:rPr>
          <w:rFonts w:hint="eastAsia" w:ascii="Times New Roman" w:hAnsi="Times New Roman" w:eastAsia="仿宋" w:cs="Times New Roman"/>
          <w:color w:val="auto"/>
          <w:sz w:val="30"/>
          <w:lang w:val="en-US" w:eastAsia="zh-CN"/>
        </w:rPr>
        <w:t>元，占一般公共预算财政拨款总支出的</w:t>
      </w:r>
      <w:r>
        <w:rPr>
          <w:rFonts w:hint="eastAsia" w:ascii="Times New Roman" w:hAnsi="Times New Roman" w:eastAsia="仿宋" w:cs="Times New Roman"/>
          <w:color w:val="auto"/>
          <w:sz w:val="30"/>
          <w:lang w:val="zh-CN" w:eastAsia="zh-CN"/>
        </w:rPr>
        <w:t>0.00</w:t>
      </w:r>
      <w:r>
        <w:rPr>
          <w:rFonts w:hint="eastAsia" w:ascii="Times New Roman" w:hAnsi="Times New Roman" w:eastAsia="仿宋" w:cs="Times New Roman"/>
          <w:color w:val="auto"/>
          <w:sz w:val="30"/>
          <w:lang w:val="en-US" w:eastAsia="zh-CN"/>
        </w:rPr>
        <w:t>%,年初无此项预算。</w:t>
      </w:r>
    </w:p>
    <w:p w14:paraId="6F3694F4">
      <w:pPr>
        <w:keepNext w:val="0"/>
        <w:keepLines w:val="0"/>
        <w:pageBreakBefore w:val="0"/>
        <w:widowControl/>
        <w:kinsoku/>
        <w:wordWrap/>
        <w:overflowPunct/>
        <w:topLinePunct w:val="0"/>
        <w:autoSpaceDE/>
        <w:autoSpaceDN/>
        <w:bidi w:val="0"/>
        <w:adjustRightInd/>
        <w:snapToGrid w:val="0"/>
        <w:spacing w:line="590" w:lineRule="exact"/>
        <w:ind w:firstLine="600" w:firstLineChars="200"/>
        <w:jc w:val="both"/>
        <w:textAlignment w:val="auto"/>
        <w:rPr>
          <w:rFonts w:hint="eastAsia" w:ascii="Times New Roman" w:hAnsi="Times New Roman" w:eastAsia="仿宋" w:cs="Times New Roman"/>
          <w:color w:val="auto"/>
          <w:sz w:val="30"/>
          <w:lang w:val="en-US" w:eastAsia="zh-CN"/>
        </w:rPr>
      </w:pPr>
      <w:r>
        <w:rPr>
          <w:rFonts w:hint="eastAsia" w:ascii="Times New Roman" w:hAnsi="Times New Roman" w:eastAsia="仿宋" w:cs="Times New Roman"/>
          <w:color w:val="auto"/>
          <w:sz w:val="30"/>
          <w:lang w:val="en-US" w:eastAsia="zh-CN"/>
        </w:rPr>
        <w:t>4.公共安全（类）支出</w:t>
      </w:r>
      <w:r>
        <w:rPr>
          <w:rFonts w:hint="eastAsia" w:ascii="Times New Roman" w:hAnsi="Times New Roman" w:eastAsia="仿宋" w:cs="Times New Roman"/>
          <w:color w:val="auto"/>
          <w:sz w:val="30"/>
          <w:lang w:val="zh-CN" w:eastAsia="zh-CN"/>
        </w:rPr>
        <w:t>0.00</w:t>
      </w:r>
      <w:r>
        <w:rPr>
          <w:rFonts w:hint="eastAsia" w:ascii="Times New Roman" w:hAnsi="Times New Roman" w:eastAsia="仿宋" w:cs="Times New Roman"/>
          <w:color w:val="auto"/>
          <w:sz w:val="30"/>
          <w:lang w:val="en-US" w:eastAsia="zh-CN"/>
        </w:rPr>
        <w:t>元，占一般公共预算财政拨款总支出的</w:t>
      </w:r>
      <w:r>
        <w:rPr>
          <w:rFonts w:hint="eastAsia" w:ascii="Times New Roman" w:hAnsi="Times New Roman" w:eastAsia="仿宋" w:cs="Times New Roman"/>
          <w:color w:val="auto"/>
          <w:sz w:val="30"/>
          <w:lang w:val="zh-CN" w:eastAsia="zh-CN"/>
        </w:rPr>
        <w:t>0.00</w:t>
      </w:r>
      <w:r>
        <w:rPr>
          <w:rFonts w:hint="eastAsia" w:ascii="Times New Roman" w:hAnsi="Times New Roman" w:eastAsia="仿宋" w:cs="Times New Roman"/>
          <w:color w:val="auto"/>
          <w:sz w:val="30"/>
          <w:lang w:val="en-US" w:eastAsia="zh-CN"/>
        </w:rPr>
        <w:t>%,年初无此项预算。</w:t>
      </w:r>
    </w:p>
    <w:p w14:paraId="043238E8">
      <w:pPr>
        <w:keepNext w:val="0"/>
        <w:keepLines w:val="0"/>
        <w:pageBreakBefore w:val="0"/>
        <w:widowControl/>
        <w:kinsoku/>
        <w:wordWrap/>
        <w:overflowPunct/>
        <w:topLinePunct w:val="0"/>
        <w:autoSpaceDE/>
        <w:autoSpaceDN/>
        <w:bidi w:val="0"/>
        <w:adjustRightInd/>
        <w:snapToGrid w:val="0"/>
        <w:spacing w:line="590" w:lineRule="exact"/>
        <w:ind w:firstLine="600" w:firstLineChars="200"/>
        <w:jc w:val="both"/>
        <w:textAlignment w:val="auto"/>
        <w:rPr>
          <w:rFonts w:hint="eastAsia" w:ascii="Times New Roman" w:hAnsi="Times New Roman" w:eastAsia="仿宋" w:cs="Times New Roman"/>
          <w:color w:val="auto"/>
          <w:sz w:val="30"/>
          <w:lang w:val="en-US" w:eastAsia="zh-CN"/>
        </w:rPr>
      </w:pPr>
      <w:r>
        <w:rPr>
          <w:rFonts w:hint="eastAsia" w:ascii="Times New Roman" w:hAnsi="Times New Roman" w:eastAsia="仿宋" w:cs="Times New Roman"/>
          <w:color w:val="auto"/>
          <w:sz w:val="30"/>
          <w:lang w:val="en-US" w:eastAsia="zh-CN"/>
        </w:rPr>
        <w:t>5.教育（类）支出40,740,714.84元，占一般公共预算财政拨款总支出的71.80%,完成年初预算的</w:t>
      </w:r>
      <w:r>
        <w:rPr>
          <w:rFonts w:hint="eastAsia" w:ascii="Times New Roman" w:hAnsi="Times New Roman" w:eastAsia="仿宋" w:cs="Times New Roman"/>
          <w:color w:val="auto"/>
          <w:sz w:val="30"/>
          <w:lang w:val="zh-CN" w:eastAsia="zh-CN"/>
        </w:rPr>
        <w:t>100.00</w:t>
      </w:r>
      <w:r>
        <w:rPr>
          <w:rFonts w:hint="eastAsia" w:ascii="Times New Roman" w:hAnsi="Times New Roman" w:eastAsia="仿宋" w:cs="Times New Roman"/>
          <w:color w:val="auto"/>
          <w:sz w:val="30"/>
          <w:lang w:val="en-US" w:eastAsia="zh-CN"/>
        </w:rPr>
        <w:t>%。主要用于高中教育。其中：学校基本工资、津贴补贴、绩效工资、其他社会保障缴费等工资福利支出34</w:t>
      </w:r>
      <w:r>
        <w:rPr>
          <w:rFonts w:hint="eastAsia" w:eastAsia="仿宋" w:cs="Times New Roman"/>
          <w:color w:val="auto"/>
          <w:sz w:val="30"/>
          <w:lang w:val="en-US" w:eastAsia="zh-CN"/>
        </w:rPr>
        <w:t>,</w:t>
      </w:r>
      <w:r>
        <w:rPr>
          <w:rFonts w:hint="eastAsia" w:ascii="Times New Roman" w:hAnsi="Times New Roman" w:eastAsia="仿宋" w:cs="Times New Roman"/>
          <w:color w:val="auto"/>
          <w:sz w:val="30"/>
          <w:lang w:val="en-US" w:eastAsia="zh-CN"/>
        </w:rPr>
        <w:t>416</w:t>
      </w:r>
      <w:r>
        <w:rPr>
          <w:rFonts w:hint="eastAsia" w:eastAsia="仿宋" w:cs="Times New Roman"/>
          <w:color w:val="auto"/>
          <w:sz w:val="30"/>
          <w:lang w:val="en-US" w:eastAsia="zh-CN"/>
        </w:rPr>
        <w:t>,</w:t>
      </w:r>
      <w:r>
        <w:rPr>
          <w:rFonts w:hint="eastAsia" w:ascii="Times New Roman" w:hAnsi="Times New Roman" w:eastAsia="仿宋" w:cs="Times New Roman"/>
          <w:color w:val="auto"/>
          <w:sz w:val="30"/>
          <w:lang w:val="en-US" w:eastAsia="zh-CN"/>
        </w:rPr>
        <w:t>045.43元；办公费、水电费、差旅费等商品和服务支出2</w:t>
      </w:r>
      <w:r>
        <w:rPr>
          <w:rFonts w:hint="eastAsia" w:eastAsia="仿宋" w:cs="Times New Roman"/>
          <w:color w:val="auto"/>
          <w:sz w:val="30"/>
          <w:lang w:val="en-US" w:eastAsia="zh-CN"/>
        </w:rPr>
        <w:t>,</w:t>
      </w:r>
      <w:r>
        <w:rPr>
          <w:rFonts w:hint="eastAsia" w:ascii="Times New Roman" w:hAnsi="Times New Roman" w:eastAsia="仿宋" w:cs="Times New Roman"/>
          <w:color w:val="auto"/>
          <w:sz w:val="30"/>
          <w:lang w:val="en-US" w:eastAsia="zh-CN"/>
        </w:rPr>
        <w:t>556</w:t>
      </w:r>
      <w:r>
        <w:rPr>
          <w:rFonts w:hint="eastAsia" w:eastAsia="仿宋" w:cs="Times New Roman"/>
          <w:color w:val="auto"/>
          <w:sz w:val="30"/>
          <w:lang w:val="en-US" w:eastAsia="zh-CN"/>
        </w:rPr>
        <w:t>,</w:t>
      </w:r>
      <w:r>
        <w:rPr>
          <w:rFonts w:hint="eastAsia" w:ascii="Times New Roman" w:hAnsi="Times New Roman" w:eastAsia="仿宋" w:cs="Times New Roman"/>
          <w:color w:val="auto"/>
          <w:sz w:val="30"/>
          <w:lang w:val="en-US" w:eastAsia="zh-CN"/>
        </w:rPr>
        <w:t>219.41元；抚恤金、遗属补助、助学金等对个人和家庭的补助支出1</w:t>
      </w:r>
      <w:r>
        <w:rPr>
          <w:rFonts w:hint="eastAsia" w:eastAsia="仿宋" w:cs="Times New Roman"/>
          <w:color w:val="auto"/>
          <w:sz w:val="30"/>
          <w:lang w:val="en-US" w:eastAsia="zh-CN"/>
        </w:rPr>
        <w:t>,</w:t>
      </w:r>
      <w:r>
        <w:rPr>
          <w:rFonts w:hint="eastAsia" w:ascii="Times New Roman" w:hAnsi="Times New Roman" w:eastAsia="仿宋" w:cs="Times New Roman"/>
          <w:color w:val="auto"/>
          <w:sz w:val="30"/>
          <w:lang w:val="en-US" w:eastAsia="zh-CN"/>
        </w:rPr>
        <w:t>659</w:t>
      </w:r>
      <w:r>
        <w:rPr>
          <w:rFonts w:hint="eastAsia" w:eastAsia="仿宋" w:cs="Times New Roman"/>
          <w:color w:val="auto"/>
          <w:sz w:val="30"/>
          <w:lang w:val="en-US" w:eastAsia="zh-CN"/>
        </w:rPr>
        <w:t>,</w:t>
      </w:r>
      <w:r>
        <w:rPr>
          <w:rFonts w:hint="eastAsia" w:ascii="Times New Roman" w:hAnsi="Times New Roman" w:eastAsia="仿宋" w:cs="Times New Roman"/>
          <w:color w:val="auto"/>
          <w:sz w:val="30"/>
          <w:lang w:val="en-US" w:eastAsia="zh-CN"/>
        </w:rPr>
        <w:t>150.00元；大型修缮、办公设备等等资本性支出2</w:t>
      </w:r>
      <w:r>
        <w:rPr>
          <w:rFonts w:hint="eastAsia" w:eastAsia="仿宋" w:cs="Times New Roman"/>
          <w:color w:val="auto"/>
          <w:sz w:val="30"/>
          <w:lang w:val="en-US" w:eastAsia="zh-CN"/>
        </w:rPr>
        <w:t>,</w:t>
      </w:r>
      <w:r>
        <w:rPr>
          <w:rFonts w:hint="eastAsia" w:ascii="Times New Roman" w:hAnsi="Times New Roman" w:eastAsia="仿宋" w:cs="Times New Roman"/>
          <w:color w:val="auto"/>
          <w:sz w:val="30"/>
          <w:lang w:val="en-US" w:eastAsia="zh-CN"/>
        </w:rPr>
        <w:t>109</w:t>
      </w:r>
      <w:r>
        <w:rPr>
          <w:rFonts w:hint="eastAsia" w:eastAsia="仿宋" w:cs="Times New Roman"/>
          <w:color w:val="auto"/>
          <w:sz w:val="30"/>
          <w:lang w:val="en-US" w:eastAsia="zh-CN"/>
        </w:rPr>
        <w:t>,</w:t>
      </w:r>
      <w:r>
        <w:rPr>
          <w:rFonts w:hint="eastAsia" w:ascii="Times New Roman" w:hAnsi="Times New Roman" w:eastAsia="仿宋" w:cs="Times New Roman"/>
          <w:color w:val="auto"/>
          <w:sz w:val="30"/>
          <w:lang w:val="en-US" w:eastAsia="zh-CN"/>
        </w:rPr>
        <w:t>300.00元。决算与年初预算无差异。</w:t>
      </w:r>
    </w:p>
    <w:p w14:paraId="07F614EF">
      <w:pPr>
        <w:keepNext w:val="0"/>
        <w:keepLines w:val="0"/>
        <w:pageBreakBefore w:val="0"/>
        <w:widowControl/>
        <w:kinsoku/>
        <w:wordWrap/>
        <w:overflowPunct/>
        <w:topLinePunct w:val="0"/>
        <w:autoSpaceDE/>
        <w:autoSpaceDN/>
        <w:bidi w:val="0"/>
        <w:adjustRightInd/>
        <w:snapToGrid w:val="0"/>
        <w:spacing w:line="590" w:lineRule="exact"/>
        <w:ind w:firstLine="600" w:firstLineChars="200"/>
        <w:jc w:val="both"/>
        <w:textAlignment w:val="auto"/>
        <w:rPr>
          <w:rFonts w:hint="eastAsia" w:ascii="Times New Roman" w:hAnsi="Times New Roman" w:eastAsia="仿宋" w:cs="Times New Roman"/>
          <w:color w:val="auto"/>
          <w:sz w:val="30"/>
          <w:lang w:val="en-US" w:eastAsia="zh-CN"/>
        </w:rPr>
      </w:pPr>
      <w:r>
        <w:rPr>
          <w:rFonts w:hint="eastAsia" w:ascii="Times New Roman" w:hAnsi="Times New Roman" w:eastAsia="仿宋" w:cs="Times New Roman"/>
          <w:color w:val="auto"/>
          <w:sz w:val="30"/>
          <w:lang w:val="en-US" w:eastAsia="zh-CN"/>
        </w:rPr>
        <w:t>6.科学技术（类）支出0.00元，占一般公共预算财政拨款总支出的0.00%,年初无此项预算。</w:t>
      </w:r>
    </w:p>
    <w:p w14:paraId="421A2629">
      <w:pPr>
        <w:keepNext w:val="0"/>
        <w:keepLines w:val="0"/>
        <w:pageBreakBefore w:val="0"/>
        <w:widowControl/>
        <w:kinsoku/>
        <w:wordWrap/>
        <w:overflowPunct/>
        <w:topLinePunct w:val="0"/>
        <w:autoSpaceDE/>
        <w:autoSpaceDN/>
        <w:bidi w:val="0"/>
        <w:adjustRightInd/>
        <w:snapToGrid w:val="0"/>
        <w:spacing w:line="590" w:lineRule="exact"/>
        <w:ind w:firstLine="600" w:firstLineChars="200"/>
        <w:jc w:val="both"/>
        <w:textAlignment w:val="auto"/>
        <w:rPr>
          <w:rFonts w:hint="eastAsia" w:ascii="Times New Roman" w:hAnsi="Times New Roman" w:eastAsia="仿宋" w:cs="Times New Roman"/>
          <w:color w:val="auto"/>
          <w:sz w:val="30"/>
          <w:lang w:val="en-US" w:eastAsia="zh-CN"/>
        </w:rPr>
      </w:pPr>
      <w:r>
        <w:rPr>
          <w:rFonts w:hint="eastAsia" w:ascii="Times New Roman" w:hAnsi="Times New Roman" w:eastAsia="仿宋" w:cs="Times New Roman"/>
          <w:color w:val="auto"/>
          <w:sz w:val="30"/>
          <w:lang w:val="en-US" w:eastAsia="zh-CN"/>
        </w:rPr>
        <w:t>7.文化旅游体育与传媒（类）支出0.00元，占一般公共预算财政拨款总支出的0.00%,年初无此项预算。</w:t>
      </w:r>
    </w:p>
    <w:p w14:paraId="2B659331">
      <w:pPr>
        <w:keepNext w:val="0"/>
        <w:keepLines w:val="0"/>
        <w:pageBreakBefore w:val="0"/>
        <w:widowControl/>
        <w:kinsoku/>
        <w:wordWrap/>
        <w:overflowPunct/>
        <w:topLinePunct w:val="0"/>
        <w:autoSpaceDE/>
        <w:autoSpaceDN/>
        <w:bidi w:val="0"/>
        <w:adjustRightInd/>
        <w:snapToGrid w:val="0"/>
        <w:spacing w:line="590" w:lineRule="exact"/>
        <w:ind w:firstLine="600" w:firstLineChars="200"/>
        <w:jc w:val="both"/>
        <w:textAlignment w:val="auto"/>
        <w:rPr>
          <w:rFonts w:hint="default" w:ascii="Times New Roman" w:hAnsi="Times New Roman" w:eastAsia="仿宋" w:cs="Times New Roman"/>
          <w:color w:val="auto"/>
          <w:sz w:val="30"/>
          <w:lang w:val="en-US" w:eastAsia="zh-CN"/>
        </w:rPr>
      </w:pPr>
      <w:r>
        <w:rPr>
          <w:rFonts w:hint="eastAsia" w:ascii="Times New Roman" w:hAnsi="Times New Roman" w:eastAsia="仿宋" w:cs="Times New Roman"/>
          <w:color w:val="auto"/>
          <w:sz w:val="30"/>
          <w:lang w:val="en-US" w:eastAsia="zh-CN"/>
        </w:rPr>
        <w:t>8.社会保障和就业（类）支出7,526,483.21元，占一般公共预算财政拨款总支出的13.26%,完成年初预算的</w:t>
      </w:r>
      <w:r>
        <w:rPr>
          <w:rFonts w:hint="eastAsia" w:ascii="Times New Roman" w:hAnsi="Times New Roman" w:eastAsia="仿宋" w:cs="Times New Roman"/>
          <w:color w:val="auto"/>
          <w:sz w:val="30"/>
          <w:lang w:val="zh-CN" w:eastAsia="zh-CN"/>
        </w:rPr>
        <w:t>100.00</w:t>
      </w:r>
      <w:r>
        <w:rPr>
          <w:rFonts w:hint="eastAsia" w:ascii="Times New Roman" w:hAnsi="Times New Roman" w:eastAsia="仿宋" w:cs="Times New Roman"/>
          <w:color w:val="auto"/>
          <w:sz w:val="30"/>
          <w:lang w:val="en-US" w:eastAsia="zh-CN"/>
        </w:rPr>
        <w:t>%。主要用于机关事业单位基本养老保险缴费等工资福利支出4</w:t>
      </w:r>
      <w:r>
        <w:rPr>
          <w:rFonts w:hint="eastAsia" w:eastAsia="仿宋" w:cs="Times New Roman"/>
          <w:color w:val="auto"/>
          <w:sz w:val="30"/>
          <w:lang w:val="en-US" w:eastAsia="zh-CN"/>
        </w:rPr>
        <w:t>,</w:t>
      </w:r>
      <w:r>
        <w:rPr>
          <w:rFonts w:hint="eastAsia" w:ascii="Times New Roman" w:hAnsi="Times New Roman" w:eastAsia="仿宋" w:cs="Times New Roman"/>
          <w:color w:val="auto"/>
          <w:sz w:val="30"/>
          <w:lang w:val="en-US" w:eastAsia="zh-CN"/>
        </w:rPr>
        <w:t>786</w:t>
      </w:r>
      <w:r>
        <w:rPr>
          <w:rFonts w:hint="eastAsia" w:eastAsia="仿宋" w:cs="Times New Roman"/>
          <w:color w:val="auto"/>
          <w:sz w:val="30"/>
          <w:lang w:val="en-US" w:eastAsia="zh-CN"/>
        </w:rPr>
        <w:t>,</w:t>
      </w:r>
      <w:r>
        <w:rPr>
          <w:rFonts w:hint="eastAsia" w:ascii="Times New Roman" w:hAnsi="Times New Roman" w:eastAsia="仿宋" w:cs="Times New Roman"/>
          <w:color w:val="auto"/>
          <w:sz w:val="30"/>
          <w:lang w:val="en-US" w:eastAsia="zh-CN"/>
        </w:rPr>
        <w:t>376.32元；机关事业单位职业年金缴费支出2</w:t>
      </w:r>
      <w:r>
        <w:rPr>
          <w:rFonts w:hint="eastAsia" w:eastAsia="仿宋" w:cs="Times New Roman"/>
          <w:color w:val="auto"/>
          <w:sz w:val="30"/>
          <w:lang w:val="en-US" w:eastAsia="zh-CN"/>
        </w:rPr>
        <w:t>,</w:t>
      </w:r>
      <w:r>
        <w:rPr>
          <w:rFonts w:hint="eastAsia" w:ascii="Times New Roman" w:hAnsi="Times New Roman" w:eastAsia="仿宋" w:cs="Times New Roman"/>
          <w:color w:val="auto"/>
          <w:sz w:val="30"/>
          <w:lang w:val="en-US" w:eastAsia="zh-CN"/>
        </w:rPr>
        <w:t>273</w:t>
      </w:r>
      <w:r>
        <w:rPr>
          <w:rFonts w:hint="eastAsia" w:eastAsia="仿宋" w:cs="Times New Roman"/>
          <w:color w:val="auto"/>
          <w:sz w:val="30"/>
          <w:lang w:val="en-US" w:eastAsia="zh-CN"/>
        </w:rPr>
        <w:t>,</w:t>
      </w:r>
      <w:r>
        <w:rPr>
          <w:rFonts w:hint="eastAsia" w:ascii="Times New Roman" w:hAnsi="Times New Roman" w:eastAsia="仿宋" w:cs="Times New Roman"/>
          <w:color w:val="auto"/>
          <w:sz w:val="30"/>
          <w:lang w:val="en-US" w:eastAsia="zh-CN"/>
        </w:rPr>
        <w:t>474.49元；抚恤金及遗属生活补助支出466</w:t>
      </w:r>
      <w:r>
        <w:rPr>
          <w:rFonts w:hint="eastAsia" w:eastAsia="仿宋" w:cs="Times New Roman"/>
          <w:color w:val="auto"/>
          <w:sz w:val="30"/>
          <w:lang w:val="en-US" w:eastAsia="zh-CN"/>
        </w:rPr>
        <w:t>,</w:t>
      </w:r>
      <w:r>
        <w:rPr>
          <w:rFonts w:hint="eastAsia" w:ascii="Times New Roman" w:hAnsi="Times New Roman" w:eastAsia="仿宋" w:cs="Times New Roman"/>
          <w:color w:val="auto"/>
          <w:sz w:val="30"/>
          <w:lang w:val="en-US" w:eastAsia="zh-CN"/>
        </w:rPr>
        <w:t>632.4元。决算与年初预算无差异。</w:t>
      </w:r>
    </w:p>
    <w:p w14:paraId="5A38561C">
      <w:pPr>
        <w:keepNext w:val="0"/>
        <w:keepLines w:val="0"/>
        <w:pageBreakBefore w:val="0"/>
        <w:widowControl/>
        <w:kinsoku/>
        <w:wordWrap/>
        <w:overflowPunct/>
        <w:topLinePunct w:val="0"/>
        <w:autoSpaceDE/>
        <w:autoSpaceDN/>
        <w:bidi w:val="0"/>
        <w:adjustRightInd/>
        <w:snapToGrid w:val="0"/>
        <w:spacing w:line="590" w:lineRule="exact"/>
        <w:ind w:firstLine="600" w:firstLineChars="200"/>
        <w:jc w:val="both"/>
        <w:textAlignment w:val="auto"/>
        <w:rPr>
          <w:rFonts w:hint="eastAsia" w:ascii="Times New Roman" w:hAnsi="Times New Roman" w:eastAsia="仿宋" w:cs="Times New Roman"/>
          <w:color w:val="auto"/>
          <w:sz w:val="30"/>
          <w:lang w:val="en-US" w:eastAsia="zh-CN"/>
        </w:rPr>
      </w:pPr>
      <w:r>
        <w:rPr>
          <w:rFonts w:hint="eastAsia" w:ascii="Times New Roman" w:hAnsi="Times New Roman" w:eastAsia="仿宋" w:cs="Times New Roman"/>
          <w:color w:val="auto"/>
          <w:sz w:val="30"/>
          <w:lang w:val="en-US" w:eastAsia="zh-CN"/>
        </w:rPr>
        <w:t>9.卫生健康（类）支出</w:t>
      </w:r>
      <w:r>
        <w:rPr>
          <w:rFonts w:hint="eastAsia" w:ascii="Times New Roman" w:hAnsi="Times New Roman" w:eastAsia="仿宋" w:cs="Times New Roman"/>
          <w:color w:val="auto"/>
          <w:sz w:val="30"/>
          <w:lang w:val="zh-CN" w:eastAsia="zh-CN"/>
        </w:rPr>
        <w:t>4</w:t>
      </w:r>
      <w:r>
        <w:rPr>
          <w:rFonts w:hint="eastAsia" w:ascii="Times New Roman" w:hAnsi="Times New Roman" w:eastAsia="仿宋" w:cs="Times New Roman"/>
          <w:color w:val="auto"/>
          <w:sz w:val="30"/>
          <w:lang w:val="en-US" w:eastAsia="zh-CN"/>
        </w:rPr>
        <w:t>,</w:t>
      </w:r>
      <w:r>
        <w:rPr>
          <w:rFonts w:hint="eastAsia" w:ascii="Times New Roman" w:hAnsi="Times New Roman" w:eastAsia="仿宋" w:cs="Times New Roman"/>
          <w:color w:val="auto"/>
          <w:sz w:val="30"/>
          <w:lang w:val="zh-CN" w:eastAsia="zh-CN"/>
        </w:rPr>
        <w:t>228</w:t>
      </w:r>
      <w:r>
        <w:rPr>
          <w:rFonts w:hint="eastAsia" w:ascii="Times New Roman" w:hAnsi="Times New Roman" w:eastAsia="仿宋" w:cs="Times New Roman"/>
          <w:color w:val="auto"/>
          <w:sz w:val="30"/>
          <w:lang w:val="en-US" w:eastAsia="zh-CN"/>
        </w:rPr>
        <w:t>,</w:t>
      </w:r>
      <w:r>
        <w:rPr>
          <w:rFonts w:hint="eastAsia" w:ascii="Times New Roman" w:hAnsi="Times New Roman" w:eastAsia="仿宋" w:cs="Times New Roman"/>
          <w:color w:val="auto"/>
          <w:sz w:val="30"/>
          <w:lang w:val="zh-CN" w:eastAsia="zh-CN"/>
        </w:rPr>
        <w:t>100.66</w:t>
      </w:r>
      <w:r>
        <w:rPr>
          <w:rFonts w:hint="eastAsia" w:ascii="Times New Roman" w:hAnsi="Times New Roman" w:eastAsia="仿宋" w:cs="Times New Roman"/>
          <w:color w:val="auto"/>
          <w:sz w:val="30"/>
          <w:lang w:val="en-US" w:eastAsia="zh-CN"/>
        </w:rPr>
        <w:t>元，占一般公共预算财政拨款总支出的</w:t>
      </w:r>
      <w:r>
        <w:rPr>
          <w:rFonts w:hint="eastAsia" w:ascii="Times New Roman" w:hAnsi="Times New Roman" w:eastAsia="仿宋" w:cs="Times New Roman"/>
          <w:color w:val="auto"/>
          <w:sz w:val="30"/>
          <w:lang w:val="zh-CN" w:eastAsia="zh-CN"/>
        </w:rPr>
        <w:t>7.45</w:t>
      </w:r>
      <w:r>
        <w:rPr>
          <w:rFonts w:hint="eastAsia" w:ascii="Times New Roman" w:hAnsi="Times New Roman" w:eastAsia="仿宋" w:cs="Times New Roman"/>
          <w:color w:val="auto"/>
          <w:sz w:val="30"/>
          <w:lang w:val="en-US" w:eastAsia="zh-CN"/>
        </w:rPr>
        <w:t>%,完成年初预算的</w:t>
      </w:r>
      <w:r>
        <w:rPr>
          <w:rFonts w:hint="eastAsia" w:ascii="Times New Roman" w:hAnsi="Times New Roman" w:eastAsia="仿宋" w:cs="Times New Roman"/>
          <w:color w:val="auto"/>
          <w:sz w:val="30"/>
          <w:lang w:val="zh-CN" w:eastAsia="zh-CN"/>
        </w:rPr>
        <w:t>100.00</w:t>
      </w:r>
      <w:r>
        <w:rPr>
          <w:rFonts w:hint="eastAsia" w:ascii="Times New Roman" w:hAnsi="Times New Roman" w:eastAsia="仿宋" w:cs="Times New Roman"/>
          <w:color w:val="auto"/>
          <w:sz w:val="30"/>
          <w:lang w:val="en-US" w:eastAsia="zh-CN"/>
        </w:rPr>
        <w:t>%。主要用于事业单位医疗支出2</w:t>
      </w:r>
      <w:r>
        <w:rPr>
          <w:rFonts w:hint="eastAsia" w:eastAsia="仿宋" w:cs="Times New Roman"/>
          <w:color w:val="auto"/>
          <w:sz w:val="30"/>
          <w:lang w:val="en-US" w:eastAsia="zh-CN"/>
        </w:rPr>
        <w:t>,</w:t>
      </w:r>
      <w:r>
        <w:rPr>
          <w:rFonts w:hint="eastAsia" w:ascii="Times New Roman" w:hAnsi="Times New Roman" w:eastAsia="仿宋" w:cs="Times New Roman"/>
          <w:color w:val="auto"/>
          <w:sz w:val="30"/>
          <w:lang w:val="en-US" w:eastAsia="zh-CN"/>
        </w:rPr>
        <w:t>516</w:t>
      </w:r>
      <w:r>
        <w:rPr>
          <w:rFonts w:hint="eastAsia" w:eastAsia="仿宋" w:cs="Times New Roman"/>
          <w:color w:val="auto"/>
          <w:sz w:val="30"/>
          <w:lang w:val="en-US" w:eastAsia="zh-CN"/>
        </w:rPr>
        <w:t>,</w:t>
      </w:r>
      <w:r>
        <w:rPr>
          <w:rFonts w:hint="eastAsia" w:ascii="Times New Roman" w:hAnsi="Times New Roman" w:eastAsia="仿宋" w:cs="Times New Roman"/>
          <w:color w:val="auto"/>
          <w:sz w:val="30"/>
          <w:lang w:val="en-US" w:eastAsia="zh-CN"/>
        </w:rPr>
        <w:t>304.74元；公务员医疗补助支出1</w:t>
      </w:r>
      <w:r>
        <w:rPr>
          <w:rFonts w:hint="eastAsia" w:eastAsia="仿宋" w:cs="Times New Roman"/>
          <w:color w:val="auto"/>
          <w:sz w:val="30"/>
          <w:lang w:val="en-US" w:eastAsia="zh-CN"/>
        </w:rPr>
        <w:t>,</w:t>
      </w:r>
      <w:r>
        <w:rPr>
          <w:rFonts w:hint="eastAsia" w:ascii="Times New Roman" w:hAnsi="Times New Roman" w:eastAsia="仿宋" w:cs="Times New Roman"/>
          <w:color w:val="auto"/>
          <w:sz w:val="30"/>
          <w:lang w:val="en-US" w:eastAsia="zh-CN"/>
        </w:rPr>
        <w:t>488</w:t>
      </w:r>
      <w:r>
        <w:rPr>
          <w:rFonts w:hint="eastAsia" w:eastAsia="仿宋" w:cs="Times New Roman"/>
          <w:color w:val="auto"/>
          <w:sz w:val="30"/>
          <w:lang w:val="en-US" w:eastAsia="zh-CN"/>
        </w:rPr>
        <w:t>,</w:t>
      </w:r>
      <w:r>
        <w:rPr>
          <w:rFonts w:hint="eastAsia" w:ascii="Times New Roman" w:hAnsi="Times New Roman" w:eastAsia="仿宋" w:cs="Times New Roman"/>
          <w:color w:val="auto"/>
          <w:sz w:val="30"/>
          <w:lang w:val="en-US" w:eastAsia="zh-CN"/>
        </w:rPr>
        <w:t>464.18元；其他事业单位医疗支出223</w:t>
      </w:r>
      <w:r>
        <w:rPr>
          <w:rFonts w:hint="eastAsia" w:eastAsia="仿宋" w:cs="Times New Roman"/>
          <w:color w:val="auto"/>
          <w:sz w:val="30"/>
          <w:lang w:val="en-US" w:eastAsia="zh-CN"/>
        </w:rPr>
        <w:t>,</w:t>
      </w:r>
      <w:r>
        <w:rPr>
          <w:rFonts w:hint="eastAsia" w:ascii="Times New Roman" w:hAnsi="Times New Roman" w:eastAsia="仿宋" w:cs="Times New Roman"/>
          <w:color w:val="auto"/>
          <w:sz w:val="30"/>
          <w:lang w:val="en-US" w:eastAsia="zh-CN"/>
        </w:rPr>
        <w:t>331.74元。决算与年初预算无差异。</w:t>
      </w:r>
    </w:p>
    <w:p w14:paraId="5ED56AC9">
      <w:pPr>
        <w:keepNext w:val="0"/>
        <w:keepLines w:val="0"/>
        <w:pageBreakBefore w:val="0"/>
        <w:widowControl/>
        <w:kinsoku/>
        <w:wordWrap/>
        <w:overflowPunct/>
        <w:topLinePunct w:val="0"/>
        <w:autoSpaceDE/>
        <w:autoSpaceDN/>
        <w:bidi w:val="0"/>
        <w:adjustRightInd/>
        <w:snapToGrid w:val="0"/>
        <w:spacing w:line="590" w:lineRule="exact"/>
        <w:ind w:firstLine="600" w:firstLineChars="200"/>
        <w:jc w:val="both"/>
        <w:textAlignment w:val="auto"/>
        <w:rPr>
          <w:rFonts w:hint="eastAsia" w:ascii="Times New Roman" w:hAnsi="Times New Roman" w:eastAsia="仿宋" w:cs="Times New Roman"/>
          <w:color w:val="auto"/>
          <w:sz w:val="30"/>
          <w:lang w:val="en-US" w:eastAsia="zh-CN"/>
        </w:rPr>
      </w:pPr>
      <w:r>
        <w:rPr>
          <w:rFonts w:hint="eastAsia" w:ascii="Times New Roman" w:hAnsi="Times New Roman" w:eastAsia="仿宋" w:cs="Times New Roman"/>
          <w:color w:val="auto"/>
          <w:sz w:val="30"/>
          <w:lang w:val="en-US" w:eastAsia="zh-CN"/>
        </w:rPr>
        <w:t>10.节能环保（类）支出</w:t>
      </w:r>
      <w:r>
        <w:rPr>
          <w:rFonts w:hint="eastAsia" w:ascii="Times New Roman" w:hAnsi="Times New Roman" w:eastAsia="仿宋" w:cs="Times New Roman"/>
          <w:color w:val="auto"/>
          <w:sz w:val="30"/>
          <w:lang w:val="zh-CN" w:eastAsia="zh-CN"/>
        </w:rPr>
        <w:t>0.00</w:t>
      </w:r>
      <w:r>
        <w:rPr>
          <w:rFonts w:hint="eastAsia" w:ascii="Times New Roman" w:hAnsi="Times New Roman" w:eastAsia="仿宋" w:cs="Times New Roman"/>
          <w:color w:val="auto"/>
          <w:sz w:val="30"/>
          <w:lang w:val="en-US" w:eastAsia="zh-CN"/>
        </w:rPr>
        <w:t>元，占一般公共预算财政拨款总支出的</w:t>
      </w:r>
      <w:r>
        <w:rPr>
          <w:rFonts w:hint="eastAsia" w:ascii="Times New Roman" w:hAnsi="Times New Roman" w:eastAsia="仿宋" w:cs="Times New Roman"/>
          <w:color w:val="auto"/>
          <w:sz w:val="30"/>
          <w:lang w:val="zh-CN" w:eastAsia="zh-CN"/>
        </w:rPr>
        <w:t>0.00</w:t>
      </w:r>
      <w:r>
        <w:rPr>
          <w:rFonts w:hint="eastAsia" w:ascii="Times New Roman" w:hAnsi="Times New Roman" w:eastAsia="仿宋" w:cs="Times New Roman"/>
          <w:color w:val="auto"/>
          <w:sz w:val="30"/>
          <w:lang w:val="en-US" w:eastAsia="zh-CN"/>
        </w:rPr>
        <w:t>%,年初无此项预算。</w:t>
      </w:r>
    </w:p>
    <w:p w14:paraId="197C47BE">
      <w:pPr>
        <w:keepNext w:val="0"/>
        <w:keepLines w:val="0"/>
        <w:pageBreakBefore w:val="0"/>
        <w:widowControl/>
        <w:kinsoku/>
        <w:wordWrap/>
        <w:overflowPunct/>
        <w:topLinePunct w:val="0"/>
        <w:autoSpaceDE/>
        <w:autoSpaceDN/>
        <w:bidi w:val="0"/>
        <w:adjustRightInd/>
        <w:snapToGrid w:val="0"/>
        <w:spacing w:line="590" w:lineRule="exact"/>
        <w:ind w:firstLine="600" w:firstLineChars="200"/>
        <w:jc w:val="both"/>
        <w:textAlignment w:val="auto"/>
        <w:rPr>
          <w:rFonts w:hint="eastAsia" w:ascii="Times New Roman" w:hAnsi="Times New Roman" w:eastAsia="仿宋" w:cs="Times New Roman"/>
          <w:color w:val="auto"/>
          <w:sz w:val="30"/>
          <w:lang w:val="en-US" w:eastAsia="zh-CN"/>
        </w:rPr>
      </w:pPr>
      <w:r>
        <w:rPr>
          <w:rFonts w:hint="eastAsia" w:ascii="Times New Roman" w:hAnsi="Times New Roman" w:eastAsia="仿宋" w:cs="Times New Roman"/>
          <w:color w:val="auto"/>
          <w:sz w:val="30"/>
          <w:lang w:val="en-US" w:eastAsia="zh-CN"/>
        </w:rPr>
        <w:t>11.城乡社区（类）支出</w:t>
      </w:r>
      <w:r>
        <w:rPr>
          <w:rFonts w:hint="eastAsia" w:ascii="Times New Roman" w:hAnsi="Times New Roman" w:eastAsia="仿宋" w:cs="Times New Roman"/>
          <w:color w:val="auto"/>
          <w:sz w:val="30"/>
          <w:lang w:val="zh-CN" w:eastAsia="zh-CN"/>
        </w:rPr>
        <w:t>0.00</w:t>
      </w:r>
      <w:r>
        <w:rPr>
          <w:rFonts w:hint="eastAsia" w:ascii="Times New Roman" w:hAnsi="Times New Roman" w:eastAsia="仿宋" w:cs="Times New Roman"/>
          <w:color w:val="auto"/>
          <w:sz w:val="30"/>
          <w:lang w:val="en-US" w:eastAsia="zh-CN"/>
        </w:rPr>
        <w:t>元，占一般公共预算财政拨款总支出的</w:t>
      </w:r>
      <w:r>
        <w:rPr>
          <w:rFonts w:hint="eastAsia" w:ascii="Times New Roman" w:hAnsi="Times New Roman" w:eastAsia="仿宋" w:cs="Times New Roman"/>
          <w:color w:val="auto"/>
          <w:sz w:val="30"/>
          <w:lang w:val="zh-CN" w:eastAsia="zh-CN"/>
        </w:rPr>
        <w:t>0.00</w:t>
      </w:r>
      <w:r>
        <w:rPr>
          <w:rFonts w:hint="eastAsia" w:ascii="Times New Roman" w:hAnsi="Times New Roman" w:eastAsia="仿宋" w:cs="Times New Roman"/>
          <w:color w:val="auto"/>
          <w:sz w:val="30"/>
          <w:lang w:val="en-US" w:eastAsia="zh-CN"/>
        </w:rPr>
        <w:t>%,年初无此项预算。</w:t>
      </w:r>
    </w:p>
    <w:p w14:paraId="3B3E97D8">
      <w:pPr>
        <w:keepNext w:val="0"/>
        <w:keepLines w:val="0"/>
        <w:pageBreakBefore w:val="0"/>
        <w:widowControl/>
        <w:kinsoku/>
        <w:wordWrap/>
        <w:overflowPunct/>
        <w:topLinePunct w:val="0"/>
        <w:autoSpaceDE/>
        <w:autoSpaceDN/>
        <w:bidi w:val="0"/>
        <w:adjustRightInd/>
        <w:snapToGrid w:val="0"/>
        <w:spacing w:line="590" w:lineRule="exact"/>
        <w:ind w:firstLine="600" w:firstLineChars="200"/>
        <w:jc w:val="both"/>
        <w:textAlignment w:val="auto"/>
        <w:rPr>
          <w:rFonts w:hint="default" w:ascii="Times New Roman" w:hAnsi="Times New Roman" w:eastAsia="仿宋" w:cs="Times New Roman"/>
          <w:color w:val="auto"/>
          <w:sz w:val="30"/>
          <w:lang w:val="en-US" w:eastAsia="zh-CN"/>
        </w:rPr>
      </w:pPr>
      <w:r>
        <w:rPr>
          <w:rFonts w:hint="eastAsia" w:ascii="Times New Roman" w:hAnsi="Times New Roman" w:eastAsia="仿宋" w:cs="Times New Roman"/>
          <w:color w:val="auto"/>
          <w:sz w:val="30"/>
          <w:lang w:val="en-US" w:eastAsia="zh-CN"/>
        </w:rPr>
        <w:t>12.农林水（类）支出</w:t>
      </w:r>
      <w:r>
        <w:rPr>
          <w:rFonts w:hint="eastAsia" w:ascii="Times New Roman" w:hAnsi="Times New Roman" w:eastAsia="仿宋" w:cs="Times New Roman"/>
          <w:color w:val="auto"/>
          <w:sz w:val="30"/>
          <w:lang w:val="zh-CN" w:eastAsia="zh-CN"/>
        </w:rPr>
        <w:t>0.00</w:t>
      </w:r>
      <w:r>
        <w:rPr>
          <w:rFonts w:hint="eastAsia" w:ascii="Times New Roman" w:hAnsi="Times New Roman" w:eastAsia="仿宋" w:cs="Times New Roman"/>
          <w:color w:val="auto"/>
          <w:sz w:val="30"/>
          <w:lang w:val="en-US" w:eastAsia="zh-CN"/>
        </w:rPr>
        <w:t>元，占一般公共预算财政拨款总支出的</w:t>
      </w:r>
      <w:r>
        <w:rPr>
          <w:rFonts w:hint="eastAsia" w:ascii="Times New Roman" w:hAnsi="Times New Roman" w:eastAsia="仿宋" w:cs="Times New Roman"/>
          <w:color w:val="auto"/>
          <w:sz w:val="30"/>
          <w:lang w:val="zh-CN" w:eastAsia="zh-CN"/>
        </w:rPr>
        <w:t>0.00</w:t>
      </w:r>
      <w:r>
        <w:rPr>
          <w:rFonts w:hint="eastAsia" w:ascii="Times New Roman" w:hAnsi="Times New Roman" w:eastAsia="仿宋" w:cs="Times New Roman"/>
          <w:color w:val="auto"/>
          <w:sz w:val="30"/>
          <w:lang w:val="en-US" w:eastAsia="zh-CN"/>
        </w:rPr>
        <w:t>%,年初无此项预算。</w:t>
      </w:r>
    </w:p>
    <w:p w14:paraId="1B6E3112">
      <w:pPr>
        <w:keepNext w:val="0"/>
        <w:keepLines w:val="0"/>
        <w:pageBreakBefore w:val="0"/>
        <w:widowControl/>
        <w:kinsoku/>
        <w:wordWrap/>
        <w:overflowPunct/>
        <w:topLinePunct w:val="0"/>
        <w:autoSpaceDE/>
        <w:autoSpaceDN/>
        <w:bidi w:val="0"/>
        <w:adjustRightInd/>
        <w:snapToGrid w:val="0"/>
        <w:spacing w:line="590" w:lineRule="exact"/>
        <w:ind w:firstLine="600" w:firstLineChars="200"/>
        <w:jc w:val="both"/>
        <w:textAlignment w:val="auto"/>
        <w:rPr>
          <w:rFonts w:hint="eastAsia" w:ascii="Times New Roman" w:hAnsi="Times New Roman" w:eastAsia="仿宋" w:cs="Times New Roman"/>
          <w:color w:val="auto"/>
          <w:sz w:val="30"/>
          <w:lang w:val="en-US" w:eastAsia="zh-CN"/>
        </w:rPr>
      </w:pPr>
      <w:r>
        <w:rPr>
          <w:rFonts w:hint="eastAsia" w:ascii="Times New Roman" w:hAnsi="Times New Roman" w:eastAsia="仿宋" w:cs="Times New Roman"/>
          <w:color w:val="auto"/>
          <w:sz w:val="30"/>
          <w:lang w:val="en-US" w:eastAsia="zh-CN"/>
        </w:rPr>
        <w:t>13.交通运输（类）支出</w:t>
      </w:r>
      <w:r>
        <w:rPr>
          <w:rFonts w:hint="eastAsia" w:ascii="Times New Roman" w:hAnsi="Times New Roman" w:eastAsia="仿宋" w:cs="Times New Roman"/>
          <w:color w:val="auto"/>
          <w:sz w:val="30"/>
          <w:lang w:val="zh-CN" w:eastAsia="zh-CN"/>
        </w:rPr>
        <w:t>0.00</w:t>
      </w:r>
      <w:r>
        <w:rPr>
          <w:rFonts w:hint="eastAsia" w:ascii="Times New Roman" w:hAnsi="Times New Roman" w:eastAsia="仿宋" w:cs="Times New Roman"/>
          <w:color w:val="auto"/>
          <w:sz w:val="30"/>
          <w:lang w:val="en-US" w:eastAsia="zh-CN"/>
        </w:rPr>
        <w:t>元，占一般公共预算财政拨款总支出的</w:t>
      </w:r>
      <w:r>
        <w:rPr>
          <w:rFonts w:hint="eastAsia" w:ascii="Times New Roman" w:hAnsi="Times New Roman" w:eastAsia="仿宋" w:cs="Times New Roman"/>
          <w:color w:val="auto"/>
          <w:sz w:val="30"/>
          <w:lang w:val="zh-CN" w:eastAsia="zh-CN"/>
        </w:rPr>
        <w:t>0.00</w:t>
      </w:r>
      <w:r>
        <w:rPr>
          <w:rFonts w:hint="eastAsia" w:ascii="Times New Roman" w:hAnsi="Times New Roman" w:eastAsia="仿宋" w:cs="Times New Roman"/>
          <w:color w:val="auto"/>
          <w:sz w:val="30"/>
          <w:lang w:val="en-US" w:eastAsia="zh-CN"/>
        </w:rPr>
        <w:t>%,年初无此项预算。</w:t>
      </w:r>
    </w:p>
    <w:p w14:paraId="722D8D1D">
      <w:pPr>
        <w:keepNext w:val="0"/>
        <w:keepLines w:val="0"/>
        <w:pageBreakBefore w:val="0"/>
        <w:widowControl/>
        <w:kinsoku/>
        <w:wordWrap/>
        <w:overflowPunct/>
        <w:topLinePunct w:val="0"/>
        <w:autoSpaceDE/>
        <w:autoSpaceDN/>
        <w:bidi w:val="0"/>
        <w:adjustRightInd/>
        <w:snapToGrid w:val="0"/>
        <w:spacing w:line="590" w:lineRule="exact"/>
        <w:ind w:firstLine="600" w:firstLineChars="200"/>
        <w:jc w:val="both"/>
        <w:textAlignment w:val="auto"/>
        <w:rPr>
          <w:rFonts w:hint="eastAsia" w:ascii="Times New Roman" w:hAnsi="Times New Roman" w:eastAsia="仿宋" w:cs="Times New Roman"/>
          <w:color w:val="auto"/>
          <w:sz w:val="30"/>
          <w:lang w:val="en-US" w:eastAsia="zh-CN"/>
        </w:rPr>
      </w:pPr>
      <w:r>
        <w:rPr>
          <w:rFonts w:hint="eastAsia" w:ascii="Times New Roman" w:hAnsi="Times New Roman" w:eastAsia="仿宋" w:cs="Times New Roman"/>
          <w:color w:val="auto"/>
          <w:sz w:val="30"/>
          <w:lang w:val="en-US" w:eastAsia="zh-CN"/>
        </w:rPr>
        <w:t>14.资源勘探工业信息等（类）支出</w:t>
      </w:r>
      <w:r>
        <w:rPr>
          <w:rFonts w:hint="eastAsia" w:ascii="Times New Roman" w:hAnsi="Times New Roman" w:eastAsia="仿宋" w:cs="Times New Roman"/>
          <w:color w:val="auto"/>
          <w:sz w:val="30"/>
          <w:lang w:val="zh-CN" w:eastAsia="zh-CN"/>
        </w:rPr>
        <w:t>0.00</w:t>
      </w:r>
      <w:r>
        <w:rPr>
          <w:rFonts w:hint="eastAsia" w:ascii="Times New Roman" w:hAnsi="Times New Roman" w:eastAsia="仿宋" w:cs="Times New Roman"/>
          <w:color w:val="auto"/>
          <w:sz w:val="30"/>
          <w:lang w:val="en-US" w:eastAsia="zh-CN"/>
        </w:rPr>
        <w:t>元，占一般公共预算财政拨款总支出的</w:t>
      </w:r>
      <w:r>
        <w:rPr>
          <w:rFonts w:hint="eastAsia" w:ascii="Times New Roman" w:hAnsi="Times New Roman" w:eastAsia="仿宋" w:cs="Times New Roman"/>
          <w:color w:val="auto"/>
          <w:sz w:val="30"/>
          <w:lang w:val="zh-CN" w:eastAsia="zh-CN"/>
        </w:rPr>
        <w:t>0.00</w:t>
      </w:r>
      <w:r>
        <w:rPr>
          <w:rFonts w:hint="eastAsia" w:ascii="Times New Roman" w:hAnsi="Times New Roman" w:eastAsia="仿宋" w:cs="Times New Roman"/>
          <w:color w:val="auto"/>
          <w:sz w:val="30"/>
          <w:lang w:val="en-US" w:eastAsia="zh-CN"/>
        </w:rPr>
        <w:t>%，年初无此项预算。</w:t>
      </w:r>
    </w:p>
    <w:p w14:paraId="37ECCD96">
      <w:pPr>
        <w:keepNext w:val="0"/>
        <w:keepLines w:val="0"/>
        <w:pageBreakBefore w:val="0"/>
        <w:widowControl/>
        <w:kinsoku/>
        <w:wordWrap/>
        <w:overflowPunct/>
        <w:topLinePunct w:val="0"/>
        <w:autoSpaceDE/>
        <w:autoSpaceDN/>
        <w:bidi w:val="0"/>
        <w:adjustRightInd/>
        <w:snapToGrid w:val="0"/>
        <w:spacing w:line="590" w:lineRule="exact"/>
        <w:ind w:firstLine="600" w:firstLineChars="200"/>
        <w:jc w:val="both"/>
        <w:textAlignment w:val="auto"/>
        <w:rPr>
          <w:rFonts w:hint="eastAsia" w:ascii="Times New Roman" w:hAnsi="Times New Roman" w:eastAsia="仿宋" w:cs="Times New Roman"/>
          <w:color w:val="auto"/>
          <w:sz w:val="30"/>
          <w:lang w:val="en-US" w:eastAsia="zh-CN"/>
        </w:rPr>
      </w:pPr>
      <w:r>
        <w:rPr>
          <w:rFonts w:hint="eastAsia" w:ascii="Times New Roman" w:hAnsi="Times New Roman" w:eastAsia="仿宋" w:cs="Times New Roman"/>
          <w:color w:val="auto"/>
          <w:sz w:val="30"/>
          <w:lang w:val="en-US" w:eastAsia="zh-CN"/>
        </w:rPr>
        <w:t>15.商业服务业等（类）支出</w:t>
      </w:r>
      <w:r>
        <w:rPr>
          <w:rFonts w:hint="eastAsia" w:ascii="Times New Roman" w:hAnsi="Times New Roman" w:eastAsia="仿宋" w:cs="Times New Roman"/>
          <w:color w:val="auto"/>
          <w:sz w:val="30"/>
          <w:lang w:val="zh-CN" w:eastAsia="zh-CN"/>
        </w:rPr>
        <w:t>0.00</w:t>
      </w:r>
      <w:r>
        <w:rPr>
          <w:rFonts w:hint="eastAsia" w:ascii="Times New Roman" w:hAnsi="Times New Roman" w:eastAsia="仿宋" w:cs="Times New Roman"/>
          <w:color w:val="auto"/>
          <w:sz w:val="30"/>
          <w:lang w:val="en-US" w:eastAsia="zh-CN"/>
        </w:rPr>
        <w:t>元，占一般公共预算财政拨款总支出的</w:t>
      </w:r>
      <w:r>
        <w:rPr>
          <w:rFonts w:hint="eastAsia" w:ascii="Times New Roman" w:hAnsi="Times New Roman" w:eastAsia="仿宋" w:cs="Times New Roman"/>
          <w:color w:val="auto"/>
          <w:sz w:val="30"/>
          <w:lang w:val="zh-CN" w:eastAsia="zh-CN"/>
        </w:rPr>
        <w:t>0.00</w:t>
      </w:r>
      <w:r>
        <w:rPr>
          <w:rFonts w:hint="eastAsia" w:ascii="Times New Roman" w:hAnsi="Times New Roman" w:eastAsia="仿宋" w:cs="Times New Roman"/>
          <w:color w:val="auto"/>
          <w:sz w:val="30"/>
          <w:lang w:val="en-US" w:eastAsia="zh-CN"/>
        </w:rPr>
        <w:t>%,年初无此项预算。</w:t>
      </w:r>
    </w:p>
    <w:p w14:paraId="7818DCFD">
      <w:pPr>
        <w:keepNext w:val="0"/>
        <w:keepLines w:val="0"/>
        <w:pageBreakBefore w:val="0"/>
        <w:widowControl/>
        <w:kinsoku/>
        <w:wordWrap/>
        <w:overflowPunct/>
        <w:topLinePunct w:val="0"/>
        <w:autoSpaceDE/>
        <w:autoSpaceDN/>
        <w:bidi w:val="0"/>
        <w:adjustRightInd/>
        <w:snapToGrid w:val="0"/>
        <w:spacing w:line="590" w:lineRule="exact"/>
        <w:ind w:firstLine="600" w:firstLineChars="200"/>
        <w:jc w:val="both"/>
        <w:textAlignment w:val="auto"/>
        <w:rPr>
          <w:rFonts w:hint="eastAsia" w:ascii="Times New Roman" w:hAnsi="Times New Roman" w:eastAsia="仿宋" w:cs="Times New Roman"/>
          <w:color w:val="auto"/>
          <w:sz w:val="30"/>
          <w:lang w:val="en-US" w:eastAsia="zh-CN"/>
        </w:rPr>
      </w:pPr>
      <w:r>
        <w:rPr>
          <w:rFonts w:hint="eastAsia" w:ascii="Times New Roman" w:hAnsi="Times New Roman" w:eastAsia="仿宋" w:cs="Times New Roman"/>
          <w:color w:val="auto"/>
          <w:sz w:val="30"/>
          <w:lang w:val="en-US" w:eastAsia="zh-CN"/>
        </w:rPr>
        <w:t>16.金融（类）支出</w:t>
      </w:r>
      <w:r>
        <w:rPr>
          <w:rFonts w:hint="eastAsia" w:ascii="Times New Roman" w:hAnsi="Times New Roman" w:eastAsia="仿宋" w:cs="Times New Roman"/>
          <w:color w:val="auto"/>
          <w:sz w:val="30"/>
          <w:lang w:val="zh-CN" w:eastAsia="zh-CN"/>
        </w:rPr>
        <w:t>0.00</w:t>
      </w:r>
      <w:r>
        <w:rPr>
          <w:rFonts w:hint="eastAsia" w:ascii="Times New Roman" w:hAnsi="Times New Roman" w:eastAsia="仿宋" w:cs="Times New Roman"/>
          <w:color w:val="auto"/>
          <w:sz w:val="30"/>
          <w:lang w:val="en-US" w:eastAsia="zh-CN"/>
        </w:rPr>
        <w:t>元，占一般公共预算财政拨款总支出的</w:t>
      </w:r>
      <w:r>
        <w:rPr>
          <w:rFonts w:hint="eastAsia" w:ascii="Times New Roman" w:hAnsi="Times New Roman" w:eastAsia="仿宋" w:cs="Times New Roman"/>
          <w:color w:val="auto"/>
          <w:sz w:val="30"/>
          <w:lang w:val="zh-CN" w:eastAsia="zh-CN"/>
        </w:rPr>
        <w:t>0.00</w:t>
      </w:r>
      <w:r>
        <w:rPr>
          <w:rFonts w:hint="eastAsia" w:ascii="Times New Roman" w:hAnsi="Times New Roman" w:eastAsia="仿宋" w:cs="Times New Roman"/>
          <w:color w:val="auto"/>
          <w:sz w:val="30"/>
          <w:lang w:val="en-US" w:eastAsia="zh-CN"/>
        </w:rPr>
        <w:t>%,年初无此项预算。</w:t>
      </w:r>
    </w:p>
    <w:p w14:paraId="3C66E231">
      <w:pPr>
        <w:keepNext w:val="0"/>
        <w:keepLines w:val="0"/>
        <w:pageBreakBefore w:val="0"/>
        <w:widowControl/>
        <w:kinsoku/>
        <w:wordWrap/>
        <w:overflowPunct/>
        <w:topLinePunct w:val="0"/>
        <w:autoSpaceDE/>
        <w:autoSpaceDN/>
        <w:bidi w:val="0"/>
        <w:adjustRightInd/>
        <w:snapToGrid w:val="0"/>
        <w:spacing w:line="590" w:lineRule="exact"/>
        <w:ind w:firstLine="600" w:firstLineChars="200"/>
        <w:jc w:val="both"/>
        <w:textAlignment w:val="auto"/>
        <w:rPr>
          <w:rFonts w:hint="eastAsia" w:ascii="Times New Roman" w:hAnsi="Times New Roman" w:eastAsia="仿宋" w:cs="Times New Roman"/>
          <w:color w:val="auto"/>
          <w:sz w:val="30"/>
          <w:lang w:val="en-US" w:eastAsia="zh-CN"/>
        </w:rPr>
      </w:pPr>
      <w:r>
        <w:rPr>
          <w:rFonts w:hint="eastAsia" w:ascii="Times New Roman" w:hAnsi="Times New Roman" w:eastAsia="仿宋" w:cs="Times New Roman"/>
          <w:color w:val="auto"/>
          <w:sz w:val="30"/>
          <w:lang w:val="en-US" w:eastAsia="zh-CN"/>
        </w:rPr>
        <w:t>17.援助其他地区（类）支出</w:t>
      </w:r>
      <w:r>
        <w:rPr>
          <w:rFonts w:hint="eastAsia" w:ascii="Times New Roman" w:hAnsi="Times New Roman" w:eastAsia="仿宋" w:cs="Times New Roman"/>
          <w:color w:val="auto"/>
          <w:sz w:val="30"/>
          <w:lang w:val="zh-CN" w:eastAsia="zh-CN"/>
        </w:rPr>
        <w:t>0.00</w:t>
      </w:r>
      <w:r>
        <w:rPr>
          <w:rFonts w:hint="eastAsia" w:ascii="Times New Roman" w:hAnsi="Times New Roman" w:eastAsia="仿宋" w:cs="Times New Roman"/>
          <w:color w:val="auto"/>
          <w:sz w:val="30"/>
          <w:lang w:val="en-US" w:eastAsia="zh-CN"/>
        </w:rPr>
        <w:t>元，占一般公共预算财政拨款总支出的</w:t>
      </w:r>
      <w:r>
        <w:rPr>
          <w:rFonts w:hint="eastAsia" w:ascii="Times New Roman" w:hAnsi="Times New Roman" w:eastAsia="仿宋" w:cs="Times New Roman"/>
          <w:color w:val="auto"/>
          <w:sz w:val="30"/>
          <w:lang w:val="zh-CN" w:eastAsia="zh-CN"/>
        </w:rPr>
        <w:t>0.00</w:t>
      </w:r>
      <w:r>
        <w:rPr>
          <w:rFonts w:hint="eastAsia" w:ascii="Times New Roman" w:hAnsi="Times New Roman" w:eastAsia="仿宋" w:cs="Times New Roman"/>
          <w:color w:val="auto"/>
          <w:sz w:val="30"/>
          <w:lang w:val="en-US" w:eastAsia="zh-CN"/>
        </w:rPr>
        <w:t>%,年初无此项预算。</w:t>
      </w:r>
    </w:p>
    <w:p w14:paraId="595C432F">
      <w:pPr>
        <w:keepNext w:val="0"/>
        <w:keepLines w:val="0"/>
        <w:pageBreakBefore w:val="0"/>
        <w:widowControl/>
        <w:kinsoku/>
        <w:wordWrap/>
        <w:overflowPunct/>
        <w:topLinePunct w:val="0"/>
        <w:autoSpaceDE/>
        <w:autoSpaceDN/>
        <w:bidi w:val="0"/>
        <w:adjustRightInd/>
        <w:snapToGrid w:val="0"/>
        <w:spacing w:line="590" w:lineRule="exact"/>
        <w:ind w:firstLine="600" w:firstLineChars="200"/>
        <w:jc w:val="both"/>
        <w:textAlignment w:val="auto"/>
        <w:rPr>
          <w:rFonts w:hint="eastAsia" w:ascii="Times New Roman" w:hAnsi="Times New Roman" w:eastAsia="仿宋" w:cs="Times New Roman"/>
          <w:color w:val="auto"/>
          <w:sz w:val="30"/>
          <w:lang w:val="en-US" w:eastAsia="zh-CN"/>
        </w:rPr>
      </w:pPr>
      <w:r>
        <w:rPr>
          <w:rFonts w:hint="eastAsia" w:ascii="Times New Roman" w:hAnsi="Times New Roman" w:eastAsia="仿宋" w:cs="Times New Roman"/>
          <w:color w:val="auto"/>
          <w:sz w:val="30"/>
          <w:lang w:val="en-US" w:eastAsia="zh-CN"/>
        </w:rPr>
        <w:t>18.自然资源海洋气象等（类）支出</w:t>
      </w:r>
      <w:r>
        <w:rPr>
          <w:rFonts w:hint="eastAsia" w:ascii="Times New Roman" w:hAnsi="Times New Roman" w:eastAsia="仿宋" w:cs="Times New Roman"/>
          <w:color w:val="auto"/>
          <w:sz w:val="30"/>
          <w:lang w:val="zh-CN" w:eastAsia="zh-CN"/>
        </w:rPr>
        <w:t>0.00</w:t>
      </w:r>
      <w:r>
        <w:rPr>
          <w:rFonts w:hint="eastAsia" w:ascii="Times New Roman" w:hAnsi="Times New Roman" w:eastAsia="仿宋" w:cs="Times New Roman"/>
          <w:color w:val="auto"/>
          <w:sz w:val="30"/>
          <w:lang w:val="en-US" w:eastAsia="zh-CN"/>
        </w:rPr>
        <w:t>元，占一般公共预算财政拨款总支出的</w:t>
      </w:r>
      <w:r>
        <w:rPr>
          <w:rFonts w:hint="eastAsia" w:ascii="Times New Roman" w:hAnsi="Times New Roman" w:eastAsia="仿宋" w:cs="Times New Roman"/>
          <w:color w:val="auto"/>
          <w:sz w:val="30"/>
          <w:lang w:val="zh-CN" w:eastAsia="zh-CN"/>
        </w:rPr>
        <w:t>0.00</w:t>
      </w:r>
      <w:r>
        <w:rPr>
          <w:rFonts w:hint="eastAsia" w:ascii="Times New Roman" w:hAnsi="Times New Roman" w:eastAsia="仿宋" w:cs="Times New Roman"/>
          <w:color w:val="auto"/>
          <w:sz w:val="30"/>
          <w:lang w:val="en-US" w:eastAsia="zh-CN"/>
        </w:rPr>
        <w:t>%,年初无此项预算。</w:t>
      </w:r>
    </w:p>
    <w:p w14:paraId="4BAAEE82">
      <w:pPr>
        <w:keepNext w:val="0"/>
        <w:keepLines w:val="0"/>
        <w:pageBreakBefore w:val="0"/>
        <w:widowControl/>
        <w:kinsoku/>
        <w:wordWrap/>
        <w:overflowPunct/>
        <w:topLinePunct w:val="0"/>
        <w:autoSpaceDE/>
        <w:autoSpaceDN/>
        <w:bidi w:val="0"/>
        <w:adjustRightInd/>
        <w:snapToGrid w:val="0"/>
        <w:spacing w:line="590" w:lineRule="exact"/>
        <w:ind w:firstLine="600" w:firstLineChars="200"/>
        <w:jc w:val="both"/>
        <w:textAlignment w:val="auto"/>
        <w:rPr>
          <w:rFonts w:hint="eastAsia" w:ascii="Times New Roman" w:hAnsi="Times New Roman" w:eastAsia="仿宋" w:cs="Times New Roman"/>
          <w:color w:val="auto"/>
          <w:sz w:val="30"/>
          <w:lang w:val="en-US" w:eastAsia="zh-CN"/>
        </w:rPr>
      </w:pPr>
      <w:r>
        <w:rPr>
          <w:rFonts w:hint="eastAsia" w:ascii="Times New Roman" w:hAnsi="Times New Roman" w:eastAsia="仿宋" w:cs="Times New Roman"/>
          <w:color w:val="auto"/>
          <w:sz w:val="30"/>
          <w:lang w:val="en-US" w:eastAsia="zh-CN"/>
        </w:rPr>
        <w:t>19.住房保障（类）支出</w:t>
      </w:r>
      <w:r>
        <w:rPr>
          <w:rFonts w:hint="eastAsia" w:ascii="Times New Roman" w:hAnsi="Times New Roman" w:eastAsia="仿宋" w:cs="Times New Roman"/>
          <w:color w:val="auto"/>
          <w:sz w:val="30"/>
          <w:lang w:val="zh-CN" w:eastAsia="zh-CN"/>
        </w:rPr>
        <w:t>4</w:t>
      </w:r>
      <w:r>
        <w:rPr>
          <w:rFonts w:hint="eastAsia" w:ascii="Times New Roman" w:hAnsi="Times New Roman" w:eastAsia="仿宋" w:cs="Times New Roman"/>
          <w:color w:val="auto"/>
          <w:sz w:val="30"/>
          <w:lang w:val="en-US" w:eastAsia="zh-CN"/>
        </w:rPr>
        <w:t>,</w:t>
      </w:r>
      <w:r>
        <w:rPr>
          <w:rFonts w:hint="eastAsia" w:ascii="Times New Roman" w:hAnsi="Times New Roman" w:eastAsia="仿宋" w:cs="Times New Roman"/>
          <w:color w:val="auto"/>
          <w:sz w:val="30"/>
          <w:lang w:val="zh-CN" w:eastAsia="zh-CN"/>
        </w:rPr>
        <w:t>248</w:t>
      </w:r>
      <w:r>
        <w:rPr>
          <w:rFonts w:hint="eastAsia" w:ascii="Times New Roman" w:hAnsi="Times New Roman" w:eastAsia="仿宋" w:cs="Times New Roman"/>
          <w:color w:val="auto"/>
          <w:sz w:val="30"/>
          <w:lang w:val="en-US" w:eastAsia="zh-CN"/>
        </w:rPr>
        <w:t>,</w:t>
      </w:r>
      <w:r>
        <w:rPr>
          <w:rFonts w:hint="eastAsia" w:ascii="Times New Roman" w:hAnsi="Times New Roman" w:eastAsia="仿宋" w:cs="Times New Roman"/>
          <w:color w:val="auto"/>
          <w:sz w:val="30"/>
          <w:lang w:val="zh-CN" w:eastAsia="zh-CN"/>
        </w:rPr>
        <w:t>552.00</w:t>
      </w:r>
      <w:r>
        <w:rPr>
          <w:rFonts w:hint="eastAsia" w:ascii="Times New Roman" w:hAnsi="Times New Roman" w:eastAsia="仿宋" w:cs="Times New Roman"/>
          <w:color w:val="auto"/>
          <w:sz w:val="30"/>
          <w:lang w:val="en-US" w:eastAsia="zh-CN"/>
        </w:rPr>
        <w:t>元，占一般公共预算财政拨款总支出的</w:t>
      </w:r>
      <w:r>
        <w:rPr>
          <w:rFonts w:hint="eastAsia" w:ascii="Times New Roman" w:hAnsi="Times New Roman" w:eastAsia="仿宋" w:cs="Times New Roman"/>
          <w:color w:val="auto"/>
          <w:sz w:val="30"/>
          <w:lang w:val="zh-CN" w:eastAsia="zh-CN"/>
        </w:rPr>
        <w:t>7.49</w:t>
      </w:r>
      <w:r>
        <w:rPr>
          <w:rFonts w:hint="eastAsia" w:ascii="Times New Roman" w:hAnsi="Times New Roman" w:eastAsia="仿宋" w:cs="Times New Roman"/>
          <w:color w:val="auto"/>
          <w:sz w:val="30"/>
          <w:lang w:val="en-US" w:eastAsia="zh-CN"/>
        </w:rPr>
        <w:t>%,完成年初预算的</w:t>
      </w:r>
      <w:r>
        <w:rPr>
          <w:rFonts w:hint="eastAsia" w:ascii="Times New Roman" w:hAnsi="Times New Roman" w:eastAsia="仿宋" w:cs="Times New Roman"/>
          <w:color w:val="auto"/>
          <w:sz w:val="30"/>
          <w:lang w:val="zh-CN" w:eastAsia="zh-CN"/>
        </w:rPr>
        <w:t>100.00</w:t>
      </w:r>
      <w:r>
        <w:rPr>
          <w:rFonts w:hint="eastAsia" w:ascii="Times New Roman" w:hAnsi="Times New Roman" w:eastAsia="仿宋" w:cs="Times New Roman"/>
          <w:color w:val="auto"/>
          <w:sz w:val="30"/>
          <w:lang w:val="en-US" w:eastAsia="zh-CN"/>
        </w:rPr>
        <w:t>%。主要用于支付住房公积金。决算与年初预算无差异。</w:t>
      </w:r>
    </w:p>
    <w:p w14:paraId="321C0941">
      <w:pPr>
        <w:keepNext w:val="0"/>
        <w:keepLines w:val="0"/>
        <w:pageBreakBefore w:val="0"/>
        <w:widowControl/>
        <w:kinsoku/>
        <w:wordWrap/>
        <w:overflowPunct/>
        <w:topLinePunct w:val="0"/>
        <w:autoSpaceDE/>
        <w:autoSpaceDN/>
        <w:bidi w:val="0"/>
        <w:adjustRightInd/>
        <w:snapToGrid w:val="0"/>
        <w:spacing w:line="590" w:lineRule="exact"/>
        <w:ind w:firstLine="600" w:firstLineChars="200"/>
        <w:jc w:val="both"/>
        <w:textAlignment w:val="auto"/>
        <w:rPr>
          <w:rFonts w:hint="eastAsia" w:ascii="Times New Roman" w:hAnsi="Times New Roman" w:eastAsia="仿宋" w:cs="Times New Roman"/>
          <w:color w:val="auto"/>
          <w:sz w:val="30"/>
          <w:lang w:val="en-US" w:eastAsia="zh-CN"/>
        </w:rPr>
      </w:pPr>
      <w:r>
        <w:rPr>
          <w:rFonts w:hint="eastAsia" w:ascii="Times New Roman" w:hAnsi="Times New Roman" w:eastAsia="仿宋" w:cs="Times New Roman"/>
          <w:color w:val="auto"/>
          <w:sz w:val="30"/>
          <w:lang w:val="en-US" w:eastAsia="zh-CN"/>
        </w:rPr>
        <w:t>20.粮油物资储备（类）支出</w:t>
      </w:r>
      <w:r>
        <w:rPr>
          <w:rFonts w:hint="eastAsia" w:ascii="Times New Roman" w:hAnsi="Times New Roman" w:eastAsia="仿宋" w:cs="Times New Roman"/>
          <w:color w:val="auto"/>
          <w:sz w:val="30"/>
          <w:lang w:val="zh-CN" w:eastAsia="zh-CN"/>
        </w:rPr>
        <w:t>0.00</w:t>
      </w:r>
      <w:r>
        <w:rPr>
          <w:rFonts w:hint="eastAsia" w:ascii="Times New Roman" w:hAnsi="Times New Roman" w:eastAsia="仿宋" w:cs="Times New Roman"/>
          <w:color w:val="auto"/>
          <w:sz w:val="30"/>
          <w:lang w:val="en-US" w:eastAsia="zh-CN"/>
        </w:rPr>
        <w:t>元，占一般公共预算财政拨款总支出的</w:t>
      </w:r>
      <w:r>
        <w:rPr>
          <w:rFonts w:hint="eastAsia" w:ascii="Times New Roman" w:hAnsi="Times New Roman" w:eastAsia="仿宋" w:cs="Times New Roman"/>
          <w:color w:val="auto"/>
          <w:sz w:val="30"/>
          <w:lang w:val="zh-CN" w:eastAsia="zh-CN"/>
        </w:rPr>
        <w:t>0.00</w:t>
      </w:r>
      <w:r>
        <w:rPr>
          <w:rFonts w:hint="eastAsia" w:ascii="Times New Roman" w:hAnsi="Times New Roman" w:eastAsia="仿宋" w:cs="Times New Roman"/>
          <w:color w:val="auto"/>
          <w:sz w:val="30"/>
          <w:lang w:val="en-US" w:eastAsia="zh-CN"/>
        </w:rPr>
        <w:t>%,年初无此项预算。</w:t>
      </w:r>
    </w:p>
    <w:p w14:paraId="362B73C6">
      <w:pPr>
        <w:keepNext w:val="0"/>
        <w:keepLines w:val="0"/>
        <w:pageBreakBefore w:val="0"/>
        <w:widowControl/>
        <w:kinsoku/>
        <w:wordWrap/>
        <w:overflowPunct/>
        <w:topLinePunct w:val="0"/>
        <w:autoSpaceDE/>
        <w:autoSpaceDN/>
        <w:bidi w:val="0"/>
        <w:adjustRightInd/>
        <w:snapToGrid w:val="0"/>
        <w:spacing w:line="590" w:lineRule="exact"/>
        <w:ind w:firstLine="600" w:firstLineChars="200"/>
        <w:jc w:val="both"/>
        <w:textAlignment w:val="auto"/>
        <w:rPr>
          <w:rFonts w:hint="eastAsia" w:ascii="Times New Roman" w:hAnsi="Times New Roman" w:eastAsia="仿宋" w:cs="Times New Roman"/>
          <w:color w:val="auto"/>
          <w:sz w:val="30"/>
          <w:lang w:val="en-US" w:eastAsia="zh-CN"/>
        </w:rPr>
      </w:pPr>
      <w:r>
        <w:rPr>
          <w:rFonts w:hint="eastAsia" w:ascii="Times New Roman" w:hAnsi="Times New Roman" w:eastAsia="仿宋" w:cs="Times New Roman"/>
          <w:color w:val="auto"/>
          <w:sz w:val="30"/>
          <w:lang w:val="en-US" w:eastAsia="zh-CN"/>
        </w:rPr>
        <w:t>21.国有资本经营预算（类）支出</w:t>
      </w:r>
      <w:r>
        <w:rPr>
          <w:rFonts w:hint="eastAsia" w:ascii="Times New Roman" w:hAnsi="Times New Roman" w:eastAsia="仿宋" w:cs="Times New Roman"/>
          <w:color w:val="auto"/>
          <w:sz w:val="30"/>
          <w:lang w:val="zh-CN" w:eastAsia="zh-CN"/>
        </w:rPr>
        <w:t>0.00</w:t>
      </w:r>
      <w:r>
        <w:rPr>
          <w:rFonts w:hint="eastAsia" w:ascii="Times New Roman" w:hAnsi="Times New Roman" w:eastAsia="仿宋" w:cs="Times New Roman"/>
          <w:color w:val="auto"/>
          <w:sz w:val="30"/>
          <w:lang w:val="en-US" w:eastAsia="zh-CN"/>
        </w:rPr>
        <w:t>元，占一般公共预算财政拨款总支出的</w:t>
      </w:r>
      <w:r>
        <w:rPr>
          <w:rFonts w:hint="eastAsia" w:ascii="Times New Roman" w:hAnsi="Times New Roman" w:eastAsia="仿宋" w:cs="Times New Roman"/>
          <w:color w:val="auto"/>
          <w:sz w:val="30"/>
          <w:lang w:val="zh-CN" w:eastAsia="zh-CN"/>
        </w:rPr>
        <w:t>0.00</w:t>
      </w:r>
      <w:r>
        <w:rPr>
          <w:rFonts w:hint="eastAsia" w:ascii="Times New Roman" w:hAnsi="Times New Roman" w:eastAsia="仿宋" w:cs="Times New Roman"/>
          <w:color w:val="auto"/>
          <w:sz w:val="30"/>
          <w:lang w:val="en-US" w:eastAsia="zh-CN"/>
        </w:rPr>
        <w:t>%,年初无此项预算。</w:t>
      </w:r>
    </w:p>
    <w:p w14:paraId="4C1BADC1">
      <w:pPr>
        <w:keepNext w:val="0"/>
        <w:keepLines w:val="0"/>
        <w:pageBreakBefore w:val="0"/>
        <w:widowControl/>
        <w:kinsoku/>
        <w:wordWrap/>
        <w:overflowPunct/>
        <w:topLinePunct w:val="0"/>
        <w:autoSpaceDE/>
        <w:autoSpaceDN/>
        <w:bidi w:val="0"/>
        <w:adjustRightInd/>
        <w:snapToGrid w:val="0"/>
        <w:spacing w:line="590" w:lineRule="exact"/>
        <w:ind w:firstLine="600" w:firstLineChars="200"/>
        <w:jc w:val="both"/>
        <w:textAlignment w:val="auto"/>
        <w:rPr>
          <w:rFonts w:hint="eastAsia" w:ascii="Times New Roman" w:hAnsi="Times New Roman" w:eastAsia="仿宋" w:cs="Times New Roman"/>
          <w:color w:val="auto"/>
          <w:sz w:val="30"/>
          <w:lang w:val="en-US" w:eastAsia="zh-CN"/>
        </w:rPr>
      </w:pPr>
      <w:r>
        <w:rPr>
          <w:rFonts w:hint="eastAsia" w:ascii="Times New Roman" w:hAnsi="Times New Roman" w:eastAsia="仿宋" w:cs="Times New Roman"/>
          <w:color w:val="auto"/>
          <w:sz w:val="30"/>
          <w:lang w:val="en-US" w:eastAsia="zh-CN"/>
        </w:rPr>
        <w:t>22.灾害防治及应急管理（类）支出</w:t>
      </w:r>
      <w:r>
        <w:rPr>
          <w:rFonts w:hint="eastAsia" w:ascii="Times New Roman" w:hAnsi="Times New Roman" w:eastAsia="仿宋" w:cs="Times New Roman"/>
          <w:color w:val="auto"/>
          <w:sz w:val="30"/>
          <w:lang w:val="zh-CN" w:eastAsia="zh-CN"/>
        </w:rPr>
        <w:t>0.00</w:t>
      </w:r>
      <w:r>
        <w:rPr>
          <w:rFonts w:hint="eastAsia" w:ascii="Times New Roman" w:hAnsi="Times New Roman" w:eastAsia="仿宋" w:cs="Times New Roman"/>
          <w:color w:val="auto"/>
          <w:sz w:val="30"/>
          <w:lang w:val="en-US" w:eastAsia="zh-CN"/>
        </w:rPr>
        <w:t>元，占一般公共预算财政拨款总支出的</w:t>
      </w:r>
      <w:r>
        <w:rPr>
          <w:rFonts w:hint="eastAsia" w:ascii="Times New Roman" w:hAnsi="Times New Roman" w:eastAsia="仿宋" w:cs="Times New Roman"/>
          <w:color w:val="auto"/>
          <w:sz w:val="30"/>
          <w:lang w:val="zh-CN" w:eastAsia="zh-CN"/>
        </w:rPr>
        <w:t>0.00</w:t>
      </w:r>
      <w:r>
        <w:rPr>
          <w:rFonts w:hint="eastAsia" w:ascii="Times New Roman" w:hAnsi="Times New Roman" w:eastAsia="仿宋" w:cs="Times New Roman"/>
          <w:color w:val="auto"/>
          <w:sz w:val="30"/>
          <w:lang w:val="en-US" w:eastAsia="zh-CN"/>
        </w:rPr>
        <w:t>%,年初无此项预算。</w:t>
      </w:r>
    </w:p>
    <w:p w14:paraId="03A47CFD">
      <w:pPr>
        <w:keepNext w:val="0"/>
        <w:keepLines w:val="0"/>
        <w:pageBreakBefore w:val="0"/>
        <w:widowControl/>
        <w:kinsoku/>
        <w:wordWrap/>
        <w:overflowPunct/>
        <w:topLinePunct w:val="0"/>
        <w:autoSpaceDE/>
        <w:autoSpaceDN/>
        <w:bidi w:val="0"/>
        <w:adjustRightInd/>
        <w:snapToGrid w:val="0"/>
        <w:spacing w:line="590" w:lineRule="exact"/>
        <w:ind w:firstLine="600" w:firstLineChars="200"/>
        <w:jc w:val="both"/>
        <w:textAlignment w:val="auto"/>
        <w:rPr>
          <w:rFonts w:hint="eastAsia" w:ascii="Times New Roman" w:hAnsi="Times New Roman" w:eastAsia="仿宋" w:cs="Times New Roman"/>
          <w:color w:val="auto"/>
          <w:sz w:val="30"/>
          <w:lang w:val="en-US" w:eastAsia="zh-CN"/>
        </w:rPr>
      </w:pPr>
      <w:r>
        <w:rPr>
          <w:rFonts w:hint="eastAsia" w:ascii="Times New Roman" w:hAnsi="Times New Roman" w:eastAsia="仿宋" w:cs="Times New Roman"/>
          <w:color w:val="auto"/>
          <w:sz w:val="30"/>
          <w:lang w:val="en-US" w:eastAsia="zh-CN"/>
        </w:rPr>
        <w:t>23.其他（类）支出</w:t>
      </w:r>
      <w:r>
        <w:rPr>
          <w:rFonts w:hint="eastAsia" w:ascii="Times New Roman" w:hAnsi="Times New Roman" w:eastAsia="仿宋" w:cs="Times New Roman"/>
          <w:color w:val="auto"/>
          <w:sz w:val="30"/>
          <w:lang w:val="zh-CN" w:eastAsia="zh-CN"/>
        </w:rPr>
        <w:t>0.00</w:t>
      </w:r>
      <w:r>
        <w:rPr>
          <w:rFonts w:hint="eastAsia" w:ascii="Times New Roman" w:hAnsi="Times New Roman" w:eastAsia="仿宋" w:cs="Times New Roman"/>
          <w:color w:val="auto"/>
          <w:sz w:val="30"/>
          <w:lang w:val="en-US" w:eastAsia="zh-CN"/>
        </w:rPr>
        <w:t>元，占一般公共预算财政拨款总支出的</w:t>
      </w:r>
      <w:r>
        <w:rPr>
          <w:rFonts w:hint="eastAsia" w:ascii="Times New Roman" w:hAnsi="Times New Roman" w:eastAsia="仿宋" w:cs="Times New Roman"/>
          <w:color w:val="auto"/>
          <w:sz w:val="30"/>
          <w:lang w:val="zh-CN" w:eastAsia="zh-CN"/>
        </w:rPr>
        <w:t>0.00</w:t>
      </w:r>
      <w:r>
        <w:rPr>
          <w:rFonts w:hint="eastAsia" w:ascii="Times New Roman" w:hAnsi="Times New Roman" w:eastAsia="仿宋" w:cs="Times New Roman"/>
          <w:color w:val="auto"/>
          <w:sz w:val="30"/>
          <w:lang w:val="en-US" w:eastAsia="zh-CN"/>
        </w:rPr>
        <w:t>%,年初无此项预算。</w:t>
      </w:r>
    </w:p>
    <w:p w14:paraId="07E58E24">
      <w:pPr>
        <w:keepNext w:val="0"/>
        <w:keepLines w:val="0"/>
        <w:pageBreakBefore w:val="0"/>
        <w:widowControl/>
        <w:kinsoku/>
        <w:wordWrap/>
        <w:overflowPunct/>
        <w:topLinePunct w:val="0"/>
        <w:autoSpaceDE/>
        <w:autoSpaceDN/>
        <w:bidi w:val="0"/>
        <w:adjustRightInd/>
        <w:snapToGrid w:val="0"/>
        <w:spacing w:line="590" w:lineRule="exact"/>
        <w:ind w:firstLine="600" w:firstLineChars="200"/>
        <w:jc w:val="both"/>
        <w:textAlignment w:val="auto"/>
        <w:rPr>
          <w:rFonts w:hint="eastAsia" w:ascii="Times New Roman" w:hAnsi="Times New Roman" w:eastAsia="仿宋" w:cs="Times New Roman"/>
          <w:color w:val="auto"/>
          <w:sz w:val="30"/>
          <w:lang w:val="en-US" w:eastAsia="zh-CN"/>
        </w:rPr>
      </w:pPr>
      <w:r>
        <w:rPr>
          <w:rFonts w:hint="eastAsia" w:ascii="Times New Roman" w:hAnsi="Times New Roman" w:eastAsia="仿宋" w:cs="Times New Roman"/>
          <w:color w:val="auto"/>
          <w:sz w:val="30"/>
          <w:lang w:val="en-US" w:eastAsia="zh-CN"/>
        </w:rPr>
        <w:t>24.债务还本（类）支出</w:t>
      </w:r>
      <w:r>
        <w:rPr>
          <w:rFonts w:hint="eastAsia" w:ascii="Times New Roman" w:hAnsi="Times New Roman" w:eastAsia="仿宋" w:cs="Times New Roman"/>
          <w:color w:val="auto"/>
          <w:sz w:val="30"/>
          <w:lang w:val="zh-CN" w:eastAsia="zh-CN"/>
        </w:rPr>
        <w:t>0.00</w:t>
      </w:r>
      <w:r>
        <w:rPr>
          <w:rFonts w:hint="eastAsia" w:ascii="Times New Roman" w:hAnsi="Times New Roman" w:eastAsia="仿宋" w:cs="Times New Roman"/>
          <w:color w:val="auto"/>
          <w:sz w:val="30"/>
          <w:lang w:val="en-US" w:eastAsia="zh-CN"/>
        </w:rPr>
        <w:t>元，占一般公共预算财政拨款总支出的</w:t>
      </w:r>
      <w:r>
        <w:rPr>
          <w:rFonts w:hint="eastAsia" w:ascii="Times New Roman" w:hAnsi="Times New Roman" w:eastAsia="仿宋" w:cs="Times New Roman"/>
          <w:color w:val="auto"/>
          <w:sz w:val="30"/>
          <w:lang w:val="zh-CN" w:eastAsia="zh-CN"/>
        </w:rPr>
        <w:t>0.00</w:t>
      </w:r>
      <w:r>
        <w:rPr>
          <w:rFonts w:hint="eastAsia" w:ascii="Times New Roman" w:hAnsi="Times New Roman" w:eastAsia="仿宋" w:cs="Times New Roman"/>
          <w:color w:val="auto"/>
          <w:sz w:val="30"/>
          <w:lang w:val="en-US" w:eastAsia="zh-CN"/>
        </w:rPr>
        <w:t>%,年初无此项预算。</w:t>
      </w:r>
    </w:p>
    <w:p w14:paraId="71704984">
      <w:pPr>
        <w:keepNext w:val="0"/>
        <w:keepLines w:val="0"/>
        <w:pageBreakBefore w:val="0"/>
        <w:widowControl/>
        <w:kinsoku/>
        <w:wordWrap/>
        <w:overflowPunct/>
        <w:topLinePunct w:val="0"/>
        <w:autoSpaceDE/>
        <w:autoSpaceDN/>
        <w:bidi w:val="0"/>
        <w:adjustRightInd/>
        <w:snapToGrid w:val="0"/>
        <w:spacing w:line="590" w:lineRule="exact"/>
        <w:ind w:firstLine="600" w:firstLineChars="200"/>
        <w:jc w:val="both"/>
        <w:textAlignment w:val="auto"/>
        <w:rPr>
          <w:rFonts w:hint="eastAsia" w:ascii="Times New Roman" w:hAnsi="Times New Roman" w:eastAsia="仿宋" w:cs="Times New Roman"/>
          <w:color w:val="auto"/>
          <w:sz w:val="30"/>
          <w:lang w:val="en-US" w:eastAsia="zh-CN"/>
        </w:rPr>
      </w:pPr>
      <w:r>
        <w:rPr>
          <w:rFonts w:hint="eastAsia" w:ascii="Times New Roman" w:hAnsi="Times New Roman" w:eastAsia="仿宋" w:cs="Times New Roman"/>
          <w:color w:val="auto"/>
          <w:sz w:val="30"/>
          <w:lang w:val="en-US" w:eastAsia="zh-CN"/>
        </w:rPr>
        <w:t>25.债务付息（类）支出</w:t>
      </w:r>
      <w:r>
        <w:rPr>
          <w:rFonts w:hint="eastAsia" w:ascii="Times New Roman" w:hAnsi="Times New Roman" w:eastAsia="仿宋" w:cs="Times New Roman"/>
          <w:color w:val="auto"/>
          <w:sz w:val="30"/>
          <w:lang w:val="zh-CN" w:eastAsia="zh-CN"/>
        </w:rPr>
        <w:t>0.00</w:t>
      </w:r>
      <w:r>
        <w:rPr>
          <w:rFonts w:hint="eastAsia" w:ascii="Times New Roman" w:hAnsi="Times New Roman" w:eastAsia="仿宋" w:cs="Times New Roman"/>
          <w:color w:val="auto"/>
          <w:sz w:val="30"/>
          <w:lang w:val="en-US" w:eastAsia="zh-CN"/>
        </w:rPr>
        <w:t>元，占一般公共预算财政拨款总支出的</w:t>
      </w:r>
      <w:r>
        <w:rPr>
          <w:rFonts w:hint="eastAsia" w:ascii="Times New Roman" w:hAnsi="Times New Roman" w:eastAsia="仿宋" w:cs="Times New Roman"/>
          <w:color w:val="auto"/>
          <w:sz w:val="30"/>
          <w:lang w:val="zh-CN" w:eastAsia="zh-CN"/>
        </w:rPr>
        <w:t>0.00</w:t>
      </w:r>
      <w:r>
        <w:rPr>
          <w:rFonts w:hint="eastAsia" w:ascii="Times New Roman" w:hAnsi="Times New Roman" w:eastAsia="仿宋" w:cs="Times New Roman"/>
          <w:color w:val="auto"/>
          <w:sz w:val="30"/>
          <w:lang w:val="en-US" w:eastAsia="zh-CN"/>
        </w:rPr>
        <w:t>%,年初无此项预算。</w:t>
      </w:r>
    </w:p>
    <w:p w14:paraId="75DD7CB2">
      <w:pPr>
        <w:keepNext w:val="0"/>
        <w:keepLines w:val="0"/>
        <w:pageBreakBefore w:val="0"/>
        <w:widowControl/>
        <w:kinsoku/>
        <w:wordWrap/>
        <w:overflowPunct/>
        <w:topLinePunct w:val="0"/>
        <w:autoSpaceDE/>
        <w:autoSpaceDN/>
        <w:bidi w:val="0"/>
        <w:adjustRightInd/>
        <w:snapToGrid w:val="0"/>
        <w:spacing w:line="590" w:lineRule="exact"/>
        <w:ind w:firstLine="600" w:firstLineChars="200"/>
        <w:jc w:val="both"/>
        <w:textAlignment w:val="auto"/>
        <w:rPr>
          <w:rFonts w:hint="eastAsia" w:ascii="Times New Roman" w:hAnsi="Times New Roman" w:eastAsia="仿宋" w:cs="Times New Roman"/>
          <w:color w:val="auto"/>
          <w:sz w:val="30"/>
          <w:lang w:val="en-US" w:eastAsia="zh-CN"/>
        </w:rPr>
      </w:pPr>
      <w:r>
        <w:rPr>
          <w:rFonts w:hint="eastAsia" w:ascii="Times New Roman" w:hAnsi="Times New Roman" w:eastAsia="仿宋" w:cs="Times New Roman"/>
          <w:color w:val="auto"/>
          <w:sz w:val="30"/>
          <w:lang w:val="en-US" w:eastAsia="zh-CN"/>
        </w:rPr>
        <w:t>26.抗疫特别国债安排（类）支出</w:t>
      </w:r>
      <w:r>
        <w:rPr>
          <w:rFonts w:hint="eastAsia" w:ascii="Times New Roman" w:hAnsi="Times New Roman" w:eastAsia="仿宋" w:cs="Times New Roman"/>
          <w:color w:val="auto"/>
          <w:sz w:val="30"/>
          <w:lang w:val="zh-CN" w:eastAsia="zh-CN"/>
        </w:rPr>
        <w:t>0.00</w:t>
      </w:r>
      <w:r>
        <w:rPr>
          <w:rFonts w:hint="eastAsia" w:ascii="Times New Roman" w:hAnsi="Times New Roman" w:eastAsia="仿宋" w:cs="Times New Roman"/>
          <w:color w:val="auto"/>
          <w:sz w:val="30"/>
          <w:lang w:val="en-US" w:eastAsia="zh-CN"/>
        </w:rPr>
        <w:t>元，占一般公共预算财政拨款总支出的</w:t>
      </w:r>
      <w:r>
        <w:rPr>
          <w:rFonts w:hint="eastAsia" w:ascii="Times New Roman" w:hAnsi="Times New Roman" w:eastAsia="仿宋" w:cs="Times New Roman"/>
          <w:color w:val="auto"/>
          <w:sz w:val="30"/>
          <w:lang w:val="zh-CN" w:eastAsia="zh-CN"/>
        </w:rPr>
        <w:t>0.00</w:t>
      </w:r>
      <w:r>
        <w:rPr>
          <w:rFonts w:hint="eastAsia" w:ascii="Times New Roman" w:hAnsi="Times New Roman" w:eastAsia="仿宋" w:cs="Times New Roman"/>
          <w:color w:val="auto"/>
          <w:sz w:val="30"/>
          <w:lang w:val="en-US" w:eastAsia="zh-CN"/>
        </w:rPr>
        <w:t>%,年初无此项预算。</w:t>
      </w:r>
    </w:p>
    <w:p w14:paraId="0F9836B7">
      <w:pPr>
        <w:keepNext w:val="0"/>
        <w:keepLines w:val="0"/>
        <w:pageBreakBefore w:val="0"/>
        <w:widowControl/>
        <w:numPr>
          <w:ilvl w:val="0"/>
          <w:numId w:val="1"/>
        </w:numPr>
        <w:kinsoku/>
        <w:wordWrap/>
        <w:overflowPunct/>
        <w:topLinePunct w:val="0"/>
        <w:autoSpaceDE/>
        <w:autoSpaceDN/>
        <w:bidi w:val="0"/>
        <w:adjustRightInd/>
        <w:snapToGrid w:val="0"/>
        <w:spacing w:line="590" w:lineRule="exact"/>
        <w:ind w:firstLine="600" w:firstLineChars="200"/>
        <w:jc w:val="left"/>
        <w:textAlignment w:val="auto"/>
        <w:outlineLvl w:val="1"/>
        <w:rPr>
          <w:rFonts w:hint="eastAsia" w:ascii="黑体" w:hAnsi="黑体" w:eastAsia="黑体"/>
          <w:sz w:val="30"/>
          <w:szCs w:val="30"/>
          <w:highlight w:val="none"/>
        </w:rPr>
      </w:pPr>
      <w:r>
        <w:rPr>
          <w:rFonts w:hint="eastAsia" w:ascii="黑体" w:hAnsi="黑体" w:eastAsia="黑体"/>
          <w:sz w:val="30"/>
          <w:szCs w:val="30"/>
          <w:highlight w:val="none"/>
        </w:rPr>
        <w:t>财政拨款“三公”经费支出决算情况说明</w:t>
      </w:r>
    </w:p>
    <w:p w14:paraId="72C09484">
      <w:pPr>
        <w:keepNext w:val="0"/>
        <w:keepLines w:val="0"/>
        <w:pageBreakBefore w:val="0"/>
        <w:widowControl/>
        <w:kinsoku/>
        <w:wordWrap/>
        <w:overflowPunct/>
        <w:topLinePunct w:val="0"/>
        <w:autoSpaceDE/>
        <w:autoSpaceDN/>
        <w:bidi w:val="0"/>
        <w:adjustRightInd/>
        <w:snapToGrid w:val="0"/>
        <w:spacing w:line="590" w:lineRule="exact"/>
        <w:ind w:firstLine="600" w:firstLineChars="200"/>
        <w:jc w:val="both"/>
        <w:textAlignment w:val="auto"/>
        <w:rPr>
          <w:rFonts w:hint="eastAsia" w:ascii="楷体" w:hAnsi="楷体" w:eastAsia="楷体" w:cs="楷体"/>
          <w:kern w:val="0"/>
          <w:sz w:val="30"/>
          <w:szCs w:val="30"/>
          <w:highlight w:val="none"/>
          <w:lang w:val="en-US" w:eastAsia="zh-CN"/>
        </w:rPr>
      </w:pPr>
      <w:r>
        <w:rPr>
          <w:rFonts w:hint="eastAsia" w:ascii="楷体" w:hAnsi="楷体" w:eastAsia="楷体" w:cs="楷体"/>
          <w:kern w:val="0"/>
          <w:sz w:val="30"/>
          <w:szCs w:val="30"/>
          <w:highlight w:val="none"/>
          <w:lang w:val="en-US" w:eastAsia="zh-CN"/>
        </w:rPr>
        <w:t>（一）总体情况</w:t>
      </w:r>
    </w:p>
    <w:p w14:paraId="0E3894E2">
      <w:pPr>
        <w:keepNext w:val="0"/>
        <w:keepLines w:val="0"/>
        <w:pageBreakBefore w:val="0"/>
        <w:widowControl/>
        <w:kinsoku/>
        <w:wordWrap/>
        <w:overflowPunct/>
        <w:topLinePunct w:val="0"/>
        <w:autoSpaceDE/>
        <w:autoSpaceDN/>
        <w:bidi w:val="0"/>
        <w:adjustRightInd/>
        <w:snapToGrid w:val="0"/>
        <w:spacing w:line="590" w:lineRule="exact"/>
        <w:ind w:firstLine="600" w:firstLineChars="200"/>
        <w:jc w:val="both"/>
        <w:textAlignment w:val="auto"/>
        <w:rPr>
          <w:rFonts w:hint="eastAsia" w:ascii="Times New Roman" w:hAnsi="Times New Roman" w:eastAsia="仿宋" w:cs="Times New Roman"/>
          <w:color w:val="auto"/>
          <w:sz w:val="30"/>
          <w:lang w:val="en-US" w:eastAsia="zh-CN"/>
        </w:rPr>
      </w:pPr>
      <w:r>
        <w:rPr>
          <w:rFonts w:hint="eastAsia" w:ascii="Times New Roman" w:hAnsi="Times New Roman" w:eastAsia="仿宋" w:cs="Times New Roman"/>
          <w:color w:val="auto"/>
          <w:sz w:val="30"/>
          <w:lang w:val="en-US" w:eastAsia="zh-CN"/>
        </w:rPr>
        <w:t>2025年度财政拨款“三公”经费支出决算中，财政拨款“三公”经费支出年初预算为0.00元，决算为</w:t>
      </w:r>
      <w:r>
        <w:rPr>
          <w:rFonts w:hint="eastAsia" w:ascii="Times New Roman" w:hAnsi="Times New Roman" w:eastAsia="仿宋" w:cs="Times New Roman"/>
          <w:color w:val="auto"/>
          <w:sz w:val="30"/>
          <w:lang w:val="zh-CN" w:eastAsia="zh-CN"/>
        </w:rPr>
        <w:t>0.00</w:t>
      </w:r>
      <w:r>
        <w:rPr>
          <w:rFonts w:hint="eastAsia" w:ascii="Times New Roman" w:hAnsi="Times New Roman" w:eastAsia="仿宋" w:cs="Times New Roman"/>
          <w:color w:val="auto"/>
          <w:sz w:val="30"/>
          <w:lang w:val="en-US" w:eastAsia="zh-CN"/>
        </w:rPr>
        <w:t>元；支出决算较上年增加</w:t>
      </w:r>
      <w:r>
        <w:rPr>
          <w:rFonts w:hint="eastAsia" w:ascii="Times New Roman" w:hAnsi="Times New Roman" w:eastAsia="仿宋" w:cs="Times New Roman"/>
          <w:color w:val="auto"/>
          <w:sz w:val="30"/>
          <w:lang w:val="zh-CN" w:eastAsia="zh-CN"/>
        </w:rPr>
        <w:t>0.00</w:t>
      </w:r>
      <w:r>
        <w:rPr>
          <w:rFonts w:hint="eastAsia" w:ascii="Times New Roman" w:hAnsi="Times New Roman" w:eastAsia="仿宋" w:cs="Times New Roman"/>
          <w:color w:val="auto"/>
          <w:sz w:val="30"/>
          <w:lang w:val="en-US" w:eastAsia="zh-CN"/>
        </w:rPr>
        <w:t>元，上年无此项支出。</w:t>
      </w:r>
    </w:p>
    <w:p w14:paraId="5CB8AD9E">
      <w:pPr>
        <w:keepNext w:val="0"/>
        <w:keepLines w:val="0"/>
        <w:pageBreakBefore w:val="0"/>
        <w:widowControl/>
        <w:kinsoku/>
        <w:wordWrap/>
        <w:overflowPunct/>
        <w:topLinePunct w:val="0"/>
        <w:autoSpaceDE/>
        <w:autoSpaceDN/>
        <w:bidi w:val="0"/>
        <w:adjustRightInd/>
        <w:snapToGrid w:val="0"/>
        <w:spacing w:line="590" w:lineRule="exact"/>
        <w:ind w:firstLine="600" w:firstLineChars="200"/>
        <w:jc w:val="both"/>
        <w:textAlignment w:val="auto"/>
        <w:rPr>
          <w:rFonts w:hint="eastAsia" w:ascii="Times New Roman" w:hAnsi="Times New Roman" w:eastAsia="仿宋" w:cs="Times New Roman"/>
          <w:color w:val="auto"/>
          <w:sz w:val="30"/>
          <w:lang w:val="en-US" w:eastAsia="zh-CN"/>
        </w:rPr>
      </w:pPr>
      <w:r>
        <w:rPr>
          <w:rFonts w:hint="eastAsia" w:ascii="Times New Roman" w:hAnsi="Times New Roman" w:eastAsia="仿宋" w:cs="Times New Roman"/>
          <w:color w:val="auto"/>
          <w:sz w:val="30"/>
          <w:lang w:val="en-US" w:eastAsia="zh-CN"/>
        </w:rPr>
        <w:t>因公出国（境）费用用支出年初预算为</w:t>
      </w:r>
      <w:r>
        <w:rPr>
          <w:rFonts w:hint="eastAsia" w:ascii="Times New Roman" w:hAnsi="Times New Roman" w:eastAsia="仿宋" w:cs="Times New Roman"/>
          <w:color w:val="auto"/>
          <w:sz w:val="30"/>
          <w:lang w:val="zh-CN" w:eastAsia="zh-CN"/>
        </w:rPr>
        <w:t>0.00</w:t>
      </w:r>
      <w:r>
        <w:rPr>
          <w:rFonts w:hint="eastAsia" w:ascii="Times New Roman" w:hAnsi="Times New Roman" w:eastAsia="仿宋" w:cs="Times New Roman"/>
          <w:color w:val="auto"/>
          <w:sz w:val="30"/>
          <w:lang w:val="en-US" w:eastAsia="zh-CN"/>
        </w:rPr>
        <w:t>元，决算为</w:t>
      </w:r>
      <w:r>
        <w:rPr>
          <w:rFonts w:hint="eastAsia" w:ascii="Times New Roman" w:hAnsi="Times New Roman" w:eastAsia="仿宋" w:cs="Times New Roman"/>
          <w:color w:val="auto"/>
          <w:sz w:val="30"/>
          <w:lang w:val="zh-CN" w:eastAsia="zh-CN"/>
        </w:rPr>
        <w:t>0.00</w:t>
      </w:r>
      <w:r>
        <w:rPr>
          <w:rFonts w:hint="eastAsia" w:ascii="Times New Roman" w:hAnsi="Times New Roman" w:eastAsia="仿宋" w:cs="Times New Roman"/>
          <w:color w:val="auto"/>
          <w:sz w:val="30"/>
          <w:lang w:val="en-US" w:eastAsia="zh-CN"/>
        </w:rPr>
        <w:t>元，占财政拨款“三公”经费总支出决算的0.00%；公务用车购置费支出年初预算为</w:t>
      </w:r>
      <w:r>
        <w:rPr>
          <w:rFonts w:hint="eastAsia" w:ascii="Times New Roman" w:hAnsi="Times New Roman" w:eastAsia="仿宋" w:cs="Times New Roman"/>
          <w:color w:val="auto"/>
          <w:sz w:val="30"/>
          <w:lang w:val="zh-CN" w:eastAsia="zh-CN"/>
        </w:rPr>
        <w:t>0.00</w:t>
      </w:r>
      <w:r>
        <w:rPr>
          <w:rFonts w:hint="eastAsia" w:ascii="Times New Roman" w:hAnsi="Times New Roman" w:eastAsia="仿宋" w:cs="Times New Roman"/>
          <w:color w:val="auto"/>
          <w:sz w:val="30"/>
          <w:lang w:val="en-US" w:eastAsia="zh-CN"/>
        </w:rPr>
        <w:t>元，决算为</w:t>
      </w:r>
      <w:r>
        <w:rPr>
          <w:rFonts w:hint="eastAsia" w:ascii="Times New Roman" w:hAnsi="Times New Roman" w:eastAsia="仿宋" w:cs="Times New Roman"/>
          <w:color w:val="auto"/>
          <w:sz w:val="30"/>
          <w:lang w:val="zh-CN" w:eastAsia="zh-CN"/>
        </w:rPr>
        <w:t>0.00</w:t>
      </w:r>
      <w:r>
        <w:rPr>
          <w:rFonts w:hint="eastAsia" w:ascii="Times New Roman" w:hAnsi="Times New Roman" w:eastAsia="仿宋" w:cs="Times New Roman"/>
          <w:color w:val="auto"/>
          <w:sz w:val="30"/>
          <w:lang w:val="en-US" w:eastAsia="zh-CN"/>
        </w:rPr>
        <w:t>元，占财政拨款“三公”经费总支出决算的0.00%；公务用车运行维护费支出年初预算为</w:t>
      </w:r>
      <w:r>
        <w:rPr>
          <w:rFonts w:hint="eastAsia" w:ascii="Times New Roman" w:hAnsi="Times New Roman" w:eastAsia="仿宋" w:cs="Times New Roman"/>
          <w:color w:val="auto"/>
          <w:sz w:val="30"/>
          <w:lang w:val="zh-CN" w:eastAsia="zh-CN"/>
        </w:rPr>
        <w:t>0.00</w:t>
      </w:r>
      <w:r>
        <w:rPr>
          <w:rFonts w:hint="eastAsia" w:ascii="Times New Roman" w:hAnsi="Times New Roman" w:eastAsia="仿宋" w:cs="Times New Roman"/>
          <w:color w:val="auto"/>
          <w:sz w:val="30"/>
          <w:lang w:val="en-US" w:eastAsia="zh-CN"/>
        </w:rPr>
        <w:t>元，决算为</w:t>
      </w:r>
      <w:r>
        <w:rPr>
          <w:rFonts w:hint="eastAsia" w:ascii="Times New Roman" w:hAnsi="Times New Roman" w:eastAsia="仿宋" w:cs="Times New Roman"/>
          <w:color w:val="auto"/>
          <w:sz w:val="30"/>
          <w:lang w:val="zh-CN" w:eastAsia="zh-CN"/>
        </w:rPr>
        <w:t>0.00</w:t>
      </w:r>
      <w:r>
        <w:rPr>
          <w:rFonts w:hint="eastAsia" w:ascii="Times New Roman" w:hAnsi="Times New Roman" w:eastAsia="仿宋" w:cs="Times New Roman"/>
          <w:color w:val="auto"/>
          <w:sz w:val="30"/>
          <w:lang w:val="en-US" w:eastAsia="zh-CN"/>
        </w:rPr>
        <w:t>元，占财政拨款“三公”经费总支出决算的0.00%；公务接待费支出年初预算为</w:t>
      </w:r>
      <w:r>
        <w:rPr>
          <w:rFonts w:hint="eastAsia" w:ascii="Times New Roman" w:hAnsi="Times New Roman" w:eastAsia="仿宋" w:cs="Times New Roman"/>
          <w:color w:val="auto"/>
          <w:sz w:val="30"/>
          <w:lang w:val="zh-CN" w:eastAsia="zh-CN"/>
        </w:rPr>
        <w:t>0.00</w:t>
      </w:r>
      <w:r>
        <w:rPr>
          <w:rFonts w:hint="eastAsia" w:ascii="Times New Roman" w:hAnsi="Times New Roman" w:eastAsia="仿宋" w:cs="Times New Roman"/>
          <w:color w:val="auto"/>
          <w:sz w:val="30"/>
          <w:lang w:val="en-US" w:eastAsia="zh-CN"/>
        </w:rPr>
        <w:t>元，决算为</w:t>
      </w:r>
      <w:r>
        <w:rPr>
          <w:rFonts w:hint="eastAsia" w:ascii="Times New Roman" w:hAnsi="Times New Roman" w:eastAsia="仿宋" w:cs="Times New Roman"/>
          <w:color w:val="auto"/>
          <w:sz w:val="30"/>
          <w:lang w:val="zh-CN" w:eastAsia="zh-CN"/>
        </w:rPr>
        <w:t>0.00</w:t>
      </w:r>
      <w:r>
        <w:rPr>
          <w:rFonts w:hint="eastAsia" w:ascii="Times New Roman" w:hAnsi="Times New Roman" w:eastAsia="仿宋" w:cs="Times New Roman"/>
          <w:color w:val="auto"/>
          <w:sz w:val="30"/>
          <w:lang w:val="en-US" w:eastAsia="zh-CN"/>
        </w:rPr>
        <w:t>元，占财政拨款“三公”经费总支出决算的0.00%。</w:t>
      </w:r>
    </w:p>
    <w:p w14:paraId="0C20D3CB">
      <w:pPr>
        <w:keepNext w:val="0"/>
        <w:keepLines w:val="0"/>
        <w:pageBreakBefore w:val="0"/>
        <w:widowControl/>
        <w:kinsoku/>
        <w:wordWrap/>
        <w:overflowPunct/>
        <w:topLinePunct w:val="0"/>
        <w:autoSpaceDE/>
        <w:autoSpaceDN/>
        <w:bidi w:val="0"/>
        <w:adjustRightInd/>
        <w:snapToGrid w:val="0"/>
        <w:spacing w:line="590" w:lineRule="exact"/>
        <w:ind w:firstLine="600" w:firstLineChars="200"/>
        <w:jc w:val="both"/>
        <w:textAlignment w:val="auto"/>
        <w:rPr>
          <w:rFonts w:hint="eastAsia" w:ascii="Times New Roman" w:hAnsi="Times New Roman" w:eastAsia="仿宋" w:cs="Times New Roman"/>
          <w:color w:val="auto"/>
          <w:sz w:val="30"/>
          <w:lang w:val="en-US" w:eastAsia="zh-CN"/>
        </w:rPr>
      </w:pPr>
      <w:r>
        <w:rPr>
          <w:rFonts w:hint="eastAsia" w:ascii="Times New Roman" w:hAnsi="Times New Roman" w:eastAsia="仿宋" w:cs="Times New Roman"/>
          <w:color w:val="auto"/>
          <w:sz w:val="30"/>
          <w:lang w:val="en-US" w:eastAsia="zh-CN"/>
        </w:rPr>
        <w:t>因公出国（境）费用支出决算较上年增加</w:t>
      </w:r>
      <w:r>
        <w:rPr>
          <w:rFonts w:hint="eastAsia" w:ascii="Times New Roman" w:hAnsi="Times New Roman" w:eastAsia="仿宋" w:cs="Times New Roman"/>
          <w:color w:val="auto"/>
          <w:sz w:val="30"/>
          <w:lang w:val="zh-CN" w:eastAsia="zh-CN"/>
        </w:rPr>
        <w:t>0.00</w:t>
      </w:r>
      <w:r>
        <w:rPr>
          <w:rFonts w:hint="eastAsia" w:ascii="Times New Roman" w:hAnsi="Times New Roman" w:eastAsia="仿宋" w:cs="Times New Roman"/>
          <w:color w:val="auto"/>
          <w:sz w:val="30"/>
          <w:lang w:val="en-US" w:eastAsia="zh-CN"/>
        </w:rPr>
        <w:t>元，上年无此项支出；公务用车购置费支出决算较上年增加</w:t>
      </w:r>
      <w:r>
        <w:rPr>
          <w:rFonts w:hint="eastAsia" w:ascii="Times New Roman" w:hAnsi="Times New Roman" w:eastAsia="仿宋" w:cs="Times New Roman"/>
          <w:color w:val="auto"/>
          <w:sz w:val="30"/>
          <w:lang w:val="zh-CN" w:eastAsia="zh-CN"/>
        </w:rPr>
        <w:t>0.00</w:t>
      </w:r>
      <w:r>
        <w:rPr>
          <w:rFonts w:hint="eastAsia" w:ascii="Times New Roman" w:hAnsi="Times New Roman" w:eastAsia="仿宋" w:cs="Times New Roman"/>
          <w:color w:val="auto"/>
          <w:sz w:val="30"/>
          <w:lang w:val="en-US" w:eastAsia="zh-CN"/>
        </w:rPr>
        <w:t>元，上年无此项支出；公务用车运行维护费支出决算较上年增加</w:t>
      </w:r>
      <w:r>
        <w:rPr>
          <w:rFonts w:hint="eastAsia" w:ascii="Times New Roman" w:hAnsi="Times New Roman" w:eastAsia="仿宋" w:cs="Times New Roman"/>
          <w:color w:val="auto"/>
          <w:sz w:val="30"/>
          <w:lang w:val="zh-CN" w:eastAsia="zh-CN"/>
        </w:rPr>
        <w:t>0.00</w:t>
      </w:r>
      <w:r>
        <w:rPr>
          <w:rFonts w:hint="eastAsia" w:ascii="Times New Roman" w:hAnsi="Times New Roman" w:eastAsia="仿宋" w:cs="Times New Roman"/>
          <w:color w:val="auto"/>
          <w:sz w:val="30"/>
          <w:lang w:val="en-US" w:eastAsia="zh-CN"/>
        </w:rPr>
        <w:t>元，上年无此项支出；公务接待费支出决算较上年增加</w:t>
      </w:r>
      <w:r>
        <w:rPr>
          <w:rFonts w:hint="eastAsia" w:ascii="Times New Roman" w:hAnsi="Times New Roman" w:eastAsia="仿宋" w:cs="Times New Roman"/>
          <w:color w:val="auto"/>
          <w:sz w:val="30"/>
          <w:lang w:val="zh-CN" w:eastAsia="zh-CN"/>
        </w:rPr>
        <w:t>0.00</w:t>
      </w:r>
      <w:r>
        <w:rPr>
          <w:rFonts w:hint="eastAsia" w:ascii="Times New Roman" w:hAnsi="Times New Roman" w:eastAsia="仿宋" w:cs="Times New Roman"/>
          <w:color w:val="auto"/>
          <w:sz w:val="30"/>
          <w:lang w:val="en-US" w:eastAsia="zh-CN"/>
        </w:rPr>
        <w:t>元，上年无此项支出；具体是国内接待费支出决算</w:t>
      </w:r>
      <w:r>
        <w:rPr>
          <w:rFonts w:hint="eastAsia" w:ascii="Times New Roman" w:hAnsi="Times New Roman" w:eastAsia="仿宋" w:cs="Times New Roman"/>
          <w:color w:val="auto"/>
          <w:sz w:val="30"/>
          <w:lang w:val="zh-CN" w:eastAsia="zh-CN"/>
        </w:rPr>
        <w:t>0.00</w:t>
      </w:r>
      <w:r>
        <w:rPr>
          <w:rFonts w:hint="eastAsia" w:ascii="Times New Roman" w:hAnsi="Times New Roman" w:eastAsia="仿宋" w:cs="Times New Roman"/>
          <w:color w:val="auto"/>
          <w:sz w:val="30"/>
          <w:lang w:val="en-US" w:eastAsia="zh-CN"/>
        </w:rPr>
        <w:t>元（其中：外事接待费支出决算</w:t>
      </w:r>
      <w:r>
        <w:rPr>
          <w:rFonts w:hint="eastAsia" w:ascii="Times New Roman" w:hAnsi="Times New Roman" w:eastAsia="仿宋" w:cs="Times New Roman"/>
          <w:color w:val="auto"/>
          <w:sz w:val="30"/>
          <w:lang w:val="zh-CN" w:eastAsia="zh-CN"/>
        </w:rPr>
        <w:t>0.00</w:t>
      </w:r>
      <w:r>
        <w:rPr>
          <w:rFonts w:hint="eastAsia" w:ascii="Times New Roman" w:hAnsi="Times New Roman" w:eastAsia="仿宋" w:cs="Times New Roman"/>
          <w:color w:val="auto"/>
          <w:sz w:val="30"/>
          <w:lang w:val="en-US" w:eastAsia="zh-CN"/>
        </w:rPr>
        <w:t>元），较上年增加</w:t>
      </w:r>
      <w:r>
        <w:rPr>
          <w:rFonts w:hint="eastAsia" w:ascii="Times New Roman" w:hAnsi="Times New Roman" w:eastAsia="仿宋" w:cs="Times New Roman"/>
          <w:color w:val="auto"/>
          <w:sz w:val="30"/>
          <w:lang w:val="zh-CN" w:eastAsia="zh-CN"/>
        </w:rPr>
        <w:t>0.00</w:t>
      </w:r>
      <w:r>
        <w:rPr>
          <w:rFonts w:hint="eastAsia" w:ascii="Times New Roman" w:hAnsi="Times New Roman" w:eastAsia="仿宋" w:cs="Times New Roman"/>
          <w:color w:val="auto"/>
          <w:sz w:val="30"/>
          <w:lang w:val="en-US" w:eastAsia="zh-CN"/>
        </w:rPr>
        <w:t>元，上年无此项支出；国（境）外接待费支出决算</w:t>
      </w:r>
      <w:r>
        <w:rPr>
          <w:rFonts w:hint="eastAsia" w:ascii="Times New Roman" w:hAnsi="Times New Roman" w:eastAsia="仿宋" w:cs="Times New Roman"/>
          <w:color w:val="auto"/>
          <w:sz w:val="30"/>
          <w:lang w:val="zh-CN" w:eastAsia="zh-CN"/>
        </w:rPr>
        <w:t>0.00</w:t>
      </w:r>
      <w:r>
        <w:rPr>
          <w:rFonts w:hint="eastAsia" w:ascii="Times New Roman" w:hAnsi="Times New Roman" w:eastAsia="仿宋" w:cs="Times New Roman"/>
          <w:color w:val="auto"/>
          <w:sz w:val="30"/>
          <w:lang w:val="en-US" w:eastAsia="zh-CN"/>
        </w:rPr>
        <w:t>元，较上年增加</w:t>
      </w:r>
      <w:r>
        <w:rPr>
          <w:rFonts w:hint="eastAsia" w:ascii="Times New Roman" w:hAnsi="Times New Roman" w:eastAsia="仿宋" w:cs="Times New Roman"/>
          <w:color w:val="auto"/>
          <w:sz w:val="30"/>
          <w:lang w:val="zh-CN" w:eastAsia="zh-CN"/>
        </w:rPr>
        <w:t>0.00</w:t>
      </w:r>
      <w:r>
        <w:rPr>
          <w:rFonts w:hint="eastAsia" w:ascii="Times New Roman" w:hAnsi="Times New Roman" w:eastAsia="仿宋" w:cs="Times New Roman"/>
          <w:color w:val="auto"/>
          <w:sz w:val="30"/>
          <w:lang w:val="en-US" w:eastAsia="zh-CN"/>
        </w:rPr>
        <w:t>元，上年无此项支出。</w:t>
      </w:r>
    </w:p>
    <w:p w14:paraId="0AE6B0E3">
      <w:pPr>
        <w:keepNext w:val="0"/>
        <w:keepLines w:val="0"/>
        <w:pageBreakBefore w:val="0"/>
        <w:widowControl/>
        <w:kinsoku/>
        <w:wordWrap/>
        <w:overflowPunct/>
        <w:topLinePunct w:val="0"/>
        <w:autoSpaceDE/>
        <w:autoSpaceDN/>
        <w:bidi w:val="0"/>
        <w:adjustRightInd/>
        <w:snapToGrid w:val="0"/>
        <w:spacing w:line="590" w:lineRule="exact"/>
        <w:ind w:firstLine="600" w:firstLineChars="200"/>
        <w:jc w:val="both"/>
        <w:textAlignment w:val="auto"/>
        <w:rPr>
          <w:rFonts w:hint="eastAsia" w:ascii="楷体" w:hAnsi="楷体" w:eastAsia="楷体" w:cs="楷体"/>
          <w:kern w:val="0"/>
          <w:sz w:val="30"/>
          <w:szCs w:val="30"/>
          <w:highlight w:val="none"/>
          <w:lang w:val="en-US" w:eastAsia="zh-CN"/>
        </w:rPr>
      </w:pPr>
      <w:r>
        <w:rPr>
          <w:rFonts w:hint="eastAsia" w:ascii="楷体" w:hAnsi="楷体" w:eastAsia="楷体" w:cs="楷体"/>
          <w:kern w:val="0"/>
          <w:sz w:val="30"/>
          <w:szCs w:val="30"/>
          <w:highlight w:val="none"/>
          <w:lang w:val="en-US" w:eastAsia="zh-CN"/>
        </w:rPr>
        <w:t>（二）一般公共预算财政拨款“三公”经费支出决算情况说明</w:t>
      </w:r>
    </w:p>
    <w:p w14:paraId="5524B199">
      <w:pPr>
        <w:keepNext w:val="0"/>
        <w:keepLines w:val="0"/>
        <w:pageBreakBefore w:val="0"/>
        <w:widowControl/>
        <w:kinsoku/>
        <w:wordWrap/>
        <w:overflowPunct/>
        <w:topLinePunct w:val="0"/>
        <w:autoSpaceDE/>
        <w:autoSpaceDN/>
        <w:bidi w:val="0"/>
        <w:adjustRightInd/>
        <w:snapToGrid w:val="0"/>
        <w:spacing w:line="590" w:lineRule="exact"/>
        <w:ind w:firstLine="600" w:firstLineChars="200"/>
        <w:jc w:val="both"/>
        <w:textAlignment w:val="auto"/>
        <w:rPr>
          <w:rFonts w:hint="eastAsia" w:ascii="Times New Roman" w:hAnsi="Times New Roman" w:eastAsia="仿宋" w:cs="Times New Roman"/>
          <w:color w:val="auto"/>
          <w:sz w:val="30"/>
          <w:lang w:val="en-US" w:eastAsia="zh-CN"/>
        </w:rPr>
      </w:pPr>
      <w:r>
        <w:rPr>
          <w:rFonts w:hint="eastAsia" w:ascii="Times New Roman" w:hAnsi="Times New Roman" w:eastAsia="仿宋" w:cs="Times New Roman"/>
          <w:color w:val="auto"/>
          <w:sz w:val="30"/>
          <w:lang w:val="en-US" w:eastAsia="zh-CN"/>
        </w:rPr>
        <w:t>2025年度一般公共预算财政拨款“三公”经费支出年初预算为</w:t>
      </w:r>
      <w:r>
        <w:rPr>
          <w:rFonts w:hint="eastAsia" w:ascii="Times New Roman" w:hAnsi="Times New Roman" w:eastAsia="仿宋" w:cs="Times New Roman"/>
          <w:color w:val="auto"/>
          <w:sz w:val="30"/>
          <w:lang w:val="zh-CN" w:eastAsia="zh-CN"/>
        </w:rPr>
        <w:t>0.00</w:t>
      </w:r>
      <w:r>
        <w:rPr>
          <w:rFonts w:hint="eastAsia" w:ascii="Times New Roman" w:hAnsi="Times New Roman" w:eastAsia="仿宋" w:cs="Times New Roman"/>
          <w:color w:val="auto"/>
          <w:sz w:val="30"/>
          <w:lang w:val="en-US" w:eastAsia="zh-CN"/>
        </w:rPr>
        <w:t>元，支出决算为</w:t>
      </w:r>
      <w:r>
        <w:rPr>
          <w:rFonts w:hint="eastAsia" w:ascii="Times New Roman" w:hAnsi="Times New Roman" w:eastAsia="仿宋" w:cs="Times New Roman"/>
          <w:color w:val="auto"/>
          <w:sz w:val="30"/>
          <w:lang w:val="zh-CN" w:eastAsia="zh-CN"/>
        </w:rPr>
        <w:t>0.00</w:t>
      </w:r>
      <w:r>
        <w:rPr>
          <w:rFonts w:hint="eastAsia" w:ascii="Times New Roman" w:hAnsi="Times New Roman" w:eastAsia="仿宋" w:cs="Times New Roman"/>
          <w:color w:val="auto"/>
          <w:sz w:val="30"/>
          <w:lang w:val="en-US" w:eastAsia="zh-CN"/>
        </w:rPr>
        <w:t>元，支出决算较上年增加</w:t>
      </w:r>
      <w:r>
        <w:rPr>
          <w:rFonts w:hint="eastAsia" w:ascii="Times New Roman" w:hAnsi="Times New Roman" w:eastAsia="仿宋" w:cs="Times New Roman"/>
          <w:color w:val="auto"/>
          <w:sz w:val="30"/>
          <w:lang w:val="zh-CN" w:eastAsia="zh-CN"/>
        </w:rPr>
        <w:t>0.00</w:t>
      </w:r>
      <w:r>
        <w:rPr>
          <w:rFonts w:hint="eastAsia" w:ascii="Times New Roman" w:hAnsi="Times New Roman" w:eastAsia="仿宋" w:cs="Times New Roman"/>
          <w:color w:val="auto"/>
          <w:sz w:val="30"/>
          <w:lang w:val="en-US" w:eastAsia="zh-CN"/>
        </w:rPr>
        <w:t>元，上年无此项支出。</w:t>
      </w:r>
    </w:p>
    <w:p w14:paraId="34B48F8B">
      <w:pPr>
        <w:keepNext w:val="0"/>
        <w:keepLines w:val="0"/>
        <w:pageBreakBefore w:val="0"/>
        <w:widowControl/>
        <w:kinsoku/>
        <w:wordWrap/>
        <w:overflowPunct/>
        <w:topLinePunct w:val="0"/>
        <w:autoSpaceDE/>
        <w:autoSpaceDN/>
        <w:bidi w:val="0"/>
        <w:adjustRightInd/>
        <w:snapToGrid w:val="0"/>
        <w:spacing w:line="590" w:lineRule="exact"/>
        <w:ind w:firstLine="600" w:firstLineChars="200"/>
        <w:jc w:val="both"/>
        <w:textAlignment w:val="auto"/>
        <w:rPr>
          <w:rFonts w:hint="default" w:ascii="Times New Roman" w:hAnsi="Times New Roman" w:eastAsia="仿宋" w:cs="Times New Roman"/>
          <w:color w:val="auto"/>
          <w:sz w:val="30"/>
          <w:lang w:val="en-US" w:eastAsia="zh-CN"/>
        </w:rPr>
      </w:pPr>
      <w:r>
        <w:rPr>
          <w:rFonts w:hint="eastAsia" w:ascii="Times New Roman" w:hAnsi="Times New Roman" w:eastAsia="仿宋" w:cs="Times New Roman"/>
          <w:color w:val="auto"/>
          <w:sz w:val="30"/>
          <w:lang w:val="en-US" w:eastAsia="zh-CN"/>
        </w:rPr>
        <w:t>一般公共预算财政拨款“三公”经费支出中：因公出国（境）费用支出年初预算为</w:t>
      </w:r>
      <w:r>
        <w:rPr>
          <w:rFonts w:hint="eastAsia" w:ascii="Times New Roman" w:hAnsi="Times New Roman" w:eastAsia="仿宋" w:cs="Times New Roman"/>
          <w:color w:val="auto"/>
          <w:sz w:val="30"/>
          <w:lang w:val="zh-CN" w:eastAsia="zh-CN"/>
        </w:rPr>
        <w:t>0.00</w:t>
      </w:r>
      <w:r>
        <w:rPr>
          <w:rFonts w:hint="eastAsia" w:ascii="Times New Roman" w:hAnsi="Times New Roman" w:eastAsia="仿宋" w:cs="Times New Roman"/>
          <w:color w:val="auto"/>
          <w:sz w:val="30"/>
          <w:lang w:val="en-US" w:eastAsia="zh-CN"/>
        </w:rPr>
        <w:t>元，决算为</w:t>
      </w:r>
      <w:r>
        <w:rPr>
          <w:rFonts w:hint="eastAsia" w:ascii="Times New Roman" w:hAnsi="Times New Roman" w:eastAsia="仿宋" w:cs="Times New Roman"/>
          <w:color w:val="auto"/>
          <w:sz w:val="30"/>
          <w:lang w:val="zh-CN" w:eastAsia="zh-CN"/>
        </w:rPr>
        <w:t>0.00</w:t>
      </w:r>
      <w:r>
        <w:rPr>
          <w:rFonts w:hint="eastAsia" w:ascii="Times New Roman" w:hAnsi="Times New Roman" w:eastAsia="仿宋" w:cs="Times New Roman"/>
          <w:color w:val="auto"/>
          <w:sz w:val="30"/>
          <w:lang w:val="en-US" w:eastAsia="zh-CN"/>
        </w:rPr>
        <w:t>元；公务用车购置费支出年初预算为</w:t>
      </w:r>
      <w:r>
        <w:rPr>
          <w:rFonts w:hint="eastAsia" w:ascii="Times New Roman" w:hAnsi="Times New Roman" w:eastAsia="仿宋" w:cs="Times New Roman"/>
          <w:color w:val="auto"/>
          <w:sz w:val="30"/>
          <w:lang w:val="zh-CN" w:eastAsia="zh-CN"/>
        </w:rPr>
        <w:t>0.00</w:t>
      </w:r>
      <w:r>
        <w:rPr>
          <w:rFonts w:hint="eastAsia" w:ascii="Times New Roman" w:hAnsi="Times New Roman" w:eastAsia="仿宋" w:cs="Times New Roman"/>
          <w:color w:val="auto"/>
          <w:sz w:val="30"/>
          <w:lang w:val="en-US" w:eastAsia="zh-CN"/>
        </w:rPr>
        <w:t>元，决算为</w:t>
      </w:r>
      <w:r>
        <w:rPr>
          <w:rFonts w:hint="eastAsia" w:ascii="Times New Roman" w:hAnsi="Times New Roman" w:eastAsia="仿宋" w:cs="Times New Roman"/>
          <w:color w:val="auto"/>
          <w:sz w:val="30"/>
          <w:lang w:val="zh-CN" w:eastAsia="zh-CN"/>
        </w:rPr>
        <w:t>0.00</w:t>
      </w:r>
      <w:r>
        <w:rPr>
          <w:rFonts w:hint="eastAsia" w:ascii="Times New Roman" w:hAnsi="Times New Roman" w:eastAsia="仿宋" w:cs="Times New Roman"/>
          <w:color w:val="auto"/>
          <w:sz w:val="30"/>
          <w:lang w:val="en-US" w:eastAsia="zh-CN"/>
        </w:rPr>
        <w:t>元；公务用车运行维护费支出年初预算为</w:t>
      </w:r>
      <w:r>
        <w:rPr>
          <w:rFonts w:hint="eastAsia" w:ascii="Times New Roman" w:hAnsi="Times New Roman" w:eastAsia="仿宋" w:cs="Times New Roman"/>
          <w:color w:val="auto"/>
          <w:sz w:val="30"/>
          <w:lang w:val="zh-CN" w:eastAsia="zh-CN"/>
        </w:rPr>
        <w:t>0.00</w:t>
      </w:r>
      <w:r>
        <w:rPr>
          <w:rFonts w:hint="eastAsia" w:ascii="Times New Roman" w:hAnsi="Times New Roman" w:eastAsia="仿宋" w:cs="Times New Roman"/>
          <w:color w:val="auto"/>
          <w:sz w:val="30"/>
          <w:lang w:val="en-US" w:eastAsia="zh-CN"/>
        </w:rPr>
        <w:t>元，决算为</w:t>
      </w:r>
      <w:r>
        <w:rPr>
          <w:rFonts w:hint="eastAsia" w:ascii="Times New Roman" w:hAnsi="Times New Roman" w:eastAsia="仿宋" w:cs="Times New Roman"/>
          <w:color w:val="auto"/>
          <w:sz w:val="30"/>
          <w:lang w:val="zh-CN" w:eastAsia="zh-CN"/>
        </w:rPr>
        <w:t>0.00</w:t>
      </w:r>
      <w:r>
        <w:rPr>
          <w:rFonts w:hint="eastAsia" w:ascii="Times New Roman" w:hAnsi="Times New Roman" w:eastAsia="仿宋" w:cs="Times New Roman"/>
          <w:color w:val="auto"/>
          <w:sz w:val="30"/>
          <w:lang w:val="en-US" w:eastAsia="zh-CN"/>
        </w:rPr>
        <w:t>元；公务接待费支出年初预算为</w:t>
      </w:r>
      <w:r>
        <w:rPr>
          <w:rFonts w:hint="eastAsia" w:ascii="Times New Roman" w:hAnsi="Times New Roman" w:eastAsia="仿宋" w:cs="Times New Roman"/>
          <w:color w:val="auto"/>
          <w:sz w:val="30"/>
          <w:lang w:val="zh-CN" w:eastAsia="zh-CN"/>
        </w:rPr>
        <w:t>0.00</w:t>
      </w:r>
      <w:r>
        <w:rPr>
          <w:rFonts w:hint="eastAsia" w:ascii="Times New Roman" w:hAnsi="Times New Roman" w:eastAsia="仿宋" w:cs="Times New Roman"/>
          <w:color w:val="auto"/>
          <w:sz w:val="30"/>
          <w:lang w:val="en-US" w:eastAsia="zh-CN"/>
        </w:rPr>
        <w:t>元，决算为</w:t>
      </w:r>
      <w:r>
        <w:rPr>
          <w:rFonts w:hint="eastAsia" w:ascii="Times New Roman" w:hAnsi="Times New Roman" w:eastAsia="仿宋" w:cs="Times New Roman"/>
          <w:color w:val="auto"/>
          <w:sz w:val="30"/>
          <w:lang w:val="zh-CN" w:eastAsia="zh-CN"/>
        </w:rPr>
        <w:t>0.00</w:t>
      </w:r>
      <w:r>
        <w:rPr>
          <w:rFonts w:hint="eastAsia" w:ascii="Times New Roman" w:hAnsi="Times New Roman" w:eastAsia="仿宋" w:cs="Times New Roman"/>
          <w:color w:val="auto"/>
          <w:sz w:val="30"/>
          <w:lang w:val="en-US" w:eastAsia="zh-CN"/>
        </w:rPr>
        <w:t>元。2025年度一般公共预算财政拨款“三公”经费支出决算数与年初预算数无增减变动。</w:t>
      </w:r>
    </w:p>
    <w:p w14:paraId="76B4065C">
      <w:pPr>
        <w:keepNext w:val="0"/>
        <w:keepLines w:val="0"/>
        <w:pageBreakBefore w:val="0"/>
        <w:widowControl/>
        <w:kinsoku/>
        <w:wordWrap/>
        <w:overflowPunct/>
        <w:topLinePunct w:val="0"/>
        <w:autoSpaceDE/>
        <w:autoSpaceDN/>
        <w:bidi w:val="0"/>
        <w:adjustRightInd/>
        <w:snapToGrid w:val="0"/>
        <w:spacing w:line="590" w:lineRule="exact"/>
        <w:ind w:firstLine="600" w:firstLineChars="200"/>
        <w:jc w:val="both"/>
        <w:textAlignment w:val="auto"/>
        <w:rPr>
          <w:rFonts w:hint="eastAsia" w:ascii="Times New Roman" w:hAnsi="Times New Roman" w:eastAsia="仿宋" w:cs="Times New Roman"/>
          <w:color w:val="auto"/>
          <w:sz w:val="30"/>
          <w:lang w:val="en-US" w:eastAsia="zh-CN"/>
        </w:rPr>
      </w:pPr>
      <w:r>
        <w:rPr>
          <w:rFonts w:hint="eastAsia" w:ascii="Times New Roman" w:hAnsi="Times New Roman" w:eastAsia="仿宋" w:cs="Times New Roman"/>
          <w:color w:val="auto"/>
          <w:sz w:val="30"/>
          <w:lang w:val="en-US" w:eastAsia="zh-CN"/>
        </w:rPr>
        <w:t>一般公共预算财政拨款“三公”经费支出中：因公出国（境）费用支出决算增加</w:t>
      </w:r>
      <w:r>
        <w:rPr>
          <w:rFonts w:hint="eastAsia" w:ascii="Times New Roman" w:hAnsi="Times New Roman" w:eastAsia="仿宋" w:cs="Times New Roman"/>
          <w:color w:val="auto"/>
          <w:sz w:val="30"/>
          <w:lang w:val="zh-CN" w:eastAsia="zh-CN"/>
        </w:rPr>
        <w:t>0.00</w:t>
      </w:r>
      <w:r>
        <w:rPr>
          <w:rFonts w:hint="eastAsia" w:ascii="Times New Roman" w:hAnsi="Times New Roman" w:eastAsia="仿宋" w:cs="Times New Roman"/>
          <w:color w:val="auto"/>
          <w:sz w:val="30"/>
          <w:lang w:val="en-US" w:eastAsia="zh-CN"/>
        </w:rPr>
        <w:t>元，上年无此项支出；公务用车购置费支出决算增加</w:t>
      </w:r>
      <w:r>
        <w:rPr>
          <w:rFonts w:hint="eastAsia" w:ascii="Times New Roman" w:hAnsi="Times New Roman" w:eastAsia="仿宋" w:cs="Times New Roman"/>
          <w:color w:val="auto"/>
          <w:sz w:val="30"/>
          <w:lang w:val="zh-CN" w:eastAsia="zh-CN"/>
        </w:rPr>
        <w:t>0.00</w:t>
      </w:r>
      <w:r>
        <w:rPr>
          <w:rFonts w:hint="eastAsia" w:ascii="Times New Roman" w:hAnsi="Times New Roman" w:eastAsia="仿宋" w:cs="Times New Roman"/>
          <w:color w:val="auto"/>
          <w:sz w:val="30"/>
          <w:lang w:val="en-US" w:eastAsia="zh-CN"/>
        </w:rPr>
        <w:t>元，上年无此项支出；公务用车运行维护费支出决算增加</w:t>
      </w:r>
      <w:r>
        <w:rPr>
          <w:rFonts w:hint="eastAsia" w:ascii="Times New Roman" w:hAnsi="Times New Roman" w:eastAsia="仿宋" w:cs="Times New Roman"/>
          <w:color w:val="auto"/>
          <w:sz w:val="30"/>
          <w:lang w:val="zh-CN" w:eastAsia="zh-CN"/>
        </w:rPr>
        <w:t>0.00</w:t>
      </w:r>
      <w:r>
        <w:rPr>
          <w:rFonts w:hint="eastAsia" w:ascii="Times New Roman" w:hAnsi="Times New Roman" w:eastAsia="仿宋" w:cs="Times New Roman"/>
          <w:color w:val="auto"/>
          <w:sz w:val="30"/>
          <w:lang w:val="en-US" w:eastAsia="zh-CN"/>
        </w:rPr>
        <w:t>元，上年无此项支出；公务接待费支出决算增加</w:t>
      </w:r>
      <w:r>
        <w:rPr>
          <w:rFonts w:hint="eastAsia" w:ascii="Times New Roman" w:hAnsi="Times New Roman" w:eastAsia="仿宋" w:cs="Times New Roman"/>
          <w:color w:val="auto"/>
          <w:sz w:val="30"/>
          <w:lang w:val="zh-CN" w:eastAsia="zh-CN"/>
        </w:rPr>
        <w:t>0.00</w:t>
      </w:r>
      <w:r>
        <w:rPr>
          <w:rFonts w:hint="eastAsia" w:ascii="Times New Roman" w:hAnsi="Times New Roman" w:eastAsia="仿宋" w:cs="Times New Roman"/>
          <w:color w:val="auto"/>
          <w:sz w:val="30"/>
          <w:lang w:val="en-US" w:eastAsia="zh-CN"/>
        </w:rPr>
        <w:t>元，上年无此项支出，具体是国内接待费支出决算</w:t>
      </w:r>
      <w:r>
        <w:rPr>
          <w:rFonts w:hint="eastAsia" w:ascii="Times New Roman" w:hAnsi="Times New Roman" w:eastAsia="仿宋" w:cs="Times New Roman"/>
          <w:color w:val="auto"/>
          <w:sz w:val="30"/>
          <w:lang w:val="zh-CN" w:eastAsia="zh-CN"/>
        </w:rPr>
        <w:t>0.00</w:t>
      </w:r>
      <w:r>
        <w:rPr>
          <w:rFonts w:hint="eastAsia" w:ascii="Times New Roman" w:hAnsi="Times New Roman" w:eastAsia="仿宋" w:cs="Times New Roman"/>
          <w:color w:val="auto"/>
          <w:sz w:val="30"/>
          <w:lang w:val="en-US" w:eastAsia="zh-CN"/>
        </w:rPr>
        <w:t>元（其中：外事接待费支出决算</w:t>
      </w:r>
      <w:r>
        <w:rPr>
          <w:rFonts w:hint="eastAsia" w:ascii="Times New Roman" w:hAnsi="Times New Roman" w:eastAsia="仿宋" w:cs="Times New Roman"/>
          <w:color w:val="auto"/>
          <w:sz w:val="30"/>
          <w:lang w:val="zh-CN" w:eastAsia="zh-CN"/>
        </w:rPr>
        <w:t>0.00</w:t>
      </w:r>
      <w:r>
        <w:rPr>
          <w:rFonts w:hint="eastAsia" w:ascii="Times New Roman" w:hAnsi="Times New Roman" w:eastAsia="仿宋" w:cs="Times New Roman"/>
          <w:color w:val="auto"/>
          <w:sz w:val="30"/>
          <w:lang w:val="en-US" w:eastAsia="zh-CN"/>
        </w:rPr>
        <w:t>元），较上年增加0.00元，上年无此项支出；国（境）外接待费支出决算</w:t>
      </w:r>
      <w:r>
        <w:rPr>
          <w:rFonts w:hint="eastAsia" w:ascii="Times New Roman" w:hAnsi="Times New Roman" w:eastAsia="仿宋" w:cs="Times New Roman"/>
          <w:color w:val="auto"/>
          <w:sz w:val="30"/>
          <w:lang w:val="zh-CN" w:eastAsia="zh-CN"/>
        </w:rPr>
        <w:t>0.00</w:t>
      </w:r>
      <w:r>
        <w:rPr>
          <w:rFonts w:hint="eastAsia" w:ascii="Times New Roman" w:hAnsi="Times New Roman" w:eastAsia="仿宋" w:cs="Times New Roman"/>
          <w:color w:val="auto"/>
          <w:sz w:val="30"/>
          <w:lang w:val="en-US" w:eastAsia="zh-CN"/>
        </w:rPr>
        <w:t>元较上年增加0.00元，上年无此项支出。2025年度一般公共预算财政拨款“三公”经费支出决算无增减变动。</w:t>
      </w:r>
    </w:p>
    <w:p w14:paraId="0C116A5B">
      <w:pPr>
        <w:keepNext w:val="0"/>
        <w:keepLines w:val="0"/>
        <w:pageBreakBefore w:val="0"/>
        <w:widowControl/>
        <w:kinsoku/>
        <w:wordWrap/>
        <w:overflowPunct/>
        <w:topLinePunct w:val="0"/>
        <w:autoSpaceDE/>
        <w:autoSpaceDN/>
        <w:bidi w:val="0"/>
        <w:adjustRightInd/>
        <w:snapToGrid w:val="0"/>
        <w:spacing w:line="590" w:lineRule="exact"/>
        <w:ind w:firstLine="600" w:firstLineChars="200"/>
        <w:jc w:val="both"/>
        <w:textAlignment w:val="auto"/>
        <w:rPr>
          <w:rFonts w:hint="eastAsia" w:ascii="Times New Roman" w:hAnsi="Times New Roman" w:eastAsia="仿宋" w:cs="Times New Roman"/>
          <w:color w:val="auto"/>
          <w:sz w:val="30"/>
          <w:lang w:val="en-US" w:eastAsia="zh-CN"/>
        </w:rPr>
      </w:pPr>
      <w:r>
        <w:rPr>
          <w:rFonts w:hint="eastAsia" w:ascii="Times New Roman" w:hAnsi="Times New Roman" w:eastAsia="仿宋" w:cs="Times New Roman"/>
          <w:color w:val="auto"/>
          <w:sz w:val="30"/>
          <w:lang w:val="en-US" w:eastAsia="zh-CN"/>
        </w:rPr>
        <w:t>一般公共预算财政拨款“三公”经费支出实物量的具体情况：</w:t>
      </w:r>
    </w:p>
    <w:p w14:paraId="38CF6C1D">
      <w:pPr>
        <w:keepNext w:val="0"/>
        <w:keepLines w:val="0"/>
        <w:pageBreakBefore w:val="0"/>
        <w:widowControl/>
        <w:kinsoku/>
        <w:wordWrap/>
        <w:overflowPunct/>
        <w:topLinePunct w:val="0"/>
        <w:autoSpaceDE/>
        <w:autoSpaceDN/>
        <w:bidi w:val="0"/>
        <w:adjustRightInd/>
        <w:snapToGrid w:val="0"/>
        <w:spacing w:line="590" w:lineRule="exact"/>
        <w:ind w:firstLine="600" w:firstLineChars="200"/>
        <w:jc w:val="both"/>
        <w:textAlignment w:val="auto"/>
        <w:rPr>
          <w:rFonts w:hint="eastAsia" w:ascii="Times New Roman" w:hAnsi="Times New Roman" w:eastAsia="仿宋" w:cs="Times New Roman"/>
          <w:color w:val="auto"/>
          <w:sz w:val="30"/>
          <w:lang w:val="en-US" w:eastAsia="zh-CN"/>
        </w:rPr>
      </w:pPr>
      <w:r>
        <w:rPr>
          <w:rFonts w:hint="eastAsia" w:ascii="Times New Roman" w:hAnsi="Times New Roman" w:eastAsia="仿宋" w:cs="Times New Roman"/>
          <w:color w:val="auto"/>
          <w:sz w:val="30"/>
          <w:lang w:val="en-US" w:eastAsia="zh-CN"/>
        </w:rPr>
        <w:t>1.安排因公出国（境）团组</w:t>
      </w:r>
      <w:r>
        <w:rPr>
          <w:rFonts w:hint="eastAsia" w:ascii="Times New Roman" w:hAnsi="Times New Roman" w:eastAsia="仿宋" w:cs="Times New Roman"/>
          <w:color w:val="auto"/>
          <w:sz w:val="30"/>
          <w:lang w:val="zh-CN" w:eastAsia="zh-CN"/>
        </w:rPr>
        <w:t>0</w:t>
      </w:r>
      <w:r>
        <w:rPr>
          <w:rFonts w:hint="eastAsia" w:ascii="Times New Roman" w:hAnsi="Times New Roman" w:eastAsia="仿宋" w:cs="Times New Roman"/>
          <w:color w:val="auto"/>
          <w:sz w:val="30"/>
          <w:lang w:val="en-US" w:eastAsia="zh-CN"/>
        </w:rPr>
        <w:t>个，累计</w:t>
      </w:r>
      <w:r>
        <w:rPr>
          <w:rFonts w:hint="eastAsia" w:ascii="Times New Roman" w:hAnsi="Times New Roman" w:eastAsia="仿宋" w:cs="Times New Roman"/>
          <w:color w:val="auto"/>
          <w:sz w:val="30"/>
          <w:lang w:val="zh-CN" w:eastAsia="zh-CN"/>
        </w:rPr>
        <w:t>0</w:t>
      </w:r>
      <w:r>
        <w:rPr>
          <w:rFonts w:hint="eastAsia" w:ascii="Times New Roman" w:hAnsi="Times New Roman" w:eastAsia="仿宋" w:cs="Times New Roman"/>
          <w:color w:val="auto"/>
          <w:sz w:val="30"/>
          <w:lang w:val="en-US" w:eastAsia="zh-CN"/>
        </w:rPr>
        <w:t>人次。</w:t>
      </w:r>
    </w:p>
    <w:p w14:paraId="70DBCEF4">
      <w:pPr>
        <w:keepNext w:val="0"/>
        <w:keepLines w:val="0"/>
        <w:pageBreakBefore w:val="0"/>
        <w:widowControl/>
        <w:kinsoku/>
        <w:wordWrap/>
        <w:overflowPunct/>
        <w:topLinePunct w:val="0"/>
        <w:autoSpaceDE/>
        <w:autoSpaceDN/>
        <w:bidi w:val="0"/>
        <w:adjustRightInd/>
        <w:snapToGrid w:val="0"/>
        <w:spacing w:line="590" w:lineRule="exact"/>
        <w:ind w:firstLine="600" w:firstLineChars="200"/>
        <w:jc w:val="both"/>
        <w:textAlignment w:val="auto"/>
        <w:rPr>
          <w:rFonts w:hint="eastAsia" w:ascii="Times New Roman" w:hAnsi="Times New Roman" w:eastAsia="仿宋" w:cs="Times New Roman"/>
          <w:color w:val="auto"/>
          <w:sz w:val="30"/>
          <w:lang w:val="en-US" w:eastAsia="zh-CN"/>
        </w:rPr>
      </w:pPr>
      <w:r>
        <w:rPr>
          <w:rFonts w:hint="eastAsia" w:ascii="Times New Roman" w:hAnsi="Times New Roman" w:eastAsia="仿宋" w:cs="Times New Roman"/>
          <w:color w:val="auto"/>
          <w:sz w:val="30"/>
          <w:lang w:val="en-US" w:eastAsia="zh-CN"/>
        </w:rPr>
        <w:t>2.购置车辆</w:t>
      </w:r>
      <w:r>
        <w:rPr>
          <w:rFonts w:hint="eastAsia" w:ascii="Times New Roman" w:hAnsi="Times New Roman" w:eastAsia="仿宋" w:cs="Times New Roman"/>
          <w:color w:val="auto"/>
          <w:sz w:val="30"/>
          <w:lang w:val="zh-CN" w:eastAsia="zh-CN"/>
        </w:rPr>
        <w:t>0</w:t>
      </w:r>
      <w:r>
        <w:rPr>
          <w:rFonts w:hint="eastAsia" w:ascii="Times New Roman" w:hAnsi="Times New Roman" w:eastAsia="仿宋" w:cs="Times New Roman"/>
          <w:color w:val="auto"/>
          <w:sz w:val="30"/>
          <w:lang w:val="en-US" w:eastAsia="zh-CN"/>
        </w:rPr>
        <w:t>辆。开支一般公共预算财政拨款的公务用车保有量为</w:t>
      </w:r>
      <w:r>
        <w:rPr>
          <w:rFonts w:hint="eastAsia" w:ascii="Times New Roman" w:hAnsi="Times New Roman" w:eastAsia="仿宋" w:cs="Times New Roman"/>
          <w:color w:val="auto"/>
          <w:sz w:val="30"/>
          <w:lang w:val="zh-CN" w:eastAsia="zh-CN"/>
        </w:rPr>
        <w:t>0</w:t>
      </w:r>
      <w:r>
        <w:rPr>
          <w:rFonts w:hint="eastAsia" w:ascii="Times New Roman" w:hAnsi="Times New Roman" w:eastAsia="仿宋" w:cs="Times New Roman"/>
          <w:color w:val="auto"/>
          <w:sz w:val="30"/>
          <w:lang w:val="en-US" w:eastAsia="zh-CN"/>
        </w:rPr>
        <w:t>辆。</w:t>
      </w:r>
    </w:p>
    <w:p w14:paraId="65B8A345">
      <w:pPr>
        <w:keepNext w:val="0"/>
        <w:keepLines w:val="0"/>
        <w:pageBreakBefore w:val="0"/>
        <w:widowControl/>
        <w:kinsoku/>
        <w:wordWrap/>
        <w:overflowPunct/>
        <w:topLinePunct w:val="0"/>
        <w:autoSpaceDE/>
        <w:autoSpaceDN/>
        <w:bidi w:val="0"/>
        <w:adjustRightInd/>
        <w:snapToGrid w:val="0"/>
        <w:spacing w:line="590" w:lineRule="exact"/>
        <w:ind w:firstLine="600" w:firstLineChars="200"/>
        <w:jc w:val="both"/>
        <w:textAlignment w:val="auto"/>
        <w:rPr>
          <w:rFonts w:hint="eastAsia" w:ascii="Times New Roman" w:hAnsi="Times New Roman" w:eastAsia="仿宋" w:cs="Times New Roman"/>
          <w:color w:val="auto"/>
          <w:sz w:val="30"/>
          <w:lang w:val="en-US" w:eastAsia="zh-CN"/>
        </w:rPr>
      </w:pPr>
      <w:r>
        <w:rPr>
          <w:rFonts w:hint="eastAsia" w:ascii="Times New Roman" w:hAnsi="Times New Roman" w:eastAsia="仿宋" w:cs="Times New Roman"/>
          <w:color w:val="auto"/>
          <w:sz w:val="30"/>
          <w:lang w:val="en-US" w:eastAsia="zh-CN"/>
        </w:rPr>
        <w:t>3.安排国内公务接待</w:t>
      </w:r>
      <w:r>
        <w:rPr>
          <w:rFonts w:hint="eastAsia" w:ascii="Times New Roman" w:hAnsi="Times New Roman" w:eastAsia="仿宋" w:cs="Times New Roman"/>
          <w:color w:val="auto"/>
          <w:sz w:val="30"/>
          <w:lang w:val="zh-CN" w:eastAsia="zh-CN"/>
        </w:rPr>
        <w:t>0</w:t>
      </w:r>
      <w:r>
        <w:rPr>
          <w:rFonts w:hint="eastAsia" w:ascii="Times New Roman" w:hAnsi="Times New Roman" w:eastAsia="仿宋" w:cs="Times New Roman"/>
          <w:color w:val="auto"/>
          <w:sz w:val="30"/>
          <w:lang w:val="en-US" w:eastAsia="zh-CN"/>
        </w:rPr>
        <w:t>批次（其中：外事接待</w:t>
      </w:r>
      <w:r>
        <w:rPr>
          <w:rFonts w:hint="eastAsia" w:ascii="Times New Roman" w:hAnsi="Times New Roman" w:eastAsia="仿宋" w:cs="Times New Roman"/>
          <w:color w:val="auto"/>
          <w:sz w:val="30"/>
          <w:lang w:val="zh-CN" w:eastAsia="zh-CN"/>
        </w:rPr>
        <w:t>0</w:t>
      </w:r>
      <w:r>
        <w:rPr>
          <w:rFonts w:hint="eastAsia" w:ascii="Times New Roman" w:hAnsi="Times New Roman" w:eastAsia="仿宋" w:cs="Times New Roman"/>
          <w:color w:val="auto"/>
          <w:sz w:val="30"/>
          <w:lang w:val="en-US" w:eastAsia="zh-CN"/>
        </w:rPr>
        <w:t>批次），接待人次</w:t>
      </w:r>
      <w:r>
        <w:rPr>
          <w:rFonts w:hint="eastAsia" w:ascii="Times New Roman" w:hAnsi="Times New Roman" w:eastAsia="仿宋" w:cs="Times New Roman"/>
          <w:color w:val="auto"/>
          <w:sz w:val="30"/>
          <w:lang w:val="zh-CN" w:eastAsia="zh-CN"/>
        </w:rPr>
        <w:t>0</w:t>
      </w:r>
      <w:r>
        <w:rPr>
          <w:rFonts w:hint="eastAsia" w:ascii="Times New Roman" w:hAnsi="Times New Roman" w:eastAsia="仿宋" w:cs="Times New Roman"/>
          <w:color w:val="auto"/>
          <w:sz w:val="30"/>
          <w:lang w:val="en-US" w:eastAsia="zh-CN"/>
        </w:rPr>
        <w:t>人（其中：外事接待人次</w:t>
      </w:r>
      <w:r>
        <w:rPr>
          <w:rFonts w:hint="eastAsia" w:ascii="Times New Roman" w:hAnsi="Times New Roman" w:eastAsia="仿宋" w:cs="Times New Roman"/>
          <w:color w:val="auto"/>
          <w:sz w:val="30"/>
          <w:lang w:val="zh-CN" w:eastAsia="zh-CN"/>
        </w:rPr>
        <w:t>0</w:t>
      </w:r>
      <w:r>
        <w:rPr>
          <w:rFonts w:hint="eastAsia" w:ascii="Times New Roman" w:hAnsi="Times New Roman" w:eastAsia="仿宋" w:cs="Times New Roman"/>
          <w:color w:val="auto"/>
          <w:sz w:val="30"/>
          <w:lang w:val="en-US" w:eastAsia="zh-CN"/>
        </w:rPr>
        <w:t>人）。安排国（境）外公务接待</w:t>
      </w:r>
      <w:r>
        <w:rPr>
          <w:rFonts w:hint="eastAsia" w:ascii="Times New Roman" w:hAnsi="Times New Roman" w:eastAsia="仿宋" w:cs="Times New Roman"/>
          <w:color w:val="auto"/>
          <w:sz w:val="30"/>
          <w:lang w:val="zh-CN" w:eastAsia="zh-CN"/>
        </w:rPr>
        <w:t>0</w:t>
      </w:r>
      <w:r>
        <w:rPr>
          <w:rFonts w:hint="eastAsia" w:ascii="Times New Roman" w:hAnsi="Times New Roman" w:eastAsia="仿宋" w:cs="Times New Roman"/>
          <w:color w:val="auto"/>
          <w:sz w:val="30"/>
          <w:lang w:val="en-US" w:eastAsia="zh-CN"/>
        </w:rPr>
        <w:t>批次，接待人次</w:t>
      </w:r>
      <w:r>
        <w:rPr>
          <w:rFonts w:hint="eastAsia" w:ascii="Times New Roman" w:hAnsi="Times New Roman" w:eastAsia="仿宋" w:cs="Times New Roman"/>
          <w:color w:val="auto"/>
          <w:sz w:val="30"/>
          <w:lang w:val="zh-CN" w:eastAsia="zh-CN"/>
        </w:rPr>
        <w:t>0</w:t>
      </w:r>
      <w:r>
        <w:rPr>
          <w:rFonts w:hint="eastAsia" w:ascii="Times New Roman" w:hAnsi="Times New Roman" w:eastAsia="仿宋" w:cs="Times New Roman"/>
          <w:color w:val="auto"/>
          <w:sz w:val="30"/>
          <w:lang w:val="en-US" w:eastAsia="zh-CN"/>
        </w:rPr>
        <w:t>人。</w:t>
      </w:r>
    </w:p>
    <w:p w14:paraId="4A585A3F">
      <w:pPr>
        <w:keepNext w:val="0"/>
        <w:keepLines w:val="0"/>
        <w:pageBreakBefore w:val="0"/>
        <w:widowControl/>
        <w:kinsoku/>
        <w:wordWrap/>
        <w:overflowPunct/>
        <w:topLinePunct w:val="0"/>
        <w:autoSpaceDE/>
        <w:autoSpaceDN/>
        <w:bidi w:val="0"/>
        <w:adjustRightInd/>
        <w:snapToGrid w:val="0"/>
        <w:spacing w:line="590" w:lineRule="exact"/>
        <w:ind w:firstLine="600" w:firstLineChars="200"/>
        <w:jc w:val="both"/>
        <w:textAlignment w:val="auto"/>
        <w:rPr>
          <w:rFonts w:hint="eastAsia" w:ascii="楷体" w:hAnsi="楷体" w:eastAsia="楷体" w:cs="楷体"/>
          <w:kern w:val="0"/>
          <w:sz w:val="30"/>
          <w:szCs w:val="30"/>
          <w:highlight w:val="none"/>
          <w:lang w:val="en-US" w:eastAsia="zh-CN"/>
        </w:rPr>
      </w:pPr>
      <w:r>
        <w:rPr>
          <w:rFonts w:hint="eastAsia" w:ascii="楷体" w:hAnsi="楷体" w:eastAsia="楷体" w:cs="楷体"/>
          <w:kern w:val="0"/>
          <w:sz w:val="30"/>
          <w:szCs w:val="30"/>
          <w:highlight w:val="none"/>
          <w:lang w:val="en-US" w:eastAsia="zh-CN"/>
        </w:rPr>
        <w:t>（三）需要说明的事项</w:t>
      </w:r>
    </w:p>
    <w:p w14:paraId="5F6EEA64">
      <w:pPr>
        <w:keepNext w:val="0"/>
        <w:keepLines w:val="0"/>
        <w:pageBreakBefore w:val="0"/>
        <w:widowControl/>
        <w:kinsoku/>
        <w:wordWrap/>
        <w:overflowPunct/>
        <w:topLinePunct w:val="0"/>
        <w:autoSpaceDE/>
        <w:autoSpaceDN/>
        <w:bidi w:val="0"/>
        <w:adjustRightInd/>
        <w:snapToGrid w:val="0"/>
        <w:spacing w:line="590" w:lineRule="exact"/>
        <w:ind w:firstLine="600" w:firstLineChars="200"/>
        <w:jc w:val="both"/>
        <w:textAlignment w:val="auto"/>
        <w:rPr>
          <w:rFonts w:hint="eastAsia" w:ascii="仿宋_GB2312" w:eastAsia="仿宋_GB2312"/>
          <w:sz w:val="30"/>
          <w:szCs w:val="30"/>
          <w:highlight w:val="none"/>
          <w:lang w:eastAsia="zh-CN"/>
        </w:rPr>
      </w:pPr>
      <w:r>
        <w:rPr>
          <w:rFonts w:hint="eastAsia" w:ascii="Times New Roman" w:hAnsi="Times New Roman" w:eastAsia="仿宋" w:cs="Times New Roman"/>
          <w:color w:val="auto"/>
          <w:sz w:val="30"/>
          <w:lang w:val="en-US" w:eastAsia="zh-CN"/>
        </w:rPr>
        <w:t>不存在需要说明的事项。</w:t>
      </w:r>
    </w:p>
    <w:p w14:paraId="3D5BD6D8">
      <w:pPr>
        <w:keepNext w:val="0"/>
        <w:keepLines w:val="0"/>
        <w:pageBreakBefore w:val="0"/>
        <w:widowControl/>
        <w:kinsoku/>
        <w:wordWrap/>
        <w:overflowPunct/>
        <w:topLinePunct w:val="0"/>
        <w:autoSpaceDE/>
        <w:autoSpaceDN/>
        <w:bidi w:val="0"/>
        <w:adjustRightInd/>
        <w:snapToGrid w:val="0"/>
        <w:spacing w:line="590" w:lineRule="exact"/>
        <w:ind w:firstLine="640" w:firstLineChars="200"/>
        <w:jc w:val="left"/>
        <w:textAlignment w:val="auto"/>
        <w:outlineLvl w:val="0"/>
        <w:rPr>
          <w:rFonts w:hint="eastAsia" w:ascii="仿宋_GB2312" w:eastAsia="仿宋_GB2312"/>
          <w:sz w:val="32"/>
          <w:szCs w:val="32"/>
          <w:highlight w:val="none"/>
        </w:rPr>
      </w:pPr>
      <w:r>
        <w:rPr>
          <w:rFonts w:hint="eastAsia" w:ascii="黑体" w:hAnsi="黑体" w:eastAsia="黑体" w:cs="方正小标宋简体"/>
          <w:sz w:val="32"/>
          <w:szCs w:val="32"/>
          <w:highlight w:val="none"/>
        </w:rPr>
        <w:t xml:space="preserve">第四部分  </w:t>
      </w:r>
      <w:r>
        <w:rPr>
          <w:rFonts w:hint="eastAsia" w:ascii="黑体" w:hAnsi="黑体" w:eastAsia="黑体"/>
          <w:sz w:val="32"/>
          <w:szCs w:val="32"/>
          <w:highlight w:val="none"/>
        </w:rPr>
        <w:t>其他重要事项及相关口径情况说明</w:t>
      </w:r>
    </w:p>
    <w:p w14:paraId="04409405">
      <w:pPr>
        <w:keepNext w:val="0"/>
        <w:keepLines w:val="0"/>
        <w:pageBreakBefore w:val="0"/>
        <w:widowControl w:val="0"/>
        <w:kinsoku/>
        <w:wordWrap/>
        <w:overflowPunct/>
        <w:topLinePunct w:val="0"/>
        <w:autoSpaceDE/>
        <w:autoSpaceDN/>
        <w:bidi w:val="0"/>
        <w:adjustRightInd/>
        <w:snapToGrid/>
        <w:spacing w:line="590" w:lineRule="exact"/>
        <w:ind w:firstLine="600" w:firstLineChars="200"/>
        <w:jc w:val="left"/>
        <w:textAlignment w:val="auto"/>
        <w:outlineLvl w:val="1"/>
        <w:rPr>
          <w:rFonts w:hint="eastAsia" w:ascii="黑体" w:hAnsi="黑体" w:eastAsia="黑体" w:cs="黑体"/>
          <w:sz w:val="30"/>
          <w:szCs w:val="30"/>
          <w:highlight w:val="none"/>
        </w:rPr>
      </w:pPr>
      <w:r>
        <w:rPr>
          <w:rFonts w:hint="eastAsia" w:ascii="黑体" w:hAnsi="黑体" w:eastAsia="黑体" w:cs="黑体"/>
          <w:sz w:val="30"/>
          <w:szCs w:val="30"/>
          <w:highlight w:val="none"/>
        </w:rPr>
        <w:t>一</w:t>
      </w:r>
      <w:r>
        <w:rPr>
          <w:rFonts w:hint="eastAsia" w:ascii="黑体" w:hAnsi="黑体" w:eastAsia="黑体" w:cs="黑体"/>
          <w:sz w:val="30"/>
          <w:szCs w:val="30"/>
          <w:highlight w:val="none"/>
          <w:lang w:eastAsia="zh-CN"/>
        </w:rPr>
        <w:t>、</w:t>
      </w:r>
      <w:r>
        <w:rPr>
          <w:rFonts w:hint="eastAsia" w:ascii="黑体" w:hAnsi="黑体" w:eastAsia="黑体" w:cs="黑体"/>
          <w:sz w:val="30"/>
          <w:szCs w:val="30"/>
          <w:highlight w:val="none"/>
        </w:rPr>
        <w:t>机关运行经费支出情况</w:t>
      </w:r>
    </w:p>
    <w:p w14:paraId="4A0ED956">
      <w:pPr>
        <w:keepNext w:val="0"/>
        <w:keepLines w:val="0"/>
        <w:pageBreakBefore w:val="0"/>
        <w:widowControl/>
        <w:kinsoku/>
        <w:wordWrap/>
        <w:overflowPunct/>
        <w:topLinePunct w:val="0"/>
        <w:autoSpaceDE/>
        <w:autoSpaceDN/>
        <w:bidi w:val="0"/>
        <w:adjustRightInd/>
        <w:snapToGrid w:val="0"/>
        <w:spacing w:line="590" w:lineRule="exact"/>
        <w:ind w:firstLine="600" w:firstLineChars="200"/>
        <w:jc w:val="both"/>
        <w:textAlignment w:val="auto"/>
        <w:rPr>
          <w:rFonts w:hint="eastAsia" w:ascii="Times New Roman" w:hAnsi="Times New Roman" w:eastAsia="仿宋" w:cs="Times New Roman"/>
          <w:color w:val="auto"/>
          <w:sz w:val="30"/>
          <w:lang w:val="zh-CN" w:eastAsia="zh-CN"/>
        </w:rPr>
      </w:pPr>
      <w:r>
        <w:rPr>
          <w:rFonts w:hint="eastAsia" w:ascii="Times New Roman" w:hAnsi="Times New Roman" w:eastAsia="仿宋" w:cs="Times New Roman"/>
          <w:color w:val="auto"/>
          <w:sz w:val="30"/>
          <w:lang w:val="zh-CN" w:eastAsia="zh-CN"/>
        </w:rPr>
        <w:t>华宁县第一中学为全额拨款事业单位，所以202</w:t>
      </w:r>
      <w:r>
        <w:rPr>
          <w:rFonts w:hint="eastAsia" w:ascii="Times New Roman" w:hAnsi="Times New Roman" w:eastAsia="仿宋" w:cs="Times New Roman"/>
          <w:color w:val="auto"/>
          <w:sz w:val="30"/>
          <w:lang w:val="en-US" w:eastAsia="zh-CN"/>
        </w:rPr>
        <w:t>5</w:t>
      </w:r>
      <w:r>
        <w:rPr>
          <w:rFonts w:hint="eastAsia" w:ascii="Times New Roman" w:hAnsi="Times New Roman" w:eastAsia="仿宋" w:cs="Times New Roman"/>
          <w:color w:val="auto"/>
          <w:sz w:val="30"/>
          <w:lang w:val="zh-CN" w:eastAsia="zh-CN"/>
        </w:rPr>
        <w:t>年无机关运行经费支出。</w:t>
      </w:r>
    </w:p>
    <w:p w14:paraId="17715004">
      <w:pPr>
        <w:keepNext w:val="0"/>
        <w:keepLines w:val="0"/>
        <w:pageBreakBefore w:val="0"/>
        <w:widowControl/>
        <w:kinsoku/>
        <w:wordWrap/>
        <w:overflowPunct/>
        <w:topLinePunct w:val="0"/>
        <w:autoSpaceDE/>
        <w:autoSpaceDN/>
        <w:bidi w:val="0"/>
        <w:adjustRightInd/>
        <w:snapToGrid/>
        <w:spacing w:line="590" w:lineRule="exact"/>
        <w:ind w:firstLine="600" w:firstLineChars="200"/>
        <w:textAlignment w:val="auto"/>
        <w:outlineLvl w:val="1"/>
        <w:rPr>
          <w:rFonts w:hint="eastAsia" w:ascii="黑体" w:hAnsi="黑体" w:eastAsia="黑体" w:cs="黑体"/>
          <w:color w:val="000000"/>
          <w:kern w:val="0"/>
          <w:sz w:val="30"/>
          <w:szCs w:val="30"/>
          <w:highlight w:val="none"/>
        </w:rPr>
      </w:pPr>
      <w:r>
        <w:rPr>
          <w:rFonts w:hint="eastAsia" w:ascii="黑体" w:hAnsi="黑体" w:eastAsia="黑体" w:cs="黑体"/>
          <w:color w:val="000000"/>
          <w:kern w:val="0"/>
          <w:sz w:val="30"/>
          <w:szCs w:val="30"/>
          <w:highlight w:val="none"/>
          <w:lang w:eastAsia="zh-CN"/>
        </w:rPr>
        <w:t>二、</w:t>
      </w:r>
      <w:r>
        <w:rPr>
          <w:rFonts w:hint="eastAsia" w:ascii="黑体" w:hAnsi="黑体" w:eastAsia="黑体" w:cs="黑体"/>
          <w:color w:val="000000"/>
          <w:kern w:val="0"/>
          <w:sz w:val="30"/>
          <w:szCs w:val="30"/>
          <w:highlight w:val="none"/>
        </w:rPr>
        <w:t>国有资产占用情况</w:t>
      </w:r>
    </w:p>
    <w:p w14:paraId="6B46FC71">
      <w:pPr>
        <w:keepNext w:val="0"/>
        <w:keepLines w:val="0"/>
        <w:pageBreakBefore w:val="0"/>
        <w:widowControl/>
        <w:kinsoku/>
        <w:wordWrap/>
        <w:overflowPunct/>
        <w:topLinePunct w:val="0"/>
        <w:autoSpaceDE/>
        <w:autoSpaceDN/>
        <w:bidi w:val="0"/>
        <w:adjustRightInd/>
        <w:snapToGrid w:val="0"/>
        <w:spacing w:line="590" w:lineRule="exact"/>
        <w:ind w:firstLine="600" w:firstLineChars="200"/>
        <w:jc w:val="both"/>
        <w:textAlignment w:val="auto"/>
        <w:rPr>
          <w:rFonts w:hint="eastAsia" w:ascii="Times New Roman" w:hAnsi="Times New Roman" w:eastAsia="仿宋" w:cs="Times New Roman"/>
          <w:color w:val="auto"/>
          <w:sz w:val="30"/>
          <w:lang w:val="en-US" w:eastAsia="zh-CN"/>
        </w:rPr>
      </w:pPr>
      <w:r>
        <w:rPr>
          <w:rFonts w:hint="eastAsia" w:ascii="Times New Roman" w:hAnsi="Times New Roman" w:eastAsia="仿宋" w:cs="Times New Roman"/>
          <w:color w:val="auto"/>
          <w:sz w:val="30"/>
          <w:lang w:val="en-US" w:eastAsia="zh-CN"/>
        </w:rPr>
        <w:t>截至2025年末，</w:t>
      </w:r>
      <w:r>
        <w:rPr>
          <w:rFonts w:hint="eastAsia" w:ascii="Times New Roman" w:hAnsi="Times New Roman" w:eastAsia="仿宋" w:cs="Times New Roman"/>
          <w:color w:val="auto"/>
          <w:sz w:val="30"/>
          <w:lang w:val="zh-CN" w:eastAsia="zh-CN"/>
        </w:rPr>
        <w:t>华宁县第一中学</w:t>
      </w:r>
      <w:r>
        <w:rPr>
          <w:rFonts w:hint="eastAsia" w:ascii="Times New Roman" w:hAnsi="Times New Roman" w:eastAsia="仿宋" w:cs="Times New Roman"/>
          <w:color w:val="auto"/>
          <w:sz w:val="30"/>
          <w:lang w:val="en-US" w:eastAsia="zh-CN"/>
        </w:rPr>
        <w:t>资产总额50</w:t>
      </w:r>
      <w:r>
        <w:rPr>
          <w:rFonts w:hint="eastAsia" w:eastAsia="仿宋" w:cs="Times New Roman"/>
          <w:color w:val="auto"/>
          <w:sz w:val="30"/>
          <w:lang w:val="en-US" w:eastAsia="zh-CN"/>
        </w:rPr>
        <w:t>,</w:t>
      </w:r>
      <w:r>
        <w:rPr>
          <w:rFonts w:hint="eastAsia" w:ascii="Times New Roman" w:hAnsi="Times New Roman" w:eastAsia="仿宋" w:cs="Times New Roman"/>
          <w:color w:val="auto"/>
          <w:sz w:val="30"/>
          <w:lang w:val="en-US" w:eastAsia="zh-CN"/>
        </w:rPr>
        <w:t>138</w:t>
      </w:r>
      <w:r>
        <w:rPr>
          <w:rFonts w:hint="eastAsia" w:eastAsia="仿宋" w:cs="Times New Roman"/>
          <w:color w:val="auto"/>
          <w:sz w:val="30"/>
          <w:lang w:val="en-US" w:eastAsia="zh-CN"/>
        </w:rPr>
        <w:t>,</w:t>
      </w:r>
      <w:r>
        <w:rPr>
          <w:rFonts w:hint="eastAsia" w:ascii="Times New Roman" w:hAnsi="Times New Roman" w:eastAsia="仿宋" w:cs="Times New Roman"/>
          <w:color w:val="auto"/>
          <w:sz w:val="30"/>
          <w:lang w:val="en-US" w:eastAsia="zh-CN"/>
        </w:rPr>
        <w:t>102.93元，其中，流动资产1</w:t>
      </w:r>
      <w:r>
        <w:rPr>
          <w:rFonts w:hint="eastAsia" w:eastAsia="仿宋" w:cs="Times New Roman"/>
          <w:color w:val="auto"/>
          <w:sz w:val="30"/>
          <w:lang w:val="en-US" w:eastAsia="zh-CN"/>
        </w:rPr>
        <w:t>,</w:t>
      </w:r>
      <w:r>
        <w:rPr>
          <w:rFonts w:hint="eastAsia" w:ascii="Times New Roman" w:hAnsi="Times New Roman" w:eastAsia="仿宋" w:cs="Times New Roman"/>
          <w:color w:val="auto"/>
          <w:sz w:val="30"/>
          <w:lang w:val="en-US" w:eastAsia="zh-CN"/>
        </w:rPr>
        <w:t>811</w:t>
      </w:r>
      <w:r>
        <w:rPr>
          <w:rFonts w:hint="eastAsia" w:eastAsia="仿宋" w:cs="Times New Roman"/>
          <w:color w:val="auto"/>
          <w:sz w:val="30"/>
          <w:lang w:val="en-US" w:eastAsia="zh-CN"/>
        </w:rPr>
        <w:t>,</w:t>
      </w:r>
      <w:r>
        <w:rPr>
          <w:rFonts w:hint="eastAsia" w:ascii="Times New Roman" w:hAnsi="Times New Roman" w:eastAsia="仿宋" w:cs="Times New Roman"/>
          <w:color w:val="auto"/>
          <w:sz w:val="30"/>
          <w:lang w:val="en-US" w:eastAsia="zh-CN"/>
        </w:rPr>
        <w:t>395.48元，固定资产47</w:t>
      </w:r>
      <w:r>
        <w:rPr>
          <w:rFonts w:hint="eastAsia" w:eastAsia="仿宋" w:cs="Times New Roman"/>
          <w:color w:val="auto"/>
          <w:sz w:val="30"/>
          <w:lang w:val="en-US" w:eastAsia="zh-CN"/>
        </w:rPr>
        <w:t>,</w:t>
      </w:r>
      <w:r>
        <w:rPr>
          <w:rFonts w:hint="eastAsia" w:ascii="Times New Roman" w:hAnsi="Times New Roman" w:eastAsia="仿宋" w:cs="Times New Roman"/>
          <w:color w:val="auto"/>
          <w:sz w:val="30"/>
          <w:lang w:val="en-US" w:eastAsia="zh-CN"/>
        </w:rPr>
        <w:t>893</w:t>
      </w:r>
      <w:r>
        <w:rPr>
          <w:rFonts w:hint="eastAsia" w:eastAsia="仿宋" w:cs="Times New Roman"/>
          <w:color w:val="auto"/>
          <w:sz w:val="30"/>
          <w:lang w:val="en-US" w:eastAsia="zh-CN"/>
        </w:rPr>
        <w:t>,</w:t>
      </w:r>
      <w:r>
        <w:rPr>
          <w:rFonts w:hint="eastAsia" w:ascii="Times New Roman" w:hAnsi="Times New Roman" w:eastAsia="仿宋" w:cs="Times New Roman"/>
          <w:color w:val="auto"/>
          <w:sz w:val="30"/>
          <w:lang w:val="en-US" w:eastAsia="zh-CN"/>
        </w:rPr>
        <w:t>475.98元（净值），对外投资及有价证券0.00元，在建工程0.00元，无形资产433</w:t>
      </w:r>
      <w:r>
        <w:rPr>
          <w:rFonts w:hint="eastAsia" w:eastAsia="仿宋" w:cs="Times New Roman"/>
          <w:color w:val="auto"/>
          <w:sz w:val="30"/>
          <w:lang w:val="en-US" w:eastAsia="zh-CN"/>
        </w:rPr>
        <w:t>,</w:t>
      </w:r>
      <w:r>
        <w:rPr>
          <w:rFonts w:hint="eastAsia" w:ascii="Times New Roman" w:hAnsi="Times New Roman" w:eastAsia="仿宋" w:cs="Times New Roman"/>
          <w:color w:val="auto"/>
          <w:sz w:val="30"/>
          <w:lang w:val="en-US" w:eastAsia="zh-CN"/>
        </w:rPr>
        <w:t>231.47元（净值），其他资产0.00元（净值）（具体内容详见附表）。与上年相比，本年资产总额减少2</w:t>
      </w:r>
      <w:r>
        <w:rPr>
          <w:rFonts w:hint="eastAsia" w:eastAsia="仿宋" w:cs="Times New Roman"/>
          <w:color w:val="auto"/>
          <w:sz w:val="30"/>
          <w:lang w:val="en-US" w:eastAsia="zh-CN"/>
        </w:rPr>
        <w:t>,</w:t>
      </w:r>
      <w:r>
        <w:rPr>
          <w:rFonts w:hint="eastAsia" w:ascii="Times New Roman" w:hAnsi="Times New Roman" w:eastAsia="仿宋" w:cs="Times New Roman"/>
          <w:color w:val="auto"/>
          <w:sz w:val="30"/>
          <w:lang w:val="en-US" w:eastAsia="zh-CN"/>
        </w:rPr>
        <w:t>282</w:t>
      </w:r>
      <w:r>
        <w:rPr>
          <w:rFonts w:hint="eastAsia" w:eastAsia="仿宋" w:cs="Times New Roman"/>
          <w:color w:val="auto"/>
          <w:sz w:val="30"/>
          <w:lang w:val="en-US" w:eastAsia="zh-CN"/>
        </w:rPr>
        <w:t>,</w:t>
      </w:r>
      <w:r>
        <w:rPr>
          <w:rFonts w:hint="eastAsia" w:ascii="Times New Roman" w:hAnsi="Times New Roman" w:eastAsia="仿宋" w:cs="Times New Roman"/>
          <w:color w:val="auto"/>
          <w:sz w:val="30"/>
          <w:lang w:val="en-US" w:eastAsia="zh-CN"/>
        </w:rPr>
        <w:t>813.07元，其中固定资产减少3</w:t>
      </w:r>
      <w:r>
        <w:rPr>
          <w:rFonts w:hint="eastAsia" w:eastAsia="仿宋" w:cs="Times New Roman"/>
          <w:color w:val="auto"/>
          <w:sz w:val="30"/>
          <w:lang w:val="en-US" w:eastAsia="zh-CN"/>
        </w:rPr>
        <w:t>,</w:t>
      </w:r>
      <w:r>
        <w:rPr>
          <w:rFonts w:hint="eastAsia" w:ascii="Times New Roman" w:hAnsi="Times New Roman" w:eastAsia="仿宋" w:cs="Times New Roman"/>
          <w:color w:val="auto"/>
          <w:sz w:val="30"/>
          <w:lang w:val="en-US" w:eastAsia="zh-CN"/>
        </w:rPr>
        <w:t>326</w:t>
      </w:r>
      <w:r>
        <w:rPr>
          <w:rFonts w:hint="eastAsia" w:eastAsia="仿宋" w:cs="Times New Roman"/>
          <w:color w:val="auto"/>
          <w:sz w:val="30"/>
          <w:lang w:val="en-US" w:eastAsia="zh-CN"/>
        </w:rPr>
        <w:t>,</w:t>
      </w:r>
      <w:r>
        <w:rPr>
          <w:rFonts w:hint="eastAsia" w:ascii="Times New Roman" w:hAnsi="Times New Roman" w:eastAsia="仿宋" w:cs="Times New Roman"/>
          <w:color w:val="auto"/>
          <w:sz w:val="30"/>
          <w:lang w:val="en-US" w:eastAsia="zh-CN"/>
        </w:rPr>
        <w:t>159.77元。处置房屋建筑物0平方米，账面原值0.00元；处置车辆0辆，账面原值0.00元；报废报损资产0项，账面原值0.00元，实现资产处置收入0.00元；出租房屋1,523.10平方米，账面原值2,076,945.00元，实现资产使用收入79</w:t>
      </w:r>
      <w:r>
        <w:rPr>
          <w:rFonts w:hint="eastAsia" w:eastAsia="仿宋" w:cs="Times New Roman"/>
          <w:color w:val="auto"/>
          <w:sz w:val="30"/>
          <w:lang w:val="en-US" w:eastAsia="zh-CN"/>
        </w:rPr>
        <w:t>,</w:t>
      </w:r>
      <w:r>
        <w:rPr>
          <w:rFonts w:hint="eastAsia" w:ascii="Times New Roman" w:hAnsi="Times New Roman" w:eastAsia="仿宋" w:cs="Times New Roman"/>
          <w:color w:val="auto"/>
          <w:sz w:val="30"/>
          <w:lang w:val="en-US" w:eastAsia="zh-CN"/>
        </w:rPr>
        <w:t>764.58元。</w:t>
      </w:r>
    </w:p>
    <w:p w14:paraId="52924675">
      <w:pPr>
        <w:keepNext w:val="0"/>
        <w:keepLines w:val="0"/>
        <w:pageBreakBefore w:val="0"/>
        <w:widowControl/>
        <w:kinsoku/>
        <w:wordWrap/>
        <w:overflowPunct/>
        <w:topLinePunct w:val="0"/>
        <w:autoSpaceDE/>
        <w:autoSpaceDN/>
        <w:bidi w:val="0"/>
        <w:adjustRightInd/>
        <w:snapToGrid w:val="0"/>
        <w:spacing w:line="590" w:lineRule="exact"/>
        <w:ind w:firstLine="600" w:firstLineChars="200"/>
        <w:jc w:val="both"/>
        <w:textAlignment w:val="auto"/>
        <w:rPr>
          <w:rFonts w:hint="eastAsia" w:ascii="Times New Roman" w:hAnsi="Times New Roman" w:eastAsia="仿宋" w:cs="Times New Roman"/>
          <w:color w:val="auto"/>
          <w:sz w:val="30"/>
          <w:lang w:val="en-US" w:eastAsia="zh-CN"/>
        </w:rPr>
      </w:pPr>
      <w:r>
        <w:rPr>
          <w:rFonts w:hint="eastAsia" w:ascii="Times New Roman" w:hAnsi="Times New Roman" w:eastAsia="仿宋" w:cs="Times New Roman"/>
          <w:color w:val="auto"/>
          <w:sz w:val="30"/>
          <w:lang w:val="en-US" w:eastAsia="zh-CN"/>
        </w:rPr>
        <w:t>（国有资产占有使用情况表详见附表）</w:t>
      </w:r>
    </w:p>
    <w:tbl>
      <w:tblPr>
        <w:tblStyle w:val="5"/>
        <w:tblpPr w:leftFromText="180" w:rightFromText="180" w:topFromText="100" w:bottomFromText="100" w:vertAnchor="text" w:horzAnchor="page" w:tblpX="534" w:tblpY="490"/>
        <w:tblOverlap w:val="never"/>
        <w:tblW w:w="142" w:type="dxa"/>
        <w:tblInd w:w="-15" w:type="dxa"/>
        <w:tblLayout w:type="fixed"/>
        <w:tblCellMar>
          <w:top w:w="0" w:type="dxa"/>
          <w:left w:w="0" w:type="dxa"/>
          <w:bottom w:w="0" w:type="dxa"/>
          <w:right w:w="0" w:type="dxa"/>
        </w:tblCellMar>
      </w:tblPr>
      <w:tblGrid>
        <w:gridCol w:w="142"/>
      </w:tblGrid>
      <w:tr w14:paraId="396968E5">
        <w:tblPrEx>
          <w:tblCellMar>
            <w:top w:w="0" w:type="dxa"/>
            <w:left w:w="0" w:type="dxa"/>
            <w:bottom w:w="0" w:type="dxa"/>
            <w:right w:w="0" w:type="dxa"/>
          </w:tblCellMar>
        </w:tblPrEx>
        <w:trPr>
          <w:trHeight w:val="495" w:hRule="atLeast"/>
        </w:trPr>
        <w:tc>
          <w:tcPr>
            <w:tcW w:w="142" w:type="dxa"/>
            <w:tcBorders>
              <w:top w:val="nil"/>
              <w:left w:val="nil"/>
              <w:bottom w:val="nil"/>
              <w:right w:val="nil"/>
            </w:tcBorders>
            <w:noWrap w:val="0"/>
            <w:vAlign w:val="center"/>
          </w:tcPr>
          <w:p w14:paraId="0A9FED48">
            <w:pPr>
              <w:widowControl/>
              <w:jc w:val="left"/>
              <w:rPr>
                <w:rFonts w:ascii="宋体" w:hAnsi="宋体" w:cs="宋体"/>
                <w:color w:val="000000"/>
                <w:kern w:val="0"/>
                <w:sz w:val="17"/>
                <w:szCs w:val="17"/>
                <w:highlight w:val="none"/>
              </w:rPr>
            </w:pPr>
          </w:p>
        </w:tc>
      </w:tr>
      <w:tr w14:paraId="2343CEA3">
        <w:tblPrEx>
          <w:tblCellMar>
            <w:top w:w="0" w:type="dxa"/>
            <w:left w:w="0" w:type="dxa"/>
            <w:bottom w:w="0" w:type="dxa"/>
            <w:right w:w="0" w:type="dxa"/>
          </w:tblCellMar>
        </w:tblPrEx>
        <w:trPr>
          <w:trHeight w:val="347" w:hRule="atLeast"/>
        </w:trPr>
        <w:tc>
          <w:tcPr>
            <w:tcW w:w="142" w:type="dxa"/>
            <w:tcBorders>
              <w:top w:val="nil"/>
              <w:left w:val="nil"/>
              <w:bottom w:val="nil"/>
              <w:right w:val="nil"/>
            </w:tcBorders>
            <w:noWrap w:val="0"/>
            <w:vAlign w:val="center"/>
          </w:tcPr>
          <w:p w14:paraId="2578E882">
            <w:pPr>
              <w:widowControl/>
              <w:jc w:val="left"/>
              <w:rPr>
                <w:rFonts w:ascii="宋体" w:hAnsi="宋体" w:cs="宋体"/>
                <w:color w:val="000000"/>
                <w:kern w:val="0"/>
                <w:sz w:val="17"/>
                <w:szCs w:val="17"/>
                <w:highlight w:val="none"/>
              </w:rPr>
            </w:pPr>
          </w:p>
        </w:tc>
      </w:tr>
      <w:tr w14:paraId="48E360EC">
        <w:tblPrEx>
          <w:tblCellMar>
            <w:top w:w="0" w:type="dxa"/>
            <w:left w:w="0" w:type="dxa"/>
            <w:bottom w:w="0" w:type="dxa"/>
            <w:right w:w="0" w:type="dxa"/>
          </w:tblCellMar>
        </w:tblPrEx>
        <w:trPr>
          <w:trHeight w:val="415" w:hRule="atLeast"/>
        </w:trPr>
        <w:tc>
          <w:tcPr>
            <w:tcW w:w="142" w:type="dxa"/>
            <w:tcBorders>
              <w:top w:val="nil"/>
              <w:left w:val="nil"/>
              <w:bottom w:val="nil"/>
              <w:right w:val="nil"/>
            </w:tcBorders>
            <w:noWrap w:val="0"/>
            <w:vAlign w:val="center"/>
          </w:tcPr>
          <w:p w14:paraId="7FC7CB45">
            <w:pPr>
              <w:widowControl/>
              <w:jc w:val="left"/>
              <w:rPr>
                <w:rFonts w:ascii="宋体" w:hAnsi="宋体" w:cs="宋体"/>
                <w:color w:val="000000"/>
                <w:kern w:val="0"/>
                <w:sz w:val="17"/>
                <w:szCs w:val="17"/>
                <w:highlight w:val="none"/>
              </w:rPr>
            </w:pPr>
          </w:p>
        </w:tc>
      </w:tr>
      <w:tr w14:paraId="2E3FEB7E">
        <w:tblPrEx>
          <w:tblCellMar>
            <w:top w:w="0" w:type="dxa"/>
            <w:left w:w="0" w:type="dxa"/>
            <w:bottom w:w="0" w:type="dxa"/>
            <w:right w:w="0" w:type="dxa"/>
          </w:tblCellMar>
        </w:tblPrEx>
        <w:trPr>
          <w:trHeight w:val="345" w:hRule="atLeast"/>
        </w:trPr>
        <w:tc>
          <w:tcPr>
            <w:tcW w:w="142" w:type="dxa"/>
            <w:tcBorders>
              <w:top w:val="nil"/>
              <w:left w:val="nil"/>
              <w:bottom w:val="nil"/>
              <w:right w:val="nil"/>
            </w:tcBorders>
            <w:noWrap w:val="0"/>
            <w:vAlign w:val="center"/>
          </w:tcPr>
          <w:p w14:paraId="1B9F90B5">
            <w:pPr>
              <w:widowControl/>
              <w:jc w:val="left"/>
              <w:rPr>
                <w:rFonts w:ascii="宋体" w:hAnsi="宋体" w:cs="宋体"/>
                <w:color w:val="000000"/>
                <w:kern w:val="0"/>
                <w:sz w:val="17"/>
                <w:szCs w:val="17"/>
                <w:highlight w:val="none"/>
              </w:rPr>
            </w:pPr>
          </w:p>
        </w:tc>
      </w:tr>
      <w:tr w14:paraId="14276E00">
        <w:tblPrEx>
          <w:tblCellMar>
            <w:top w:w="0" w:type="dxa"/>
            <w:left w:w="0" w:type="dxa"/>
            <w:bottom w:w="0" w:type="dxa"/>
            <w:right w:w="0" w:type="dxa"/>
          </w:tblCellMar>
        </w:tblPrEx>
        <w:trPr>
          <w:trHeight w:val="395" w:hRule="atLeast"/>
        </w:trPr>
        <w:tc>
          <w:tcPr>
            <w:tcW w:w="142" w:type="dxa"/>
            <w:tcBorders>
              <w:top w:val="nil"/>
              <w:left w:val="nil"/>
              <w:bottom w:val="nil"/>
              <w:right w:val="nil"/>
            </w:tcBorders>
            <w:noWrap w:val="0"/>
            <w:vAlign w:val="center"/>
          </w:tcPr>
          <w:p w14:paraId="46CA5544">
            <w:pPr>
              <w:widowControl/>
              <w:jc w:val="left"/>
              <w:rPr>
                <w:rFonts w:ascii="宋体" w:hAnsi="宋体" w:cs="宋体"/>
                <w:color w:val="000000"/>
                <w:kern w:val="0"/>
                <w:sz w:val="17"/>
                <w:szCs w:val="17"/>
                <w:highlight w:val="none"/>
              </w:rPr>
            </w:pPr>
          </w:p>
        </w:tc>
      </w:tr>
      <w:tr w14:paraId="50058D9B">
        <w:tblPrEx>
          <w:tblCellMar>
            <w:top w:w="0" w:type="dxa"/>
            <w:left w:w="0" w:type="dxa"/>
            <w:bottom w:w="0" w:type="dxa"/>
            <w:right w:w="0" w:type="dxa"/>
          </w:tblCellMar>
        </w:tblPrEx>
        <w:trPr>
          <w:trHeight w:val="358" w:hRule="atLeast"/>
        </w:trPr>
        <w:tc>
          <w:tcPr>
            <w:tcW w:w="142" w:type="dxa"/>
            <w:tcBorders>
              <w:top w:val="nil"/>
              <w:left w:val="nil"/>
              <w:bottom w:val="nil"/>
              <w:right w:val="nil"/>
            </w:tcBorders>
            <w:noWrap w:val="0"/>
            <w:vAlign w:val="center"/>
          </w:tcPr>
          <w:p w14:paraId="0124BAE8">
            <w:pPr>
              <w:widowControl/>
              <w:jc w:val="left"/>
              <w:rPr>
                <w:rFonts w:ascii="宋体" w:hAnsi="宋体" w:cs="宋体"/>
                <w:color w:val="000000"/>
                <w:kern w:val="0"/>
                <w:sz w:val="17"/>
                <w:szCs w:val="17"/>
                <w:highlight w:val="none"/>
              </w:rPr>
            </w:pPr>
          </w:p>
        </w:tc>
      </w:tr>
      <w:tr w14:paraId="7A2A91B1">
        <w:tblPrEx>
          <w:tblCellMar>
            <w:top w:w="0" w:type="dxa"/>
            <w:left w:w="0" w:type="dxa"/>
            <w:bottom w:w="0" w:type="dxa"/>
            <w:right w:w="0" w:type="dxa"/>
          </w:tblCellMar>
        </w:tblPrEx>
        <w:trPr>
          <w:trHeight w:val="563" w:hRule="atLeast"/>
        </w:trPr>
        <w:tc>
          <w:tcPr>
            <w:tcW w:w="142" w:type="dxa"/>
            <w:tcBorders>
              <w:top w:val="nil"/>
              <w:left w:val="nil"/>
              <w:bottom w:val="nil"/>
              <w:right w:val="nil"/>
            </w:tcBorders>
            <w:noWrap w:val="0"/>
            <w:vAlign w:val="center"/>
          </w:tcPr>
          <w:p w14:paraId="2EAB9D25">
            <w:pPr>
              <w:widowControl/>
              <w:jc w:val="left"/>
              <w:rPr>
                <w:rFonts w:ascii="宋体" w:hAnsi="宋体" w:cs="宋体"/>
                <w:color w:val="000000"/>
                <w:kern w:val="0"/>
                <w:sz w:val="17"/>
                <w:szCs w:val="17"/>
                <w:highlight w:val="none"/>
              </w:rPr>
            </w:pPr>
          </w:p>
        </w:tc>
      </w:tr>
      <w:tr w14:paraId="372EC60D">
        <w:tblPrEx>
          <w:tblCellMar>
            <w:top w:w="0" w:type="dxa"/>
            <w:left w:w="0" w:type="dxa"/>
            <w:bottom w:w="0" w:type="dxa"/>
            <w:right w:w="0" w:type="dxa"/>
          </w:tblCellMar>
        </w:tblPrEx>
        <w:trPr>
          <w:trHeight w:val="495" w:hRule="atLeast"/>
        </w:trPr>
        <w:tc>
          <w:tcPr>
            <w:tcW w:w="142" w:type="dxa"/>
            <w:noWrap w:val="0"/>
            <w:vAlign w:val="center"/>
          </w:tcPr>
          <w:p w14:paraId="7F383878">
            <w:pPr>
              <w:widowControl/>
              <w:jc w:val="left"/>
              <w:rPr>
                <w:rFonts w:ascii="Times New Roman" w:hAnsi="Times New Roman" w:eastAsia="Times New Roman"/>
                <w:kern w:val="0"/>
                <w:sz w:val="20"/>
                <w:szCs w:val="20"/>
                <w:highlight w:val="none"/>
              </w:rPr>
            </w:pPr>
          </w:p>
        </w:tc>
      </w:tr>
    </w:tbl>
    <w:p w14:paraId="61145433">
      <w:pPr>
        <w:keepNext w:val="0"/>
        <w:keepLines w:val="0"/>
        <w:pageBreakBefore w:val="0"/>
        <w:widowControl w:val="0"/>
        <w:kinsoku/>
        <w:wordWrap/>
        <w:overflowPunct/>
        <w:topLinePunct w:val="0"/>
        <w:autoSpaceDE/>
        <w:autoSpaceDN/>
        <w:bidi w:val="0"/>
        <w:adjustRightInd/>
        <w:snapToGrid/>
        <w:spacing w:line="590" w:lineRule="exact"/>
        <w:ind w:firstLine="600" w:firstLineChars="200"/>
        <w:jc w:val="left"/>
        <w:textAlignment w:val="auto"/>
        <w:outlineLvl w:val="1"/>
        <w:rPr>
          <w:rFonts w:hint="eastAsia" w:ascii="黑体" w:hAnsi="黑体" w:eastAsia="黑体" w:cs="黑体"/>
          <w:sz w:val="30"/>
          <w:szCs w:val="30"/>
          <w:highlight w:val="none"/>
        </w:rPr>
      </w:pPr>
      <w:r>
        <w:rPr>
          <w:rFonts w:hint="eastAsia" w:ascii="黑体" w:hAnsi="黑体" w:eastAsia="黑体" w:cs="黑体"/>
          <w:sz w:val="30"/>
          <w:szCs w:val="30"/>
          <w:highlight w:val="none"/>
          <w:lang w:eastAsia="zh-CN"/>
        </w:rPr>
        <w:t>三、政</w:t>
      </w:r>
      <w:r>
        <w:rPr>
          <w:rFonts w:hint="eastAsia" w:ascii="黑体" w:hAnsi="黑体" w:eastAsia="黑体" w:cs="黑体"/>
          <w:sz w:val="30"/>
          <w:szCs w:val="30"/>
          <w:highlight w:val="none"/>
        </w:rPr>
        <w:t>府采购支出情况</w:t>
      </w:r>
    </w:p>
    <w:p w14:paraId="26932BE2">
      <w:pPr>
        <w:keepNext w:val="0"/>
        <w:keepLines w:val="0"/>
        <w:pageBreakBefore w:val="0"/>
        <w:widowControl/>
        <w:kinsoku/>
        <w:wordWrap/>
        <w:overflowPunct/>
        <w:topLinePunct w:val="0"/>
        <w:autoSpaceDE/>
        <w:autoSpaceDN/>
        <w:bidi w:val="0"/>
        <w:adjustRightInd/>
        <w:snapToGrid w:val="0"/>
        <w:spacing w:line="590" w:lineRule="exact"/>
        <w:ind w:firstLine="600" w:firstLineChars="200"/>
        <w:jc w:val="both"/>
        <w:textAlignment w:val="auto"/>
        <w:rPr>
          <w:rFonts w:hint="eastAsia" w:ascii="Times New Roman" w:hAnsi="Times New Roman" w:eastAsia="仿宋" w:cs="Times New Roman"/>
          <w:color w:val="auto"/>
          <w:sz w:val="30"/>
          <w:lang w:val="en-US" w:eastAsia="zh-CN"/>
        </w:rPr>
      </w:pPr>
      <w:r>
        <w:rPr>
          <w:rFonts w:hint="eastAsia" w:ascii="Times New Roman" w:hAnsi="Times New Roman" w:eastAsia="仿宋" w:cs="Times New Roman"/>
          <w:color w:val="auto"/>
          <w:sz w:val="30"/>
          <w:lang w:val="en-US" w:eastAsia="zh-CN"/>
        </w:rPr>
        <w:t>2025年度，单位政府采购支出总额</w:t>
      </w:r>
      <w:r>
        <w:rPr>
          <w:rFonts w:hint="eastAsia" w:ascii="Times New Roman" w:hAnsi="Times New Roman" w:eastAsia="仿宋" w:cs="Times New Roman"/>
          <w:color w:val="auto"/>
          <w:sz w:val="30"/>
          <w:lang w:val="zh-CN" w:eastAsia="zh-CN"/>
        </w:rPr>
        <w:t>206</w:t>
      </w:r>
      <w:r>
        <w:rPr>
          <w:rFonts w:hint="eastAsia" w:ascii="Times New Roman" w:hAnsi="Times New Roman" w:eastAsia="仿宋" w:cs="Times New Roman"/>
          <w:color w:val="auto"/>
          <w:sz w:val="30"/>
          <w:lang w:val="en-US" w:eastAsia="zh-CN"/>
        </w:rPr>
        <w:t>,</w:t>
      </w:r>
      <w:r>
        <w:rPr>
          <w:rFonts w:hint="eastAsia" w:ascii="Times New Roman" w:hAnsi="Times New Roman" w:eastAsia="仿宋" w:cs="Times New Roman"/>
          <w:color w:val="auto"/>
          <w:sz w:val="30"/>
          <w:lang w:val="zh-CN" w:eastAsia="zh-CN"/>
        </w:rPr>
        <w:t>137.72</w:t>
      </w:r>
      <w:r>
        <w:rPr>
          <w:rFonts w:hint="eastAsia" w:ascii="Times New Roman" w:hAnsi="Times New Roman" w:eastAsia="仿宋" w:cs="Times New Roman"/>
          <w:color w:val="auto"/>
          <w:sz w:val="30"/>
          <w:lang w:val="en-US" w:eastAsia="zh-CN"/>
        </w:rPr>
        <w:t>元，其中：政府采购货物支出</w:t>
      </w:r>
      <w:r>
        <w:rPr>
          <w:rFonts w:hint="eastAsia" w:ascii="Times New Roman" w:hAnsi="Times New Roman" w:eastAsia="仿宋" w:cs="Times New Roman"/>
          <w:color w:val="auto"/>
          <w:sz w:val="30"/>
          <w:lang w:val="zh-CN" w:eastAsia="zh-CN"/>
        </w:rPr>
        <w:t>198</w:t>
      </w:r>
      <w:r>
        <w:rPr>
          <w:rFonts w:hint="eastAsia" w:ascii="Times New Roman" w:hAnsi="Times New Roman" w:eastAsia="仿宋" w:cs="Times New Roman"/>
          <w:color w:val="auto"/>
          <w:sz w:val="30"/>
          <w:lang w:val="en-US" w:eastAsia="zh-CN"/>
        </w:rPr>
        <w:t>,</w:t>
      </w:r>
      <w:r>
        <w:rPr>
          <w:rFonts w:hint="eastAsia" w:ascii="Times New Roman" w:hAnsi="Times New Roman" w:eastAsia="仿宋" w:cs="Times New Roman"/>
          <w:color w:val="auto"/>
          <w:sz w:val="30"/>
          <w:lang w:val="zh-CN" w:eastAsia="zh-CN"/>
        </w:rPr>
        <w:t>000.00</w:t>
      </w:r>
      <w:r>
        <w:rPr>
          <w:rFonts w:hint="eastAsia" w:ascii="Times New Roman" w:hAnsi="Times New Roman" w:eastAsia="仿宋" w:cs="Times New Roman"/>
          <w:color w:val="auto"/>
          <w:sz w:val="30"/>
          <w:lang w:val="en-US" w:eastAsia="zh-CN"/>
        </w:rPr>
        <w:t>元；政府采购工程支出</w:t>
      </w:r>
      <w:r>
        <w:rPr>
          <w:rFonts w:hint="eastAsia" w:ascii="Times New Roman" w:hAnsi="Times New Roman" w:eastAsia="仿宋" w:cs="Times New Roman"/>
          <w:color w:val="auto"/>
          <w:sz w:val="30"/>
          <w:lang w:val="zh-CN" w:eastAsia="zh-CN"/>
        </w:rPr>
        <w:t>0.00</w:t>
      </w:r>
      <w:r>
        <w:rPr>
          <w:rFonts w:hint="eastAsia" w:ascii="Times New Roman" w:hAnsi="Times New Roman" w:eastAsia="仿宋" w:cs="Times New Roman"/>
          <w:color w:val="auto"/>
          <w:sz w:val="30"/>
          <w:lang w:val="en-US" w:eastAsia="zh-CN"/>
        </w:rPr>
        <w:t>元；政府采购服务支出</w:t>
      </w:r>
      <w:r>
        <w:rPr>
          <w:rFonts w:hint="eastAsia" w:ascii="Times New Roman" w:hAnsi="Times New Roman" w:eastAsia="仿宋" w:cs="Times New Roman"/>
          <w:color w:val="auto"/>
          <w:sz w:val="30"/>
          <w:lang w:val="zh-CN" w:eastAsia="zh-CN"/>
        </w:rPr>
        <w:t>8</w:t>
      </w:r>
      <w:r>
        <w:rPr>
          <w:rFonts w:hint="eastAsia" w:ascii="Times New Roman" w:hAnsi="Times New Roman" w:eastAsia="仿宋" w:cs="Times New Roman"/>
          <w:color w:val="auto"/>
          <w:sz w:val="30"/>
          <w:lang w:val="en-US" w:eastAsia="zh-CN"/>
        </w:rPr>
        <w:t>,</w:t>
      </w:r>
      <w:r>
        <w:rPr>
          <w:rFonts w:hint="eastAsia" w:ascii="Times New Roman" w:hAnsi="Times New Roman" w:eastAsia="仿宋" w:cs="Times New Roman"/>
          <w:color w:val="auto"/>
          <w:sz w:val="30"/>
          <w:lang w:val="zh-CN" w:eastAsia="zh-CN"/>
        </w:rPr>
        <w:t>137.72</w:t>
      </w:r>
      <w:r>
        <w:rPr>
          <w:rFonts w:hint="eastAsia" w:ascii="Times New Roman" w:hAnsi="Times New Roman" w:eastAsia="仿宋" w:cs="Times New Roman"/>
          <w:color w:val="auto"/>
          <w:sz w:val="30"/>
          <w:lang w:val="en-US" w:eastAsia="zh-CN"/>
        </w:rPr>
        <w:t>元。授予中小企业合同金额</w:t>
      </w:r>
      <w:r>
        <w:rPr>
          <w:rFonts w:hint="eastAsia" w:ascii="Times New Roman" w:hAnsi="Times New Roman" w:eastAsia="仿宋" w:cs="Times New Roman"/>
          <w:color w:val="auto"/>
          <w:sz w:val="30"/>
          <w:lang w:val="zh-CN" w:eastAsia="zh-CN"/>
        </w:rPr>
        <w:t>206</w:t>
      </w:r>
      <w:r>
        <w:rPr>
          <w:rFonts w:hint="eastAsia" w:ascii="Times New Roman" w:hAnsi="Times New Roman" w:eastAsia="仿宋" w:cs="Times New Roman"/>
          <w:color w:val="auto"/>
          <w:sz w:val="30"/>
          <w:lang w:val="en-US" w:eastAsia="zh-CN"/>
        </w:rPr>
        <w:t>,</w:t>
      </w:r>
      <w:r>
        <w:rPr>
          <w:rFonts w:hint="eastAsia" w:ascii="Times New Roman" w:hAnsi="Times New Roman" w:eastAsia="仿宋" w:cs="Times New Roman"/>
          <w:color w:val="auto"/>
          <w:sz w:val="30"/>
          <w:lang w:val="zh-CN" w:eastAsia="zh-CN"/>
        </w:rPr>
        <w:t>137.72</w:t>
      </w:r>
      <w:r>
        <w:rPr>
          <w:rFonts w:hint="eastAsia" w:ascii="Times New Roman" w:hAnsi="Times New Roman" w:eastAsia="仿宋" w:cs="Times New Roman"/>
          <w:color w:val="auto"/>
          <w:sz w:val="30"/>
          <w:lang w:val="en-US" w:eastAsia="zh-CN"/>
        </w:rPr>
        <w:t>元，其中：授予小微企业合同金额</w:t>
      </w:r>
      <w:r>
        <w:rPr>
          <w:rFonts w:hint="eastAsia" w:ascii="Times New Roman" w:hAnsi="Times New Roman" w:eastAsia="仿宋" w:cs="Times New Roman"/>
          <w:color w:val="auto"/>
          <w:sz w:val="30"/>
          <w:lang w:val="zh-CN" w:eastAsia="zh-CN"/>
        </w:rPr>
        <w:t>20</w:t>
      </w:r>
      <w:r>
        <w:rPr>
          <w:rFonts w:hint="eastAsia" w:ascii="Times New Roman" w:hAnsi="Times New Roman" w:eastAsia="仿宋" w:cs="Times New Roman"/>
          <w:color w:val="auto"/>
          <w:sz w:val="30"/>
          <w:lang w:val="en-US" w:eastAsia="zh-CN"/>
        </w:rPr>
        <w:t>,</w:t>
      </w:r>
      <w:r>
        <w:rPr>
          <w:rFonts w:hint="eastAsia" w:ascii="Times New Roman" w:hAnsi="Times New Roman" w:eastAsia="仿宋" w:cs="Times New Roman"/>
          <w:color w:val="auto"/>
          <w:sz w:val="30"/>
          <w:lang w:val="zh-CN" w:eastAsia="zh-CN"/>
        </w:rPr>
        <w:t>6137.72</w:t>
      </w:r>
      <w:r>
        <w:rPr>
          <w:rFonts w:hint="eastAsia" w:ascii="Times New Roman" w:hAnsi="Times New Roman" w:eastAsia="仿宋" w:cs="Times New Roman"/>
          <w:color w:val="auto"/>
          <w:sz w:val="30"/>
          <w:lang w:val="en-US" w:eastAsia="zh-CN"/>
        </w:rPr>
        <w:t>元。</w:t>
      </w:r>
    </w:p>
    <w:p w14:paraId="6963BFC9">
      <w:pPr>
        <w:keepNext w:val="0"/>
        <w:keepLines w:val="0"/>
        <w:pageBreakBefore w:val="0"/>
        <w:widowControl w:val="0"/>
        <w:kinsoku/>
        <w:wordWrap/>
        <w:overflowPunct/>
        <w:topLinePunct w:val="0"/>
        <w:autoSpaceDE/>
        <w:autoSpaceDN/>
        <w:bidi w:val="0"/>
        <w:adjustRightInd/>
        <w:snapToGrid/>
        <w:spacing w:line="590" w:lineRule="exact"/>
        <w:ind w:firstLine="600" w:firstLineChars="200"/>
        <w:jc w:val="left"/>
        <w:textAlignment w:val="auto"/>
        <w:outlineLvl w:val="1"/>
        <w:rPr>
          <w:rFonts w:hint="eastAsia" w:ascii="黑体" w:hAnsi="黑体" w:eastAsia="黑体" w:cs="黑体"/>
          <w:sz w:val="30"/>
          <w:szCs w:val="30"/>
          <w:highlight w:val="none"/>
          <w:lang w:val="en-US" w:eastAsia="zh-CN"/>
        </w:rPr>
      </w:pPr>
      <w:r>
        <w:rPr>
          <w:rFonts w:hint="eastAsia" w:ascii="黑体" w:hAnsi="黑体" w:eastAsia="黑体" w:cs="黑体"/>
          <w:sz w:val="30"/>
          <w:szCs w:val="30"/>
          <w:highlight w:val="none"/>
          <w:lang w:val="en-US" w:eastAsia="zh-CN"/>
        </w:rPr>
        <w:t>四、单位绩效自评情况</w:t>
      </w:r>
    </w:p>
    <w:p w14:paraId="36AD80DC">
      <w:pPr>
        <w:keepNext w:val="0"/>
        <w:keepLines w:val="0"/>
        <w:pageBreakBefore w:val="0"/>
        <w:widowControl/>
        <w:kinsoku/>
        <w:wordWrap/>
        <w:overflowPunct/>
        <w:topLinePunct w:val="0"/>
        <w:autoSpaceDE/>
        <w:autoSpaceDN/>
        <w:bidi w:val="0"/>
        <w:adjustRightInd/>
        <w:snapToGrid w:val="0"/>
        <w:spacing w:line="590" w:lineRule="exact"/>
        <w:ind w:firstLine="600" w:firstLineChars="200"/>
        <w:jc w:val="left"/>
        <w:textAlignment w:val="auto"/>
        <w:rPr>
          <w:rFonts w:hint="eastAsia" w:ascii="仿宋_GB2312" w:hAnsi="仿宋_GB2312" w:eastAsia="仿宋_GB2312" w:cs="仿宋_GB2312"/>
          <w:sz w:val="30"/>
          <w:szCs w:val="30"/>
          <w:highlight w:val="none"/>
          <w:lang w:val="en-US" w:eastAsia="zh-CN"/>
        </w:rPr>
      </w:pPr>
      <w:r>
        <w:rPr>
          <w:rFonts w:hint="eastAsia" w:ascii="Times New Roman" w:hAnsi="Times New Roman" w:eastAsia="仿宋" w:cs="Times New Roman"/>
          <w:color w:val="auto"/>
          <w:sz w:val="30"/>
          <w:lang w:val="en-US" w:eastAsia="zh-CN"/>
        </w:rPr>
        <w:t>单位绩效自评情况详见附表。</w:t>
      </w:r>
    </w:p>
    <w:p w14:paraId="2F41A8FC">
      <w:pPr>
        <w:keepNext w:val="0"/>
        <w:keepLines w:val="0"/>
        <w:pageBreakBefore w:val="0"/>
        <w:widowControl/>
        <w:kinsoku/>
        <w:wordWrap/>
        <w:overflowPunct/>
        <w:topLinePunct w:val="0"/>
        <w:autoSpaceDE/>
        <w:autoSpaceDN/>
        <w:bidi w:val="0"/>
        <w:adjustRightInd/>
        <w:snapToGrid w:val="0"/>
        <w:spacing w:line="590" w:lineRule="exact"/>
        <w:ind w:firstLine="600" w:firstLineChars="200"/>
        <w:jc w:val="left"/>
        <w:textAlignment w:val="auto"/>
        <w:outlineLvl w:val="1"/>
        <w:rPr>
          <w:rFonts w:hint="eastAsia" w:ascii="黑体" w:hAnsi="黑体" w:eastAsia="黑体" w:cs="黑体"/>
          <w:sz w:val="30"/>
          <w:szCs w:val="30"/>
          <w:highlight w:val="none"/>
          <w:lang w:val="en-US" w:eastAsia="zh-CN"/>
        </w:rPr>
      </w:pPr>
      <w:r>
        <w:rPr>
          <w:rFonts w:hint="eastAsia" w:ascii="黑体" w:hAnsi="黑体" w:eastAsia="黑体" w:cs="黑体"/>
          <w:sz w:val="30"/>
          <w:szCs w:val="30"/>
          <w:highlight w:val="none"/>
          <w:lang w:val="en-US" w:eastAsia="zh-CN"/>
        </w:rPr>
        <w:t>五、其他重要事项情况说明</w:t>
      </w:r>
    </w:p>
    <w:p w14:paraId="27BF0A07">
      <w:pPr>
        <w:keepNext w:val="0"/>
        <w:keepLines w:val="0"/>
        <w:pageBreakBefore w:val="0"/>
        <w:widowControl/>
        <w:kinsoku/>
        <w:wordWrap/>
        <w:overflowPunct/>
        <w:topLinePunct w:val="0"/>
        <w:autoSpaceDE/>
        <w:autoSpaceDN/>
        <w:bidi w:val="0"/>
        <w:adjustRightInd/>
        <w:snapToGrid w:val="0"/>
        <w:spacing w:line="590" w:lineRule="exact"/>
        <w:ind w:firstLine="600" w:firstLineChars="200"/>
        <w:jc w:val="both"/>
        <w:textAlignment w:val="auto"/>
        <w:outlineLvl w:val="1"/>
        <w:rPr>
          <w:rFonts w:hint="eastAsia" w:ascii="仿宋_GB2312" w:hAnsi="黑体" w:eastAsia="仿宋_GB2312" w:cs="方正小标宋简体"/>
          <w:sz w:val="30"/>
          <w:szCs w:val="30"/>
          <w:highlight w:val="none"/>
        </w:rPr>
      </w:pPr>
      <w:r>
        <w:rPr>
          <w:rFonts w:hint="eastAsia" w:ascii="Times New Roman" w:hAnsi="Times New Roman" w:eastAsia="仿宋" w:cs="Times New Roman"/>
          <w:color w:val="auto"/>
          <w:sz w:val="30"/>
          <w:lang w:val="en-US" w:eastAsia="zh-CN"/>
        </w:rPr>
        <w:t>华宁县第一中学无其他重要事项说明。</w:t>
      </w:r>
    </w:p>
    <w:p w14:paraId="342B6CC3">
      <w:pPr>
        <w:keepNext w:val="0"/>
        <w:keepLines w:val="0"/>
        <w:pageBreakBefore w:val="0"/>
        <w:widowControl/>
        <w:kinsoku/>
        <w:wordWrap/>
        <w:overflowPunct/>
        <w:topLinePunct w:val="0"/>
        <w:autoSpaceDE/>
        <w:autoSpaceDN/>
        <w:bidi w:val="0"/>
        <w:adjustRightInd/>
        <w:snapToGrid w:val="0"/>
        <w:spacing w:line="590" w:lineRule="exact"/>
        <w:ind w:firstLine="600" w:firstLineChars="200"/>
        <w:jc w:val="left"/>
        <w:textAlignment w:val="auto"/>
        <w:outlineLvl w:val="1"/>
        <w:rPr>
          <w:rFonts w:hint="eastAsia" w:ascii="黑体" w:hAnsi="黑体" w:eastAsia="黑体" w:cs="黑体"/>
          <w:sz w:val="30"/>
          <w:szCs w:val="30"/>
          <w:highlight w:val="none"/>
          <w:lang w:val="en-US" w:eastAsia="zh-CN"/>
        </w:rPr>
      </w:pPr>
      <w:r>
        <w:rPr>
          <w:rFonts w:hint="eastAsia" w:ascii="黑体" w:hAnsi="黑体" w:eastAsia="黑体" w:cs="黑体"/>
          <w:sz w:val="30"/>
          <w:szCs w:val="30"/>
          <w:highlight w:val="none"/>
          <w:lang w:val="en-US" w:eastAsia="zh-CN"/>
        </w:rPr>
        <w:t>六、相关口径说明</w:t>
      </w:r>
    </w:p>
    <w:p w14:paraId="6D26E0FF">
      <w:pPr>
        <w:keepNext w:val="0"/>
        <w:keepLines w:val="0"/>
        <w:pageBreakBefore w:val="0"/>
        <w:widowControl/>
        <w:kinsoku/>
        <w:wordWrap/>
        <w:overflowPunct/>
        <w:topLinePunct w:val="0"/>
        <w:autoSpaceDE/>
        <w:autoSpaceDN/>
        <w:bidi w:val="0"/>
        <w:adjustRightInd/>
        <w:snapToGrid w:val="0"/>
        <w:spacing w:line="590" w:lineRule="exact"/>
        <w:ind w:firstLine="600" w:firstLineChars="200"/>
        <w:jc w:val="both"/>
        <w:textAlignment w:val="auto"/>
        <w:outlineLvl w:val="1"/>
        <w:rPr>
          <w:rFonts w:hint="eastAsia" w:ascii="Times New Roman" w:hAnsi="Times New Roman" w:eastAsia="仿宋" w:cs="Times New Roman"/>
          <w:color w:val="auto"/>
          <w:sz w:val="30"/>
          <w:lang w:val="en-US" w:eastAsia="zh-CN"/>
        </w:rPr>
      </w:pPr>
      <w:r>
        <w:rPr>
          <w:rFonts w:hint="eastAsia" w:ascii="Times New Roman" w:hAnsi="Times New Roman" w:eastAsia="仿宋" w:cs="Times New Roman"/>
          <w:color w:val="auto"/>
          <w:sz w:val="30"/>
          <w:lang w:val="en-US" w:eastAsia="zh-CN"/>
        </w:rPr>
        <w:t>（一）基本支出中人员经费包括工资福利支出和对个人和家庭的补助，公用经费包括商品和服务支出、资本性支出等人员经费以外的支出。</w:t>
      </w:r>
    </w:p>
    <w:p w14:paraId="206053A3">
      <w:pPr>
        <w:keepNext w:val="0"/>
        <w:keepLines w:val="0"/>
        <w:pageBreakBefore w:val="0"/>
        <w:widowControl/>
        <w:kinsoku/>
        <w:wordWrap/>
        <w:overflowPunct/>
        <w:topLinePunct w:val="0"/>
        <w:autoSpaceDE/>
        <w:autoSpaceDN/>
        <w:bidi w:val="0"/>
        <w:adjustRightInd/>
        <w:snapToGrid w:val="0"/>
        <w:spacing w:line="590" w:lineRule="exact"/>
        <w:ind w:firstLine="600" w:firstLineChars="200"/>
        <w:jc w:val="both"/>
        <w:textAlignment w:val="auto"/>
        <w:outlineLvl w:val="1"/>
        <w:rPr>
          <w:rFonts w:hint="eastAsia" w:ascii="Times New Roman" w:hAnsi="Times New Roman" w:eastAsia="仿宋" w:cs="Times New Roman"/>
          <w:color w:val="auto"/>
          <w:sz w:val="30"/>
          <w:lang w:val="en-US" w:eastAsia="zh-CN"/>
        </w:rPr>
      </w:pPr>
      <w:r>
        <w:rPr>
          <w:rFonts w:hint="eastAsia" w:ascii="Times New Roman" w:hAnsi="Times New Roman" w:eastAsia="仿宋" w:cs="Times New Roman"/>
          <w:color w:val="auto"/>
          <w:sz w:val="30"/>
          <w:lang w:val="en-US" w:eastAsia="zh-CN"/>
        </w:rPr>
        <w:t>（二）机关运行经费指行政单位和参照公务员法管理的事业单位使用一般公共预算财政拨款安排的基本支出中的公用经费支出。</w:t>
      </w:r>
    </w:p>
    <w:p w14:paraId="61E92E46">
      <w:pPr>
        <w:keepNext w:val="0"/>
        <w:keepLines w:val="0"/>
        <w:pageBreakBefore w:val="0"/>
        <w:widowControl/>
        <w:kinsoku/>
        <w:wordWrap/>
        <w:overflowPunct/>
        <w:topLinePunct w:val="0"/>
        <w:autoSpaceDE/>
        <w:autoSpaceDN/>
        <w:bidi w:val="0"/>
        <w:adjustRightInd/>
        <w:snapToGrid w:val="0"/>
        <w:spacing w:line="590" w:lineRule="exact"/>
        <w:ind w:firstLine="600" w:firstLineChars="200"/>
        <w:jc w:val="both"/>
        <w:textAlignment w:val="auto"/>
        <w:outlineLvl w:val="1"/>
        <w:rPr>
          <w:rFonts w:hint="eastAsia" w:ascii="Times New Roman" w:hAnsi="Times New Roman" w:eastAsia="仿宋" w:cs="Times New Roman"/>
          <w:color w:val="auto"/>
          <w:sz w:val="30"/>
          <w:lang w:val="en-US" w:eastAsia="zh-CN"/>
        </w:rPr>
      </w:pPr>
      <w:r>
        <w:rPr>
          <w:rFonts w:hint="eastAsia" w:ascii="Times New Roman" w:hAnsi="Times New Roman" w:eastAsia="仿宋" w:cs="Times New Roman"/>
          <w:color w:val="auto"/>
          <w:sz w:val="30"/>
          <w:lang w:val="en-US" w:eastAsia="zh-CN"/>
        </w:rPr>
        <w:t>（三）按照党中央、国务院有关文件及部门预算管理有关规定，“三公”经费包括因公出国（境）费用、公务用车购置及运行维护费、公务接待费。其中：因公出国（境）费用，指单位公务出国（境）的国际旅费、国外城市间交通费、住宿费、伙食费、培训费、公杂费等支出；公务用车购置费，指公务用车购置支出（含车辆购置税、牌照费）；公务用车运行维护费，指单位按规定保留的公务用车燃料费、维修费、过桥过路费、保险费、安全奖励费用等支出；公务用车指用于履行公务的机动车辆，包括省部级干部专车、一般公务用车和执法执勤用车；公务接待费，指单位按规定开支的各类公务接待（含外宾接待）费用。本文中公开的财政拨款“三公”经费相关数据是一般公共预算、政府性基金及国有资本经营预算财政拨款支出的相关经费，不含非财政拨款部分。</w:t>
      </w:r>
    </w:p>
    <w:p w14:paraId="47EE5EFA">
      <w:pPr>
        <w:keepNext w:val="0"/>
        <w:keepLines w:val="0"/>
        <w:pageBreakBefore w:val="0"/>
        <w:widowControl/>
        <w:kinsoku/>
        <w:wordWrap/>
        <w:overflowPunct/>
        <w:topLinePunct w:val="0"/>
        <w:autoSpaceDE/>
        <w:autoSpaceDN/>
        <w:bidi w:val="0"/>
        <w:adjustRightInd/>
        <w:snapToGrid w:val="0"/>
        <w:spacing w:line="590" w:lineRule="exact"/>
        <w:ind w:firstLine="600" w:firstLineChars="200"/>
        <w:jc w:val="both"/>
        <w:textAlignment w:val="auto"/>
        <w:outlineLvl w:val="1"/>
        <w:rPr>
          <w:rFonts w:hint="eastAsia" w:ascii="Times New Roman" w:hAnsi="Times New Roman" w:eastAsia="仿宋" w:cs="Times New Roman"/>
          <w:color w:val="auto"/>
          <w:sz w:val="30"/>
          <w:lang w:val="en-US" w:eastAsia="zh-CN"/>
        </w:rPr>
      </w:pPr>
      <w:r>
        <w:rPr>
          <w:rFonts w:hint="eastAsia" w:ascii="Times New Roman" w:hAnsi="Times New Roman" w:eastAsia="仿宋" w:cs="Times New Roman"/>
          <w:color w:val="auto"/>
          <w:sz w:val="30"/>
          <w:lang w:val="en-US" w:eastAsia="zh-CN"/>
        </w:rPr>
        <w:t>（四）本文所称财政拨款“三公”经费决算数是指各部门（含下属单位）或单位当年通过本级财政拨款和以前年度财政拨款结转结余资金安排的因公出国（境）费用、公务用车购置及运行维护费和公务接待费支出数（包括基本支出和项目支出）。</w:t>
      </w:r>
    </w:p>
    <w:p w14:paraId="034CD2B2">
      <w:pPr>
        <w:keepNext w:val="0"/>
        <w:keepLines w:val="0"/>
        <w:pageBreakBefore w:val="0"/>
        <w:widowControl w:val="0"/>
        <w:kinsoku/>
        <w:wordWrap/>
        <w:overflowPunct/>
        <w:topLinePunct w:val="0"/>
        <w:autoSpaceDE/>
        <w:autoSpaceDN/>
        <w:bidi w:val="0"/>
        <w:adjustRightInd/>
        <w:snapToGrid/>
        <w:spacing w:line="590" w:lineRule="exact"/>
        <w:jc w:val="center"/>
        <w:textAlignment w:val="auto"/>
        <w:outlineLvl w:val="0"/>
        <w:rPr>
          <w:rFonts w:hint="eastAsia" w:ascii="黑体" w:hAnsi="黑体" w:eastAsia="黑体" w:cs="方正小标宋简体"/>
          <w:sz w:val="32"/>
          <w:szCs w:val="32"/>
          <w:highlight w:val="none"/>
        </w:rPr>
      </w:pPr>
      <w:r>
        <w:rPr>
          <w:rFonts w:hint="eastAsia" w:ascii="黑体" w:hAnsi="黑体" w:eastAsia="黑体" w:cs="方正小标宋简体"/>
          <w:sz w:val="32"/>
          <w:szCs w:val="32"/>
          <w:highlight w:val="none"/>
        </w:rPr>
        <w:t>第</w:t>
      </w:r>
      <w:r>
        <w:rPr>
          <w:rFonts w:hint="eastAsia" w:ascii="黑体" w:hAnsi="黑体" w:eastAsia="黑体" w:cs="方正小标宋简体"/>
          <w:sz w:val="32"/>
          <w:szCs w:val="32"/>
          <w:highlight w:val="none"/>
          <w:lang w:eastAsia="zh-CN"/>
        </w:rPr>
        <w:t>五</w:t>
      </w:r>
      <w:r>
        <w:rPr>
          <w:rFonts w:hint="eastAsia" w:ascii="黑体" w:hAnsi="黑体" w:eastAsia="黑体" w:cs="方正小标宋简体"/>
          <w:sz w:val="32"/>
          <w:szCs w:val="32"/>
          <w:highlight w:val="none"/>
        </w:rPr>
        <w:t>部分  名词解释</w:t>
      </w:r>
    </w:p>
    <w:p w14:paraId="172C6EAE">
      <w:pPr>
        <w:keepNext w:val="0"/>
        <w:keepLines w:val="0"/>
        <w:pageBreakBefore w:val="0"/>
        <w:widowControl/>
        <w:kinsoku/>
        <w:wordWrap/>
        <w:overflowPunct/>
        <w:topLinePunct w:val="0"/>
        <w:autoSpaceDE/>
        <w:autoSpaceDN/>
        <w:bidi w:val="0"/>
        <w:adjustRightInd/>
        <w:snapToGrid w:val="0"/>
        <w:spacing w:line="590" w:lineRule="exact"/>
        <w:ind w:firstLine="600" w:firstLineChars="200"/>
        <w:jc w:val="both"/>
        <w:textAlignment w:val="auto"/>
        <w:outlineLvl w:val="1"/>
        <w:rPr>
          <w:rFonts w:hint="eastAsia" w:ascii="Times New Roman" w:hAnsi="Times New Roman" w:eastAsia="仿宋" w:cs="Times New Roman"/>
          <w:color w:val="auto"/>
          <w:sz w:val="30"/>
          <w:lang w:val="en-US" w:eastAsia="zh-CN"/>
        </w:rPr>
      </w:pPr>
      <w:r>
        <w:rPr>
          <w:rFonts w:hint="eastAsia" w:ascii="Times New Roman" w:hAnsi="Times New Roman" w:eastAsia="仿宋" w:cs="Times New Roman"/>
          <w:color w:val="auto"/>
          <w:sz w:val="30"/>
          <w:lang w:val="en-US" w:eastAsia="zh-CN"/>
        </w:rPr>
        <w:t>部门决算：各部门依据国家有关法律法规规定及其履行职能情况编制，反映部门和单位所有预算收支和结余执行结果及绩效等情况的综合性年度报告，是改进部门预算执行以及编制后续年度部门预算的参考和依据。</w:t>
      </w:r>
    </w:p>
    <w:p w14:paraId="603040F0">
      <w:pPr>
        <w:keepNext w:val="0"/>
        <w:keepLines w:val="0"/>
        <w:pageBreakBefore w:val="0"/>
        <w:widowControl/>
        <w:kinsoku/>
        <w:wordWrap/>
        <w:overflowPunct/>
        <w:topLinePunct w:val="0"/>
        <w:autoSpaceDE/>
        <w:autoSpaceDN/>
        <w:bidi w:val="0"/>
        <w:adjustRightInd/>
        <w:snapToGrid w:val="0"/>
        <w:spacing w:line="590" w:lineRule="exact"/>
        <w:ind w:firstLine="600" w:firstLineChars="200"/>
        <w:jc w:val="both"/>
        <w:textAlignment w:val="auto"/>
        <w:outlineLvl w:val="1"/>
        <w:rPr>
          <w:rFonts w:hint="eastAsia" w:ascii="Times New Roman" w:hAnsi="Times New Roman" w:eastAsia="仿宋" w:cs="Times New Roman"/>
          <w:color w:val="auto"/>
          <w:sz w:val="30"/>
          <w:lang w:val="en-US" w:eastAsia="zh-CN"/>
        </w:rPr>
      </w:pPr>
      <w:r>
        <w:rPr>
          <w:rFonts w:hint="eastAsia" w:ascii="Times New Roman" w:hAnsi="Times New Roman" w:eastAsia="仿宋" w:cs="Times New Roman"/>
          <w:color w:val="auto"/>
          <w:sz w:val="30"/>
          <w:lang w:val="en-US" w:eastAsia="zh-CN"/>
        </w:rPr>
        <w:t>财政拨款收入：本年度从本级财政部门取得的财政拨款，包括一般公共预算财政拨款和政府性基金预算财政拨款。</w:t>
      </w:r>
    </w:p>
    <w:p w14:paraId="7010775A">
      <w:pPr>
        <w:keepNext w:val="0"/>
        <w:keepLines w:val="0"/>
        <w:pageBreakBefore w:val="0"/>
        <w:widowControl/>
        <w:kinsoku/>
        <w:wordWrap/>
        <w:overflowPunct/>
        <w:topLinePunct w:val="0"/>
        <w:autoSpaceDE/>
        <w:autoSpaceDN/>
        <w:bidi w:val="0"/>
        <w:adjustRightInd/>
        <w:snapToGrid w:val="0"/>
        <w:spacing w:line="590" w:lineRule="exact"/>
        <w:ind w:firstLine="600" w:firstLineChars="200"/>
        <w:jc w:val="both"/>
        <w:textAlignment w:val="auto"/>
        <w:outlineLvl w:val="1"/>
        <w:rPr>
          <w:rFonts w:hint="eastAsia" w:ascii="Times New Roman" w:hAnsi="Times New Roman" w:eastAsia="仿宋" w:cs="Times New Roman"/>
          <w:color w:val="auto"/>
          <w:sz w:val="30"/>
          <w:lang w:val="en-US" w:eastAsia="zh-CN"/>
        </w:rPr>
      </w:pPr>
      <w:r>
        <w:rPr>
          <w:rFonts w:hint="eastAsia" w:ascii="Times New Roman" w:hAnsi="Times New Roman" w:eastAsia="仿宋" w:cs="Times New Roman"/>
          <w:color w:val="auto"/>
          <w:sz w:val="30"/>
          <w:lang w:val="en-US" w:eastAsia="zh-CN"/>
        </w:rPr>
        <w:t>事业收入：事业单位开展专业业务活动及其辅助活动取得的收入；事业单位收到的财政专户实际核拨的教育收费等资金在此反映。</w:t>
      </w:r>
    </w:p>
    <w:sectPr>
      <w:headerReference r:id="rId3" w:type="default"/>
      <w:footerReference r:id="rId4" w:type="default"/>
      <w:footerReference r:id="rId5" w:type="even"/>
      <w:pgSz w:w="11906" w:h="16838"/>
      <w:pgMar w:top="2098" w:right="1418" w:bottom="1588" w:left="1644"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script"/>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87B08B">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0D332D1F">
                          <w:pPr>
                            <w:pStyle w:val="3"/>
                            <w:rPr>
                              <w:rStyle w:val="8"/>
                            </w:rPr>
                          </w:pPr>
                          <w:r>
                            <w:rPr>
                              <w:rStyle w:val="8"/>
                              <w:sz w:val="28"/>
                              <w:szCs w:val="28"/>
                            </w:rPr>
                            <w:fldChar w:fldCharType="begin"/>
                          </w:r>
                          <w:r>
                            <w:rPr>
                              <w:rStyle w:val="8"/>
                              <w:sz w:val="28"/>
                              <w:szCs w:val="28"/>
                            </w:rPr>
                            <w:instrText xml:space="preserve">PAGE  </w:instrText>
                          </w:r>
                          <w:r>
                            <w:rPr>
                              <w:sz w:val="28"/>
                              <w:szCs w:val="28"/>
                            </w:rPr>
                            <w:fldChar w:fldCharType="separate"/>
                          </w:r>
                          <w:r>
                            <w:rPr>
                              <w:rStyle w:val="8"/>
                              <w:sz w:val="28"/>
                              <w:szCs w:val="28"/>
                            </w:rPr>
                            <w:t>8</w:t>
                          </w:r>
                          <w:r>
                            <w:rPr>
                              <w:sz w:val="28"/>
                              <w:szCs w:val="28"/>
                            </w:rP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">
              <v:fill on="f" focussize="0,0"/>
              <v:stroke on="f" weight="1.25pt"/>
              <v:imagedata o:title=""/>
              <o:lock v:ext="edit" aspectratio="f"/>
              <v:textbox inset="0mm,0mm,0mm,0mm" style="mso-fit-shape-to-text:t;">
                <w:txbxContent>
                  <w:p w14:paraId="0D332D1F">
                    <w:pPr>
                      <w:pStyle w:val="3"/>
                      <w:rPr>
                        <w:rStyle w:val="8"/>
                      </w:rPr>
                    </w:pPr>
                    <w:r>
                      <w:rPr>
                        <w:rStyle w:val="8"/>
                        <w:sz w:val="28"/>
                        <w:szCs w:val="28"/>
                      </w:rPr>
                      <w:fldChar w:fldCharType="begin"/>
                    </w:r>
                    <w:r>
                      <w:rPr>
                        <w:rStyle w:val="8"/>
                        <w:sz w:val="28"/>
                        <w:szCs w:val="28"/>
                      </w:rPr>
                      <w:instrText xml:space="preserve">PAGE  </w:instrText>
                    </w:r>
                    <w:r>
                      <w:rPr>
                        <w:sz w:val="28"/>
                        <w:szCs w:val="28"/>
                      </w:rPr>
                      <w:fldChar w:fldCharType="separate"/>
                    </w:r>
                    <w:r>
                      <w:rPr>
                        <w:rStyle w:val="8"/>
                        <w:sz w:val="28"/>
                        <w:szCs w:val="28"/>
                      </w:rPr>
                      <w:t>8</w:t>
                    </w:r>
                    <w:r>
                      <w:rPr>
                        <w:sz w:val="28"/>
                        <w:szCs w:val="28"/>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5FC2CF">
    <w:pPr>
      <w:pStyle w:val="3"/>
      <w:framePr w:wrap="around" w:vAnchor="text" w:hAnchor="margin" w:xAlign="center" w:y="1"/>
      <w:rPr>
        <w:rStyle w:val="8"/>
      </w:rPr>
    </w:pPr>
    <w:r>
      <w:rPr>
        <w:rStyle w:val="8"/>
      </w:rPr>
      <w:fldChar w:fldCharType="begin"/>
    </w:r>
    <w:r>
      <w:rPr>
        <w:rStyle w:val="8"/>
      </w:rPr>
      <w:instrText xml:space="preserve">PAGE  </w:instrText>
    </w:r>
    <w:r>
      <w:fldChar w:fldCharType="separate"/>
    </w:r>
    <w:r>
      <w:fldChar w:fldCharType="end"/>
    </w:r>
  </w:p>
  <w:p w14:paraId="3D53DECD">
    <w:pPr>
      <w:pStyle w:val="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79262A">
    <w:pPr>
      <w:pStyle w:val="4"/>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53208E"/>
    <w:multiLevelType w:val="singleLevel"/>
    <w:tmpl w:val="0053208E"/>
    <w:lvl w:ilvl="0" w:tentative="0">
      <w:start w:val="4"/>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NotTrackMoves/>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2781BC8"/>
    <w:rsid w:val="02ED0055"/>
    <w:rsid w:val="06F6187A"/>
    <w:rsid w:val="0AEA1ED8"/>
    <w:rsid w:val="0DEA1BCB"/>
    <w:rsid w:val="130C13C8"/>
    <w:rsid w:val="19EA6888"/>
    <w:rsid w:val="21845A3B"/>
    <w:rsid w:val="270E64D3"/>
    <w:rsid w:val="39CE5114"/>
    <w:rsid w:val="415A2C36"/>
  </w:rsids>
  <m:mathPr>
    <m:mathFont m:val="Cambria Math"/>
    <m:brkBin m:val="before"/>
    <m:brkBinSub m:val="--"/>
    <m:smallFrac m:val="0"/>
    <m:dispDef/>
    <m:lMargin m:val="0"/>
    <m:rMargin m:val="0"/>
    <m:defJc m:val="centerGroup"/>
    <m:preSp m:val="0"/>
    <m:postSp m:val="0"/>
    <m:interSp m:val="0"/>
    <m:intraSp m:val="0"/>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pPr>
      <w:spacing w:before="93" w:beforeLines="30"/>
    </w:pPr>
    <w:rPr>
      <w:rFonts w:ascii="仿宋_GB2312" w:eastAsia="仿宋_GB2312"/>
      <w:sz w:val="30"/>
    </w:rPr>
  </w:style>
  <w:style w:type="paragraph" w:styleId="3">
    <w:name w:val="footer"/>
    <w:basedOn w:val="1"/>
    <w:qFormat/>
    <w:uiPriority w:val="0"/>
    <w:pPr>
      <w:tabs>
        <w:tab w:val="center" w:pos="4153"/>
        <w:tab w:val="right" w:pos="8306"/>
      </w:tabs>
      <w:snapToGrid w:val="0"/>
      <w:jc w:val="left"/>
    </w:pPr>
    <w:rPr>
      <w:sz w:val="18"/>
      <w:szCs w:val="18"/>
    </w:rPr>
  </w:style>
  <w:style w:type="paragraph" w:styleId="4">
    <w:name w:val="header"/>
    <w:basedOn w:val="1"/>
    <w:qFormat/>
    <w:uiPriority w:val="0"/>
    <w:pPr>
      <w:pBdr>
        <w:bottom w:val="single" w:color="auto" w:sz="6" w:space="1"/>
      </w:pBdr>
      <w:tabs>
        <w:tab w:val="center" w:pos="4153"/>
        <w:tab w:val="right" w:pos="8306"/>
      </w:tabs>
      <w:snapToGrid w:val="0"/>
      <w:jc w:val="center"/>
    </w:pPr>
    <w:rPr>
      <w:sz w:val="18"/>
      <w:szCs w:val="18"/>
    </w:rPr>
  </w:style>
  <w:style w:type="table" w:styleId="6">
    <w:name w:val="Table Grid"/>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8">
    <w:name w:val="page number"/>
    <w:basedOn w:val="7"/>
    <w:qFormat/>
    <w:uiPriority w:val="0"/>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Properties xmlns="http://schemas.openxmlformats.org/officeDocument/2006/custom-properties" xmlns:vt="http://schemas.openxmlformats.org/officeDocument/2006/docPropsVTypes">
  <property fmtid="{D5CDD505-2E9C-101B-9397-08002B2CF9AE}" pid="2" name="KSOProductBuildVer">
    <vt:lpwstr>2052-11.8.2.12309</vt:lpwstr>
  </property>
  <property fmtid="{D5CDD505-2E9C-101B-9397-08002B2CF9AE}" pid="3" name="ICV">
    <vt:lpwstr>D45296F7F2444F3C8CDB43DA2E9FADD3</vt:lpwstr>
  </property>
</Properties>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6d45e77-971f-416c-b774-5035270e0adf}">
  <ds:schemaRefs/>
</ds:datastoreItem>
</file>

<file path=docProps/app.xml><?xml version="1.0" encoding="utf-8"?>
<Properties xmlns="http://schemas.openxmlformats.org/officeDocument/2006/extended-properties" xmlns:vt="http://schemas.openxmlformats.org/officeDocument/2006/docPropsVTypes">
  <Template>Normal.dotm</Template>
  <Company>云南省财政厅</Company>
  <Pages>17</Pages>
  <Words>6504</Words>
  <Characters>7801</Characters>
  <Lines>0</Lines>
  <Paragraphs>0</Paragraphs>
  <TotalTime>598</TotalTime>
  <ScaleCrop>false</ScaleCrop>
  <LinksUpToDate>false</LinksUpToDate>
  <CharactersWithSpaces>7821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2024-06-03T01:34:00Z</dcterms:created>
  <dc:creator>李瑞婷_x0028_拟稿_x0029_</dc:creator>
  <cp:lastModifiedBy>三月的米店</cp:lastModifiedBy>
  <cp:lastPrinted>2024-07-30T06:24:00Z</cp:lastPrinted>
  <dcterms:modified xsi:type="dcterms:W3CDTF">2026-10-15T02:52:48Z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D0EEDEF146214445B5A0CE33AB39AE9B_13</vt:lpwstr>
  </property>
  <property fmtid="{D5CDD505-2E9C-101B-9397-08002B2CF9AE}" pid="4" name="KSOTemplateDocerSaveRecord">
    <vt:lpwstr>eyJoZGlkIjoiOWJkMDNmNWMzNDk5MzY0YWFjZWY3NjU2OGYxMDEyNTEiLCJ1c2VySWQiOiIyOTAzMDY3NjIifQ==</vt:lpwstr>
  </property>
</Properties>
</file>