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5FF54">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华宁县职业高级中学2025</w:t>
      </w:r>
      <w:r>
        <w:rPr>
          <w:rFonts w:hint="eastAsia" w:ascii="方正小标宋简体" w:hAnsi="方正小标宋简体" w:eastAsia="方正小标宋简体" w:cs="方正小标宋简体"/>
          <w:sz w:val="36"/>
          <w:szCs w:val="36"/>
          <w:highlight w:val="none"/>
        </w:rPr>
        <w:t>年度部门决算</w:t>
      </w:r>
    </w:p>
    <w:p w14:paraId="188BA487">
      <w:pPr>
        <w:jc w:val="center"/>
        <w:rPr>
          <w:rFonts w:hint="eastAsia" w:ascii="方正小标宋简体" w:hAnsi="方正小标宋简体" w:eastAsia="方正小标宋简体" w:cs="方正小标宋简体"/>
          <w:sz w:val="36"/>
          <w:szCs w:val="36"/>
          <w:highlight w:val="none"/>
        </w:rPr>
      </w:pPr>
    </w:p>
    <w:p w14:paraId="4100C91F">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346ECCF">
      <w:pPr>
        <w:jc w:val="left"/>
        <w:rPr>
          <w:rFonts w:hint="eastAsia" w:ascii="黑体" w:hAnsi="黑体" w:eastAsia="黑体"/>
          <w:sz w:val="30"/>
          <w:szCs w:val="30"/>
          <w:highlight w:val="none"/>
        </w:rPr>
      </w:pPr>
    </w:p>
    <w:p w14:paraId="6883A00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0DB4CCA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6A2EC260">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0E2745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24A6A375">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2940A4D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7015D2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0220F36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18AD528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6A8999D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DD3F83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0C2C00D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453249E">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3F704A6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AC6C7D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8DF9FB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223776E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7558BBF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2E78BA3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4AC2994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2770C3CF">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DA653F0">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57E2F40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C3AABB4">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1D0F13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22DA8BA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324520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6B1C1A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5432E98">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BF65F82">
      <w:pPr>
        <w:jc w:val="center"/>
        <w:rPr>
          <w:rFonts w:hint="eastAsia" w:ascii="黑体" w:hAnsi="黑体" w:eastAsia="黑体"/>
          <w:sz w:val="32"/>
          <w:szCs w:val="32"/>
          <w:highlight w:val="none"/>
        </w:rPr>
      </w:pPr>
    </w:p>
    <w:p w14:paraId="24F4E36D">
      <w:pPr>
        <w:jc w:val="center"/>
        <w:rPr>
          <w:rFonts w:hint="eastAsia" w:ascii="黑体" w:hAnsi="黑体" w:eastAsia="黑体"/>
          <w:sz w:val="32"/>
          <w:szCs w:val="32"/>
          <w:highlight w:val="none"/>
        </w:rPr>
      </w:pPr>
    </w:p>
    <w:p w14:paraId="11A4A49F">
      <w:pPr>
        <w:jc w:val="center"/>
        <w:rPr>
          <w:rFonts w:hint="eastAsia" w:ascii="黑体" w:hAnsi="黑体" w:eastAsia="黑体"/>
          <w:sz w:val="32"/>
          <w:szCs w:val="32"/>
          <w:highlight w:val="none"/>
        </w:rPr>
      </w:pPr>
    </w:p>
    <w:p w14:paraId="1D10238D">
      <w:pPr>
        <w:jc w:val="center"/>
        <w:rPr>
          <w:rFonts w:hint="eastAsia" w:ascii="黑体" w:hAnsi="黑体" w:eastAsia="黑体"/>
          <w:sz w:val="32"/>
          <w:szCs w:val="32"/>
          <w:highlight w:val="none"/>
        </w:rPr>
      </w:pPr>
    </w:p>
    <w:p w14:paraId="66E4C94D">
      <w:pPr>
        <w:jc w:val="center"/>
        <w:rPr>
          <w:rFonts w:hint="eastAsia" w:ascii="黑体" w:hAnsi="黑体" w:eastAsia="黑体"/>
          <w:sz w:val="32"/>
          <w:szCs w:val="32"/>
          <w:highlight w:val="none"/>
        </w:rPr>
      </w:pPr>
    </w:p>
    <w:p w14:paraId="7256FD0A">
      <w:pPr>
        <w:jc w:val="center"/>
        <w:rPr>
          <w:rFonts w:hint="eastAsia" w:ascii="黑体" w:hAnsi="黑体" w:eastAsia="黑体"/>
          <w:sz w:val="32"/>
          <w:szCs w:val="32"/>
          <w:highlight w:val="none"/>
        </w:rPr>
      </w:pPr>
    </w:p>
    <w:p w14:paraId="5DFBAA05">
      <w:pPr>
        <w:jc w:val="center"/>
        <w:rPr>
          <w:rFonts w:hint="eastAsia" w:ascii="黑体" w:hAnsi="黑体" w:eastAsia="黑体"/>
          <w:sz w:val="32"/>
          <w:szCs w:val="32"/>
          <w:highlight w:val="none"/>
        </w:rPr>
      </w:pPr>
    </w:p>
    <w:p w14:paraId="532B35A4">
      <w:pPr>
        <w:jc w:val="both"/>
        <w:rPr>
          <w:rFonts w:hint="eastAsia" w:ascii="黑体" w:hAnsi="黑体" w:eastAsia="黑体"/>
          <w:sz w:val="32"/>
          <w:szCs w:val="32"/>
          <w:highlight w:val="none"/>
        </w:rPr>
      </w:pPr>
    </w:p>
    <w:p w14:paraId="6529736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4C3B1A75">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12A0CDD">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1、宣传贯彻执行党和国家的教育方针、政策、法律法规等，坚持依法治教、依法治学，贯彻执行县教育局的行政规章制度。</w:t>
      </w:r>
    </w:p>
    <w:p w14:paraId="0110122F">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2、配合县委、县人民政府制定符合党的教育方针和国家教育法律法规以及本校实际的教育发展规划和学校布局调整规划，并抓好组织实施和落实工作。</w:t>
      </w:r>
    </w:p>
    <w:p w14:paraId="53FA26E5">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3、巩固提高“两基”工作成果和整体水平，配合各级人民政府依法动员、组织适龄青少年入学，严格控制辍学，推进职业教育。 </w:t>
      </w:r>
    </w:p>
    <w:p w14:paraId="095BBB5A">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4、 在上级县委、县政府和教育行政部门的领导下，认真落实学生的困难补贴，让广大学生享受到国家的惠民政策。</w:t>
      </w:r>
    </w:p>
    <w:p w14:paraId="6D89B335">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5、在县教育局和县委、县政府的领导下，积极开展学校的安全管理，不断提高安全管理水平，努力营造安全和谐的校园环境</w:t>
      </w:r>
    </w:p>
    <w:p w14:paraId="3F3E284C">
      <w:pPr>
        <w:spacing w:line="60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6、在县教育局和县委、县政府的领导下，谋划布局，全面推进职业教育的发展。</w:t>
      </w:r>
    </w:p>
    <w:p w14:paraId="501F3343">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06AC2390">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39D4371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我单位共设置5个内设机构，包括：行政办公室、总务处、政教处、教务处和团委等。</w:t>
      </w:r>
    </w:p>
    <w:p w14:paraId="622BE5E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我单位为基层预算单位，无下属单位。</w:t>
      </w:r>
    </w:p>
    <w:p w14:paraId="664D5CFD">
      <w:pPr>
        <w:spacing w:line="600" w:lineRule="exact"/>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决算单位构成</w:t>
      </w:r>
    </w:p>
    <w:p w14:paraId="591D6DBC">
      <w:pPr>
        <w:spacing w:line="60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华宁县职业高级中学</w:t>
      </w:r>
      <w:r>
        <w:rPr>
          <w:rFonts w:hint="eastAsia" w:ascii="仿宋" w:hAnsi="仿宋" w:eastAsia="仿宋" w:cs="仿宋"/>
          <w:color w:val="auto"/>
          <w:sz w:val="30"/>
          <w:szCs w:val="30"/>
          <w:highlight w:val="none"/>
          <w:lang w:eastAsia="zh-CN"/>
        </w:rPr>
        <w:t>作为二级预算单位</w:t>
      </w:r>
      <w:r>
        <w:rPr>
          <w:rFonts w:hint="eastAsia" w:ascii="仿宋" w:hAnsi="仿宋" w:eastAsia="仿宋" w:cs="仿宋"/>
          <w:color w:val="auto"/>
          <w:sz w:val="30"/>
          <w:szCs w:val="30"/>
          <w:highlight w:val="none"/>
        </w:rPr>
        <w:t>纳入</w:t>
      </w:r>
      <w:r>
        <w:rPr>
          <w:rFonts w:hint="eastAsia" w:ascii="仿宋" w:hAnsi="仿宋" w:eastAsia="仿宋" w:cs="仿宋"/>
          <w:color w:val="auto"/>
          <w:sz w:val="30"/>
          <w:szCs w:val="30"/>
          <w:highlight w:val="none"/>
          <w:lang w:val="en-US" w:eastAsia="zh-CN"/>
        </w:rPr>
        <w:t>华宁县教育体育局的2025</w:t>
      </w:r>
      <w:r>
        <w:rPr>
          <w:rFonts w:hint="eastAsia" w:ascii="仿宋" w:hAnsi="仿宋" w:eastAsia="仿宋" w:cs="仿宋"/>
          <w:color w:val="auto"/>
          <w:sz w:val="30"/>
          <w:szCs w:val="30"/>
          <w:highlight w:val="none"/>
        </w:rPr>
        <w:t>年度部门决算编报</w:t>
      </w:r>
      <w:r>
        <w:rPr>
          <w:rFonts w:hint="eastAsia" w:ascii="仿宋" w:hAnsi="仿宋" w:eastAsia="仿宋" w:cs="仿宋"/>
          <w:color w:val="auto"/>
          <w:sz w:val="30"/>
          <w:szCs w:val="30"/>
          <w:highlight w:val="none"/>
          <w:lang w:eastAsia="zh-CN"/>
        </w:rPr>
        <w:t>范围</w:t>
      </w:r>
      <w:r>
        <w:rPr>
          <w:rFonts w:hint="eastAsia" w:ascii="仿宋" w:hAnsi="仿宋" w:eastAsia="仿宋" w:cs="仿宋"/>
          <w:color w:val="auto"/>
          <w:sz w:val="30"/>
          <w:szCs w:val="30"/>
          <w:highlight w:val="none"/>
        </w:rPr>
        <w:t>。</w:t>
      </w:r>
    </w:p>
    <w:p w14:paraId="5A60945C">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B1E39FE">
      <w:pPr>
        <w:spacing w:line="600" w:lineRule="exact"/>
        <w:ind w:firstLine="600" w:firstLineChars="200"/>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sz w:val="30"/>
          <w:szCs w:val="30"/>
          <w:highlight w:val="none"/>
          <w:lang w:eastAsia="zh-CN"/>
        </w:rPr>
        <w:t>我单位</w:t>
      </w: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rPr>
        <w:t>年末</w:t>
      </w:r>
      <w:r>
        <w:rPr>
          <w:rFonts w:hint="eastAsia" w:ascii="仿宋" w:hAnsi="仿宋" w:eastAsia="仿宋" w:cs="仿宋"/>
          <w:color w:val="auto"/>
          <w:sz w:val="30"/>
          <w:szCs w:val="30"/>
          <w:highlight w:val="none"/>
          <w:lang w:eastAsia="zh-CN"/>
        </w:rPr>
        <w:t>编制内</w:t>
      </w:r>
      <w:r>
        <w:rPr>
          <w:rFonts w:hint="eastAsia" w:ascii="仿宋" w:hAnsi="仿宋" w:eastAsia="仿宋" w:cs="仿宋"/>
          <w:color w:val="auto"/>
          <w:sz w:val="30"/>
          <w:szCs w:val="30"/>
          <w:highlight w:val="none"/>
        </w:rPr>
        <w:t>实有人员</w:t>
      </w:r>
      <w:r>
        <w:rPr>
          <w:rFonts w:hint="eastAsia" w:ascii="仿宋" w:hAnsi="仿宋" w:eastAsia="仿宋" w:cs="仿宋"/>
          <w:color w:val="auto"/>
          <w:sz w:val="30"/>
          <w:szCs w:val="30"/>
          <w:highlight w:val="none"/>
          <w:lang w:val="en-US" w:eastAsia="zh-CN"/>
        </w:rPr>
        <w:t>60</w:t>
      </w:r>
      <w:r>
        <w:rPr>
          <w:rFonts w:hint="eastAsia" w:ascii="仿宋" w:hAnsi="仿宋" w:eastAsia="仿宋" w:cs="仿宋"/>
          <w:color w:val="auto"/>
          <w:kern w:val="0"/>
          <w:sz w:val="30"/>
          <w:szCs w:val="30"/>
          <w:highlight w:val="none"/>
        </w:rPr>
        <w:t>人。</w:t>
      </w:r>
      <w:r>
        <w:rPr>
          <w:rFonts w:hint="eastAsia" w:ascii="仿宋" w:hAnsi="仿宋" w:eastAsia="仿宋" w:cs="仿宋"/>
          <w:b w:val="0"/>
          <w:bCs w:val="0"/>
          <w:color w:val="auto"/>
          <w:kern w:val="0"/>
          <w:sz w:val="30"/>
          <w:szCs w:val="30"/>
          <w:highlight w:val="none"/>
          <w:lang w:eastAsia="zh-CN"/>
        </w:rPr>
        <w:t>包括</w:t>
      </w:r>
      <w:r>
        <w:rPr>
          <w:rFonts w:hint="eastAsia" w:ascii="仿宋" w:hAnsi="仿宋" w:eastAsia="仿宋" w:cs="仿宋"/>
          <w:color w:val="auto"/>
          <w:kern w:val="0"/>
          <w:sz w:val="30"/>
          <w:szCs w:val="30"/>
          <w:highlight w:val="none"/>
          <w:lang w:eastAsia="zh-CN"/>
        </w:rPr>
        <w:t>财政拨款开支经费的</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公务员</w:t>
      </w:r>
      <w:r>
        <w:rPr>
          <w:rFonts w:hint="eastAsia" w:ascii="仿宋" w:hAnsi="仿宋" w:eastAsia="仿宋" w:cs="仿宋"/>
          <w:color w:val="auto"/>
          <w:sz w:val="30"/>
          <w:szCs w:val="30"/>
          <w:highlight w:val="none"/>
          <w:lang w:val="en-US" w:eastAsia="zh-CN"/>
        </w:rPr>
        <w:t>0</w:t>
      </w:r>
      <w:r>
        <w:rPr>
          <w:rFonts w:hint="eastAsia" w:ascii="仿宋" w:hAnsi="仿宋" w:eastAsia="仿宋" w:cs="仿宋"/>
          <w:color w:val="auto"/>
          <w:kern w:val="0"/>
          <w:sz w:val="30"/>
          <w:szCs w:val="30"/>
          <w:highlight w:val="none"/>
        </w:rPr>
        <w:t>人，</w:t>
      </w:r>
      <w:r>
        <w:rPr>
          <w:rFonts w:hint="eastAsia" w:ascii="仿宋" w:hAnsi="仿宋" w:eastAsia="仿宋" w:cs="仿宋"/>
          <w:color w:val="auto"/>
          <w:kern w:val="0"/>
          <w:sz w:val="30"/>
          <w:szCs w:val="30"/>
          <w:highlight w:val="none"/>
          <w:lang w:eastAsia="zh-CN"/>
        </w:rPr>
        <w:t>参照公务员法管理人员</w:t>
      </w:r>
      <w:r>
        <w:rPr>
          <w:rFonts w:hint="eastAsia" w:ascii="仿宋" w:hAnsi="仿宋" w:eastAsia="仿宋" w:cs="仿宋"/>
          <w:color w:val="auto"/>
          <w:sz w:val="30"/>
          <w:szCs w:val="30"/>
          <w:highlight w:val="none"/>
          <w:lang w:val="en-US" w:eastAsia="zh-CN"/>
        </w:rPr>
        <w:t>0</w:t>
      </w:r>
      <w:r>
        <w:rPr>
          <w:rFonts w:hint="eastAsia" w:ascii="仿宋" w:hAnsi="仿宋" w:eastAsia="仿宋" w:cs="仿宋"/>
          <w:color w:val="auto"/>
          <w:kern w:val="0"/>
          <w:sz w:val="30"/>
          <w:szCs w:val="30"/>
          <w:highlight w:val="none"/>
        </w:rPr>
        <w:t>人</w:t>
      </w:r>
      <w:r>
        <w:rPr>
          <w:rFonts w:hint="eastAsia" w:ascii="仿宋" w:hAnsi="仿宋" w:eastAsia="仿宋" w:cs="仿宋"/>
          <w:color w:val="auto"/>
          <w:kern w:val="0"/>
          <w:sz w:val="30"/>
          <w:szCs w:val="30"/>
          <w:highlight w:val="none"/>
          <w:lang w:eastAsia="zh-CN"/>
        </w:rPr>
        <w:t>，</w:t>
      </w:r>
      <w:r>
        <w:rPr>
          <w:rFonts w:hint="eastAsia" w:ascii="仿宋" w:hAnsi="仿宋" w:eastAsia="仿宋" w:cs="仿宋"/>
          <w:color w:val="auto"/>
          <w:kern w:val="0"/>
          <w:sz w:val="30"/>
          <w:szCs w:val="30"/>
          <w:highlight w:val="none"/>
        </w:rPr>
        <w:t>事业管理人员和专业技术人员</w:t>
      </w:r>
      <w:r>
        <w:rPr>
          <w:rFonts w:hint="eastAsia" w:ascii="仿宋" w:hAnsi="仿宋" w:eastAsia="仿宋" w:cs="仿宋"/>
          <w:color w:val="auto"/>
          <w:sz w:val="30"/>
          <w:szCs w:val="30"/>
          <w:highlight w:val="none"/>
          <w:lang w:val="en-US" w:eastAsia="zh-CN"/>
        </w:rPr>
        <w:t>60</w:t>
      </w:r>
      <w:r>
        <w:rPr>
          <w:rFonts w:hint="eastAsia" w:ascii="仿宋" w:hAnsi="仿宋" w:eastAsia="仿宋" w:cs="仿宋"/>
          <w:color w:val="auto"/>
          <w:kern w:val="0"/>
          <w:sz w:val="30"/>
          <w:szCs w:val="30"/>
          <w:highlight w:val="none"/>
        </w:rPr>
        <w:t>人，机关和事业工人</w:t>
      </w:r>
      <w:r>
        <w:rPr>
          <w:rFonts w:hint="eastAsia" w:ascii="仿宋" w:hAnsi="仿宋" w:eastAsia="仿宋" w:cs="仿宋"/>
          <w:color w:val="auto"/>
          <w:sz w:val="30"/>
          <w:szCs w:val="30"/>
          <w:highlight w:val="none"/>
          <w:lang w:val="en-US" w:eastAsia="zh-CN"/>
        </w:rPr>
        <w:t>0</w:t>
      </w:r>
      <w:r>
        <w:rPr>
          <w:rFonts w:hint="eastAsia" w:ascii="仿宋" w:hAnsi="仿宋" w:eastAsia="仿宋" w:cs="仿宋"/>
          <w:color w:val="auto"/>
          <w:kern w:val="0"/>
          <w:sz w:val="30"/>
          <w:szCs w:val="30"/>
          <w:highlight w:val="none"/>
        </w:rPr>
        <w:t>人</w:t>
      </w:r>
      <w:r>
        <w:rPr>
          <w:rFonts w:hint="eastAsia" w:ascii="仿宋" w:hAnsi="仿宋" w:eastAsia="仿宋" w:cs="仿宋"/>
          <w:color w:val="auto"/>
          <w:kern w:val="0"/>
          <w:sz w:val="30"/>
          <w:szCs w:val="30"/>
          <w:highlight w:val="none"/>
          <w:lang w:eastAsia="zh-CN"/>
        </w:rPr>
        <w:t>；经费自理人员</w:t>
      </w:r>
      <w:r>
        <w:rPr>
          <w:rFonts w:hint="eastAsia" w:ascii="仿宋" w:hAnsi="仿宋" w:eastAsia="仿宋" w:cs="仿宋"/>
          <w:color w:val="auto"/>
          <w:sz w:val="30"/>
          <w:szCs w:val="30"/>
          <w:highlight w:val="none"/>
          <w:lang w:val="en-US" w:eastAsia="zh-CN"/>
        </w:rPr>
        <w:t>0</w:t>
      </w:r>
      <w:r>
        <w:rPr>
          <w:rFonts w:hint="eastAsia" w:ascii="仿宋" w:hAnsi="仿宋" w:eastAsia="仿宋" w:cs="仿宋"/>
          <w:color w:val="auto"/>
          <w:kern w:val="0"/>
          <w:sz w:val="30"/>
          <w:szCs w:val="30"/>
          <w:highlight w:val="none"/>
        </w:rPr>
        <w:t>人</w:t>
      </w:r>
      <w:r>
        <w:rPr>
          <w:rFonts w:hint="eastAsia" w:ascii="仿宋" w:hAnsi="仿宋" w:eastAsia="仿宋" w:cs="仿宋"/>
          <w:color w:val="auto"/>
          <w:kern w:val="0"/>
          <w:sz w:val="30"/>
          <w:szCs w:val="30"/>
          <w:highlight w:val="none"/>
          <w:lang w:eastAsia="zh-CN"/>
        </w:rPr>
        <w:t>。</w:t>
      </w:r>
    </w:p>
    <w:p w14:paraId="36685225">
      <w:pPr>
        <w:spacing w:line="600" w:lineRule="exact"/>
        <w:ind w:firstLine="600" w:firstLineChars="200"/>
        <w:rPr>
          <w:rFonts w:hint="eastAsia" w:ascii="仿宋" w:hAnsi="仿宋" w:eastAsia="仿宋" w:cs="仿宋"/>
          <w:color w:val="auto"/>
          <w:kern w:val="0"/>
          <w:sz w:val="30"/>
          <w:szCs w:val="30"/>
          <w:highlight w:val="none"/>
          <w:lang w:val="en-US" w:eastAsia="zh-CN"/>
        </w:rPr>
      </w:pPr>
      <w:r>
        <w:rPr>
          <w:rFonts w:hint="eastAsia" w:ascii="仿宋" w:hAnsi="仿宋" w:eastAsia="仿宋" w:cs="仿宋"/>
          <w:color w:val="auto"/>
          <w:sz w:val="30"/>
          <w:szCs w:val="30"/>
          <w:highlight w:val="none"/>
          <w:lang w:eastAsia="zh-CN"/>
        </w:rPr>
        <w:t>我单位</w:t>
      </w: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rPr>
        <w:t>年末</w:t>
      </w:r>
      <w:r>
        <w:rPr>
          <w:rFonts w:hint="eastAsia" w:ascii="仿宋" w:hAnsi="仿宋" w:eastAsia="仿宋" w:cs="仿宋"/>
          <w:color w:val="auto"/>
          <w:sz w:val="30"/>
          <w:szCs w:val="30"/>
          <w:highlight w:val="none"/>
          <w:lang w:eastAsia="zh-CN"/>
        </w:rPr>
        <w:t>其他人员</w:t>
      </w:r>
      <w:r>
        <w:rPr>
          <w:rFonts w:hint="eastAsia" w:ascii="仿宋" w:hAnsi="仿宋" w:eastAsia="仿宋" w:cs="仿宋"/>
          <w:color w:val="auto"/>
          <w:sz w:val="30"/>
          <w:szCs w:val="30"/>
          <w:highlight w:val="none"/>
          <w:lang w:val="en-US" w:eastAsia="zh-CN"/>
        </w:rPr>
        <w:t>0人。包括财政拨款开支经费的人员0</w:t>
      </w:r>
      <w:r>
        <w:rPr>
          <w:rFonts w:hint="eastAsia" w:ascii="仿宋" w:hAnsi="仿宋" w:eastAsia="仿宋" w:cs="仿宋"/>
          <w:color w:val="auto"/>
          <w:sz w:val="30"/>
          <w:szCs w:val="30"/>
          <w:highlight w:val="none"/>
          <w:lang w:eastAsia="zh-CN"/>
        </w:rPr>
        <w:t>人；经费自理人员</w:t>
      </w:r>
      <w:r>
        <w:rPr>
          <w:rFonts w:hint="eastAsia" w:ascii="仿宋" w:hAnsi="仿宋" w:eastAsia="仿宋" w:cs="仿宋"/>
          <w:color w:val="auto"/>
          <w:sz w:val="30"/>
          <w:szCs w:val="30"/>
          <w:highlight w:val="none"/>
          <w:lang w:val="en-US" w:eastAsia="zh-CN"/>
        </w:rPr>
        <w:t>0</w:t>
      </w:r>
      <w:r>
        <w:rPr>
          <w:rFonts w:hint="eastAsia" w:ascii="仿宋" w:hAnsi="仿宋" w:eastAsia="仿宋" w:cs="仿宋"/>
          <w:color w:val="auto"/>
          <w:sz w:val="30"/>
          <w:szCs w:val="30"/>
          <w:highlight w:val="none"/>
          <w:lang w:eastAsia="zh-CN"/>
        </w:rPr>
        <w:t>人。</w:t>
      </w:r>
    </w:p>
    <w:p w14:paraId="33D22F5F">
      <w:pPr>
        <w:spacing w:line="600" w:lineRule="exact"/>
        <w:ind w:firstLine="600" w:firstLineChars="200"/>
        <w:rPr>
          <w:rFonts w:hint="eastAsia" w:ascii="仿宋" w:hAnsi="仿宋" w:eastAsia="仿宋" w:cs="仿宋"/>
          <w:i w:val="0"/>
          <w:iCs w:val="0"/>
          <w:color w:val="auto"/>
          <w:kern w:val="0"/>
          <w:sz w:val="30"/>
          <w:szCs w:val="30"/>
          <w:highlight w:val="none"/>
          <w:lang w:val="en-US" w:eastAsia="zh-CN"/>
        </w:rPr>
      </w:pPr>
      <w:r>
        <w:rPr>
          <w:rFonts w:hint="eastAsia" w:ascii="仿宋" w:hAnsi="仿宋" w:eastAsia="仿宋" w:cs="仿宋"/>
          <w:i w:val="0"/>
          <w:iCs w:val="0"/>
          <w:color w:val="auto"/>
          <w:kern w:val="0"/>
          <w:sz w:val="30"/>
          <w:szCs w:val="30"/>
          <w:highlight w:val="none"/>
          <w:lang w:eastAsia="zh-CN"/>
        </w:rPr>
        <w:t>年末单位发放离退休费的</w:t>
      </w:r>
      <w:r>
        <w:rPr>
          <w:rFonts w:hint="eastAsia" w:ascii="仿宋" w:hAnsi="仿宋" w:eastAsia="仿宋" w:cs="仿宋"/>
          <w:i w:val="0"/>
          <w:iCs w:val="0"/>
          <w:strike w:val="0"/>
          <w:dstrike w:val="0"/>
          <w:color w:val="auto"/>
          <w:kern w:val="0"/>
          <w:sz w:val="30"/>
          <w:szCs w:val="30"/>
          <w:highlight w:val="none"/>
        </w:rPr>
        <w:t>离</w:t>
      </w:r>
      <w:r>
        <w:rPr>
          <w:rFonts w:hint="eastAsia" w:ascii="仿宋" w:hAnsi="仿宋" w:eastAsia="仿宋" w:cs="仿宋"/>
          <w:i w:val="0"/>
          <w:iCs w:val="0"/>
          <w:color w:val="auto"/>
          <w:kern w:val="0"/>
          <w:sz w:val="30"/>
          <w:szCs w:val="30"/>
          <w:highlight w:val="none"/>
        </w:rPr>
        <w:t>退休人员</w:t>
      </w:r>
      <w:r>
        <w:rPr>
          <w:rFonts w:hint="eastAsia" w:ascii="仿宋" w:hAnsi="仿宋" w:eastAsia="仿宋" w:cs="仿宋"/>
          <w:i w:val="0"/>
          <w:iCs w:val="0"/>
          <w:color w:val="auto"/>
          <w:kern w:val="0"/>
          <w:sz w:val="30"/>
          <w:szCs w:val="30"/>
          <w:highlight w:val="none"/>
          <w:lang w:eastAsia="zh-CN"/>
        </w:rPr>
        <w:t>共计</w:t>
      </w:r>
      <w:r>
        <w:rPr>
          <w:rFonts w:hint="eastAsia" w:ascii="仿宋" w:hAnsi="仿宋" w:eastAsia="仿宋" w:cs="仿宋"/>
          <w:i w:val="0"/>
          <w:iCs w:val="0"/>
          <w:color w:val="auto"/>
          <w:sz w:val="30"/>
          <w:szCs w:val="30"/>
          <w:highlight w:val="none"/>
          <w:lang w:val="en-US" w:eastAsia="zh-CN"/>
        </w:rPr>
        <w:t>22</w:t>
      </w:r>
      <w:r>
        <w:rPr>
          <w:rFonts w:hint="eastAsia" w:ascii="仿宋" w:hAnsi="仿宋" w:eastAsia="仿宋" w:cs="仿宋"/>
          <w:i w:val="0"/>
          <w:iCs w:val="0"/>
          <w:color w:val="auto"/>
          <w:kern w:val="0"/>
          <w:sz w:val="30"/>
          <w:szCs w:val="30"/>
          <w:highlight w:val="none"/>
        </w:rPr>
        <w:t>人</w:t>
      </w:r>
      <w:r>
        <w:rPr>
          <w:rFonts w:hint="eastAsia" w:ascii="仿宋" w:hAnsi="仿宋" w:eastAsia="仿宋" w:cs="仿宋"/>
          <w:i w:val="0"/>
          <w:iCs w:val="0"/>
          <w:color w:val="auto"/>
          <w:kern w:val="0"/>
          <w:sz w:val="30"/>
          <w:szCs w:val="30"/>
          <w:highlight w:val="none"/>
          <w:lang w:eastAsia="zh-CN"/>
        </w:rPr>
        <w:t>（</w:t>
      </w:r>
      <w:r>
        <w:rPr>
          <w:rFonts w:hint="eastAsia" w:ascii="仿宋" w:hAnsi="仿宋" w:eastAsia="仿宋" w:cs="仿宋"/>
          <w:i w:val="0"/>
          <w:iCs w:val="0"/>
          <w:strike w:val="0"/>
          <w:dstrike w:val="0"/>
          <w:color w:val="auto"/>
          <w:kern w:val="0"/>
          <w:sz w:val="30"/>
          <w:szCs w:val="30"/>
          <w:highlight w:val="none"/>
        </w:rPr>
        <w:t>离休</w:t>
      </w:r>
      <w:r>
        <w:rPr>
          <w:rFonts w:hint="eastAsia" w:ascii="仿宋" w:hAnsi="仿宋" w:eastAsia="仿宋" w:cs="仿宋"/>
          <w:i w:val="0"/>
          <w:iCs w:val="0"/>
          <w:strike w:val="0"/>
          <w:dstrike w:val="0"/>
          <w:color w:val="auto"/>
          <w:sz w:val="30"/>
          <w:szCs w:val="30"/>
          <w:highlight w:val="none"/>
          <w:lang w:val="en-US" w:eastAsia="zh-CN"/>
        </w:rPr>
        <w:t>0</w:t>
      </w:r>
      <w:r>
        <w:rPr>
          <w:rFonts w:hint="eastAsia" w:ascii="仿宋" w:hAnsi="仿宋" w:eastAsia="仿宋" w:cs="仿宋"/>
          <w:i w:val="0"/>
          <w:iCs w:val="0"/>
          <w:strike w:val="0"/>
          <w:dstrike w:val="0"/>
          <w:color w:val="auto"/>
          <w:kern w:val="0"/>
          <w:sz w:val="30"/>
          <w:szCs w:val="30"/>
          <w:highlight w:val="none"/>
        </w:rPr>
        <w:t>人，</w:t>
      </w:r>
      <w:r>
        <w:rPr>
          <w:rFonts w:hint="eastAsia" w:ascii="仿宋" w:hAnsi="仿宋" w:eastAsia="仿宋" w:cs="仿宋"/>
          <w:i w:val="0"/>
          <w:iCs w:val="0"/>
          <w:color w:val="auto"/>
          <w:kern w:val="0"/>
          <w:sz w:val="30"/>
          <w:szCs w:val="30"/>
          <w:highlight w:val="none"/>
        </w:rPr>
        <w:t>退休</w:t>
      </w:r>
      <w:r>
        <w:rPr>
          <w:rFonts w:hint="eastAsia" w:ascii="仿宋" w:hAnsi="仿宋" w:eastAsia="仿宋" w:cs="仿宋"/>
          <w:i w:val="0"/>
          <w:iCs w:val="0"/>
          <w:color w:val="auto"/>
          <w:sz w:val="30"/>
          <w:szCs w:val="30"/>
          <w:highlight w:val="none"/>
          <w:lang w:val="en-US" w:eastAsia="zh-CN"/>
        </w:rPr>
        <w:t>0</w:t>
      </w:r>
      <w:r>
        <w:rPr>
          <w:rFonts w:hint="eastAsia" w:ascii="仿宋" w:hAnsi="仿宋" w:eastAsia="仿宋" w:cs="仿宋"/>
          <w:i w:val="0"/>
          <w:iCs w:val="0"/>
          <w:color w:val="auto"/>
          <w:kern w:val="0"/>
          <w:sz w:val="30"/>
          <w:szCs w:val="30"/>
          <w:highlight w:val="none"/>
        </w:rPr>
        <w:t>人</w:t>
      </w:r>
      <w:r>
        <w:rPr>
          <w:rFonts w:hint="eastAsia" w:ascii="仿宋" w:hAnsi="仿宋" w:eastAsia="仿宋" w:cs="仿宋"/>
          <w:i w:val="0"/>
          <w:iCs w:val="0"/>
          <w:color w:val="auto"/>
          <w:kern w:val="0"/>
          <w:sz w:val="30"/>
          <w:szCs w:val="30"/>
          <w:highlight w:val="none"/>
          <w:lang w:eastAsia="zh-CN"/>
        </w:rPr>
        <w:t>）。年末</w:t>
      </w:r>
      <w:r>
        <w:rPr>
          <w:rFonts w:hint="eastAsia" w:ascii="仿宋" w:hAnsi="仿宋" w:eastAsia="仿宋" w:cs="仿宋"/>
          <w:i w:val="0"/>
          <w:iCs w:val="0"/>
          <w:color w:val="auto"/>
          <w:kern w:val="0"/>
          <w:sz w:val="30"/>
          <w:szCs w:val="30"/>
          <w:highlight w:val="none"/>
        </w:rPr>
        <w:t>由养老保险基金发放养老金的</w:t>
      </w:r>
      <w:r>
        <w:rPr>
          <w:rFonts w:hint="eastAsia" w:ascii="仿宋" w:hAnsi="仿宋" w:eastAsia="仿宋" w:cs="仿宋"/>
          <w:i w:val="0"/>
          <w:iCs w:val="0"/>
          <w:strike w:val="0"/>
          <w:dstrike w:val="0"/>
          <w:color w:val="auto"/>
          <w:kern w:val="0"/>
          <w:sz w:val="30"/>
          <w:szCs w:val="30"/>
          <w:highlight w:val="none"/>
        </w:rPr>
        <w:t>离</w:t>
      </w:r>
      <w:r>
        <w:rPr>
          <w:rFonts w:hint="eastAsia" w:ascii="仿宋" w:hAnsi="仿宋" w:eastAsia="仿宋" w:cs="仿宋"/>
          <w:i w:val="0"/>
          <w:iCs w:val="0"/>
          <w:color w:val="auto"/>
          <w:kern w:val="0"/>
          <w:sz w:val="30"/>
          <w:szCs w:val="30"/>
          <w:highlight w:val="none"/>
        </w:rPr>
        <w:t>退休人员</w:t>
      </w:r>
      <w:r>
        <w:rPr>
          <w:rFonts w:hint="eastAsia" w:ascii="仿宋" w:hAnsi="仿宋" w:eastAsia="仿宋" w:cs="仿宋"/>
          <w:i w:val="0"/>
          <w:iCs w:val="0"/>
          <w:color w:val="auto"/>
          <w:kern w:val="0"/>
          <w:sz w:val="30"/>
          <w:szCs w:val="30"/>
          <w:highlight w:val="none"/>
          <w:lang w:val="en-US" w:eastAsia="zh-CN"/>
        </w:rPr>
        <w:t>22人</w:t>
      </w:r>
      <w:r>
        <w:rPr>
          <w:rFonts w:hint="eastAsia" w:ascii="仿宋" w:hAnsi="仿宋" w:eastAsia="仿宋" w:cs="仿宋"/>
          <w:i w:val="0"/>
          <w:iCs w:val="0"/>
          <w:color w:val="auto"/>
          <w:kern w:val="0"/>
          <w:sz w:val="30"/>
          <w:szCs w:val="30"/>
          <w:highlight w:val="none"/>
          <w:lang w:eastAsia="zh-CN"/>
        </w:rPr>
        <w:t>（</w:t>
      </w:r>
      <w:r>
        <w:rPr>
          <w:rFonts w:hint="eastAsia" w:ascii="仿宋" w:hAnsi="仿宋" w:eastAsia="仿宋" w:cs="仿宋"/>
          <w:i w:val="0"/>
          <w:iCs w:val="0"/>
          <w:strike w:val="0"/>
          <w:dstrike w:val="0"/>
          <w:color w:val="auto"/>
          <w:kern w:val="0"/>
          <w:sz w:val="30"/>
          <w:szCs w:val="30"/>
          <w:highlight w:val="none"/>
        </w:rPr>
        <w:t>离休</w:t>
      </w:r>
      <w:r>
        <w:rPr>
          <w:rFonts w:hint="eastAsia" w:ascii="仿宋" w:hAnsi="仿宋" w:eastAsia="仿宋" w:cs="仿宋"/>
          <w:i w:val="0"/>
          <w:iCs w:val="0"/>
          <w:strike w:val="0"/>
          <w:dstrike w:val="0"/>
          <w:color w:val="auto"/>
          <w:sz w:val="30"/>
          <w:szCs w:val="30"/>
          <w:highlight w:val="none"/>
          <w:lang w:val="en-US" w:eastAsia="zh-CN"/>
        </w:rPr>
        <w:t>0</w:t>
      </w:r>
      <w:r>
        <w:rPr>
          <w:rFonts w:hint="eastAsia" w:ascii="仿宋" w:hAnsi="仿宋" w:eastAsia="仿宋" w:cs="仿宋"/>
          <w:i w:val="0"/>
          <w:iCs w:val="0"/>
          <w:strike w:val="0"/>
          <w:dstrike w:val="0"/>
          <w:color w:val="auto"/>
          <w:kern w:val="0"/>
          <w:sz w:val="30"/>
          <w:szCs w:val="30"/>
          <w:highlight w:val="none"/>
        </w:rPr>
        <w:t>人，</w:t>
      </w:r>
      <w:r>
        <w:rPr>
          <w:rFonts w:hint="eastAsia" w:ascii="仿宋" w:hAnsi="仿宋" w:eastAsia="仿宋" w:cs="仿宋"/>
          <w:i w:val="0"/>
          <w:iCs w:val="0"/>
          <w:color w:val="auto"/>
          <w:kern w:val="0"/>
          <w:sz w:val="30"/>
          <w:szCs w:val="30"/>
          <w:highlight w:val="none"/>
        </w:rPr>
        <w:t>退休</w:t>
      </w:r>
      <w:r>
        <w:rPr>
          <w:rFonts w:hint="eastAsia" w:ascii="仿宋" w:hAnsi="仿宋" w:eastAsia="仿宋" w:cs="仿宋"/>
          <w:i w:val="0"/>
          <w:iCs w:val="0"/>
          <w:color w:val="auto"/>
          <w:sz w:val="30"/>
          <w:szCs w:val="30"/>
          <w:highlight w:val="none"/>
          <w:lang w:val="en-US" w:eastAsia="zh-CN"/>
        </w:rPr>
        <w:t>22</w:t>
      </w:r>
      <w:r>
        <w:rPr>
          <w:rFonts w:hint="eastAsia" w:ascii="仿宋" w:hAnsi="仿宋" w:eastAsia="仿宋" w:cs="仿宋"/>
          <w:i w:val="0"/>
          <w:iCs w:val="0"/>
          <w:color w:val="auto"/>
          <w:kern w:val="0"/>
          <w:sz w:val="30"/>
          <w:szCs w:val="30"/>
          <w:highlight w:val="none"/>
        </w:rPr>
        <w:t>人</w:t>
      </w:r>
      <w:r>
        <w:rPr>
          <w:rFonts w:hint="eastAsia" w:ascii="仿宋" w:hAnsi="仿宋" w:eastAsia="仿宋" w:cs="仿宋"/>
          <w:i w:val="0"/>
          <w:iCs w:val="0"/>
          <w:color w:val="auto"/>
          <w:kern w:val="0"/>
          <w:sz w:val="30"/>
          <w:szCs w:val="30"/>
          <w:highlight w:val="none"/>
          <w:lang w:eastAsia="zh-CN"/>
        </w:rPr>
        <w:t>），</w:t>
      </w:r>
      <w:r>
        <w:rPr>
          <w:rFonts w:hint="eastAsia" w:ascii="仿宋" w:hAnsi="仿宋" w:eastAsia="仿宋" w:cs="仿宋"/>
          <w:i w:val="0"/>
          <w:iCs w:val="0"/>
          <w:color w:val="auto"/>
          <w:kern w:val="0"/>
          <w:sz w:val="30"/>
          <w:szCs w:val="30"/>
          <w:highlight w:val="none"/>
          <w:lang w:val="en-US" w:eastAsia="zh-CN"/>
        </w:rPr>
        <w:t>年末学生693人，年末遗属1人。</w:t>
      </w:r>
    </w:p>
    <w:p w14:paraId="10A352FD">
      <w:pPr>
        <w:spacing w:line="600" w:lineRule="exact"/>
        <w:ind w:firstLine="600" w:firstLineChars="200"/>
        <w:rPr>
          <w:rFonts w:hint="eastAsia" w:ascii="仿宋" w:hAnsi="仿宋" w:eastAsia="仿宋" w:cs="仿宋"/>
          <w:i w:val="0"/>
          <w:iCs w:val="0"/>
          <w:color w:val="auto"/>
          <w:kern w:val="0"/>
          <w:sz w:val="30"/>
          <w:szCs w:val="30"/>
          <w:highlight w:val="none"/>
          <w:lang w:eastAsia="zh-CN"/>
        </w:rPr>
      </w:pPr>
      <w:r>
        <w:rPr>
          <w:rFonts w:hint="eastAsia" w:ascii="仿宋" w:hAnsi="仿宋" w:eastAsia="仿宋" w:cs="仿宋"/>
          <w:i w:val="0"/>
          <w:iCs w:val="0"/>
          <w:color w:val="auto"/>
          <w:kern w:val="0"/>
          <w:sz w:val="30"/>
          <w:szCs w:val="30"/>
          <w:highlight w:val="none"/>
          <w:lang w:val="en-US" w:eastAsia="zh-CN"/>
        </w:rPr>
        <w:t>车辆编制1辆，在编实有车辆1辆，超编0辆。</w:t>
      </w:r>
    </w:p>
    <w:p w14:paraId="796027E0">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197666E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一、 强化政治引领，党的建设与思政工作开创新局面</w:t>
      </w:r>
    </w:p>
    <w:p w14:paraId="6212DA7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学校党支部始终坚持把政治建设摆在首位，以习近平新时代中国特色社会主义思想为指导，深入学习贯彻党的二十大及二十届三中、四中全会精神，确保党的教育方针在学校得到全面贯彻落实。</w:t>
      </w:r>
    </w:p>
    <w:p w14:paraId="2E4375B4">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（一）深化理论武装，筑牢思想根基。 </w:t>
      </w:r>
    </w:p>
    <w:p w14:paraId="64609FC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严格落实“第一议题”制度，通过支委会、校长扩大会、“三会一课”、主题党日、教职工政治学习等多种形式，及时跟进学习习近平总书记最新重要讲话和指示批示精神。全年组织开展各类专题学习、研讨、党课、师德师风学习教育累计超过50场次，引导全体教职工深刻领悟“两个确立”的决定性意义，不断增强“四个意识”、坚定“四个自信”、做到“两个维护”，切实提升了政治判断力、政治领悟力、政治执行力。</w:t>
      </w:r>
    </w:p>
    <w:p w14:paraId="47EB1E3E">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（二）抓实作风建设，涵养清风正气。 </w:t>
      </w:r>
    </w:p>
    <w:p w14:paraId="1CDDB886">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高标准、严要求开展深入贯彻中央八项规定精神学习教育，累计组织集中学习研讨9次，开展典型案例警示教育3次，参观警示教育基地1次，开展谈心谈话30余人次。坚持问题导向，班子成员带头深入查摆“四风”等方面突出问题5个，立行立改4个，纳入台账持续整改1个。通过“开门搞教育”，召开座谈会、开展满意度测评等方式，广泛听取师生家长意见，着力解决了一批如食堂就餐拥挤、宿舍设施老旧、学生管理精细化不足等急难愁盼问题，有效提升了师生满意度。</w:t>
      </w:r>
    </w:p>
    <w:p w14:paraId="074FC552">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（三）构建育人体系，提升思政实效。 </w:t>
      </w:r>
    </w:p>
    <w:p w14:paraId="5CC803C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认真贯彻落实习近平总书记关于思政课建设的重要指示精神，着力构建"三全育人"大格局。一是配齐建强思政教师队伍，现有专职思政课教师7人。二是制定并实施《华宁职中思政课一体化建设方案》，立足华宁陶艺非遗传承，融入区域大中小学思政课一体化建设体系，推动课程、师资、实践资源纵向衔接、横向贯通。三是积极整合校内外资源，组织学生赴红色教育基地、社会实践基地开展"行走的思政课"等实践教学3次，参与学生600余人次，显著增强了思政课的吸引力和感染力。四是完善家校社协同机制，成立家长委员会，开展家访100余人次，形成育人合力。</w:t>
      </w:r>
    </w:p>
    <w:p w14:paraId="2D3C2DD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（四）统领提级管理，保障改革方向。</w:t>
      </w:r>
    </w:p>
    <w:p w14:paraId="53C4AF0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学校党支部将提级管理工作作为年度核心政治任务来抓。高度重视，成立校级提级管理工作领导小组，制定《华宁县职业高级中学推进提级管理一体化高质量发展实施方案》。同时，主动向华宁县委、县政府、县教体局汇报，推动成立由县级领导任组长的县级提级管理工作领导小组，并推动制定《华宁县推进华宁县职业高级中学提级管理工作实施细则》，从组织上和制度上确保了提级管理工作的正确方向和有力推进。</w:t>
      </w:r>
    </w:p>
    <w:p w14:paraId="32892AB4">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（五）夯实组织基础，建强教师队伍。 </w:t>
      </w:r>
    </w:p>
    <w:p w14:paraId="5C5E3E9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严格执行“三会一课”、组织生活会、民主评议党员等制度，全年召开支委会20余次、党员大会4次、开展主题党日12次、专题党课4次，党内政治生活质量不断提升。将师德师风作为评价教师的第一标准，组织专题学习《新时代中小学教师职业行为十项准则》，落实负面清单和“一票否决”制，评选表彰校级“优秀教师”、“德育标兵”、“优秀班主任”等10名，发挥榜样引领作用。实施教师能力提升工程，组织教师参加各级各类培训60人次，开展校本培训2次，组织公开课、示范课等45次，实施“老带新”结对机制，助力青年教师快速成长。</w:t>
      </w:r>
    </w:p>
    <w:p w14:paraId="4A2D8AB2">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（六）推动融合发展，引领学校发展。 </w:t>
      </w:r>
    </w:p>
    <w:p w14:paraId="557B1EEB">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坚持党建工作与教育教学中心工作、提级管理重点任务深度融合，以高质量党建引领学校高质量发展。在实施新职教高考改革、推进与总校一体化发展、加强教育信息化建设、保障校园安全稳定等重点工作中，充分发挥党支部的战斗堡垒作用和党员教师的先锋模范作用。学校2025年职教高考取得历史性突破，本科上线54人，录取57人，位列全市第2名、全省第7名，教育教学质量显著提升。</w:t>
      </w:r>
    </w:p>
    <w:p w14:paraId="3949706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 坚持立德树人，德育与学生管理工作取得新成效</w:t>
      </w:r>
    </w:p>
    <w:p w14:paraId="2D749AF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政教处紧紧围绕“管理育人、活动育人、文化育人”的理念，以德育“五步法”管理制度为抓手，不断提升德育工作的针对性和实效性。</w:t>
      </w:r>
    </w:p>
    <w:p w14:paraId="1C5F25B6">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（一）加强队伍建设，提升管理能力。 </w:t>
      </w:r>
    </w:p>
    <w:p w14:paraId="674C1C8A">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班主任是德育工作的骨干力量。本年度，政教处通过举办4期班主任培训及研讨会、组织参加县级班主任主题班会竞赛（赵颖老师获一等奖、李薇老师获二等奖）、定期召开班主任工作例会、实施量化考核与文明班级评选有机结合等方式，切实提升了班主任队伍的专业素养和班级管理水平。同时，注重班主任后备力量的培养，实施“传帮带”机制。</w:t>
      </w:r>
    </w:p>
    <w:p w14:paraId="3EA7AAA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（二）狠抓常规教育，规范学生行为。 </w:t>
      </w:r>
    </w:p>
    <w:p w14:paraId="5680343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持之以恒强化学生日常行为规范管理。利用国旗下讲话、主题班会、黑板报、校园广播、宣传栏等多种阵地，定内容、定专题对学生进行思想道德、文明礼仪、安全纪律教育。坚持抓好课间操质量，将其作为展现校风校貌的重要窗口。持续深入推行《德育“五步法”管理制度》，对学生中日常突出的违纪违规问题进行规范化处理，本学年共处理学生违纪违规事件120多起，涉及学生140多人次，日常违纪现象明显减少，学生精神面貌和文明素养显著提升。</w:t>
      </w:r>
    </w:p>
    <w:p w14:paraId="35F7407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（三）强化心理关怀，促进健康成长。 </w:t>
      </w:r>
    </w:p>
    <w:p w14:paraId="35B7A6A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将心理健康教育摆在重要位置。10月份组织了对全校学生的心理健康测评，建立《学生心理健康档案》200余份，对筛查出的36名有情绪困扰的学生进行重点关注。邀请专业心理师为全校女生举办专题讲座。学校心理咨询室在工作日常态化开放，由兼职心理教师为学生提供个体辅导。构建“班主任—心理教师—家长”协同干预机制，本年度成功帮助36名学生缓解心理困扰，确保了学生身心和谐发展。</w:t>
      </w:r>
    </w:p>
    <w:p w14:paraId="2592B52D">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（四）丰富德育载体，拓展育人途径。 </w:t>
      </w:r>
    </w:p>
    <w:p w14:paraId="1515D9E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精心组织系列特色德育活动。一是布置形式多样的“德育作业”，涵盖社区服务、职业体验、研学旅行、主题探究、创意表达、家庭角色体验等，让学生在实践体验中提升综合素养。二是开展“校园爱心接力，红十字会爱心捐赠在行动”活动，接收捐赠衣物30套并普及急救知识。三是组织全校师生观看央视《2025年开学第一课》。四是顺利完成高一新生为期15天的军训工作，强化了国防观念和纪律意识。五是按月开展“青春期心理健康”、“传承中华优秀传统文化”、“国家公祭日”、“尊师重教”等主题教育活动，促进学生德智体美劳全面发展。</w:t>
      </w:r>
    </w:p>
    <w:p w14:paraId="204B2456">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（五）深化住宿管理，优化育人环境。 </w:t>
      </w:r>
    </w:p>
    <w:p w14:paraId="7A00A63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对学生宿舍实行半军事化闭环管理，细化舍管员职责，实行24小时值守。要求带班领导、值班教师、舍管员和班主任密切关心住宿生思想、学习和生活状况，发现问题及时教育与引导。本学期学生宿舍管理规范有序，为学生创造了安全、文明、温馨的住宿环境。</w:t>
      </w:r>
    </w:p>
    <w:p w14:paraId="4718514B">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三、 聚焦内涵发展，教育教学与科研工作实现新跨越</w:t>
      </w:r>
    </w:p>
    <w:p w14:paraId="730A80C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教务处与全体教师紧紧围绕人才培养目标，以提级管理为契机，深化教学改革，强化技能培养，积极融入玉溪现代职业教育"128"体系。</w:t>
      </w:r>
    </w:p>
    <w:p w14:paraId="3A2F370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（一）强化教学常规，保障运行有序。 </w:t>
      </w:r>
    </w:p>
    <w:p w14:paraId="5A63AC0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优化课程体系，科学制定教学计划，精准完成排课调课，确保课程开出率100%。健全“校-处-教研组”三级教学督导机制，通过听课评课（每学期不少于20节）、教学检查、学生反馈等方式加强过程监控。规范考务与学籍管理，严格执行考试规范，推行“理论+实操”双考核模式，严肃考风考纪。</w:t>
      </w:r>
    </w:p>
    <w:p w14:paraId="4CB64B2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（二）深化教学改革，贴合职业需求。 </w:t>
      </w:r>
    </w:p>
    <w:p w14:paraId="6DCEFBB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积极推进"三教"（教师、教材、教法）改革。遵循"总校+教学点"一体化发展要求，在学院教务处的指导下，结合华宁产业特色，进行了专业调整：保留民间传统工艺专业，新增新能源汽车运用与维修专业。优化课程内容，增加实操案例和新技术知识。推广"项目式教学"、"案例教学"、"理实一体化教学"等模式，减少纯理论讲授，增加学生动手机会。 </w:t>
      </w:r>
    </w:p>
    <w:p w14:paraId="5FE038C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（三）突出技能培养，提升就业竞争力。 </w:t>
      </w:r>
    </w:p>
    <w:p w14:paraId="6F17C5E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完善实训教学体系，确保各专业实训课时占比不低于50%，加强实训过程管理与安全教育。我校制定《华宁县职业高级中学2024年质量提升资金使用方案》，主要用于新建新能源汽车设备与维修专业实训室等，积极拓展校内外实训基地，升级实训设备。坚持以赛促学、以证促能，积极组织学生参加各级职业技能竞赛，在2025年云南省职业院校技能大赛中，陶艺专业教师及学生获得一等奖1项、三等奖1项，在2025年玉溪市职业院校教师综合素养展评中语文学科组荣获一等奖，数学学科荣获二等奖，体育与健康荣获二、三等奖。</w:t>
      </w:r>
    </w:p>
    <w:p w14:paraId="7021C332">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（四）提升教研水平，支撑质量发展。 </w:t>
      </w:r>
    </w:p>
    <w:p w14:paraId="4BEC668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鼓励教师开展教学研究，撰写教育教学论文。校本教研活动常态化开展，教研氛围日益浓厚。教师教学竞赛成绩突出，全年获各级教学竞赛奖15人次。教育科研对教学质量提升的支撑作用不断增强。</w:t>
      </w:r>
    </w:p>
    <w:p w14:paraId="4CD4704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四、夯实发展基础，招生就业与对外合作迈出新步伐</w:t>
      </w:r>
    </w:p>
    <w:p w14:paraId="19AD671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招生就业办公室解放思想，创新举措，积极融入总校一体化发展格局，圆满完成了年度工作任务。</w:t>
      </w:r>
    </w:p>
    <w:p w14:paraId="265A505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（一）招生工作成效显著。</w:t>
      </w:r>
    </w:p>
    <w:p w14:paraId="712891F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认真总结往年经验，制定了切实可行的招生方案。在学院的领导下，学校与学院实现招生专业一体化、招生计划一体化、招生宣传一体化。充分整合招生资源，加强与各初中学校的沟通联系，建立了有效的招生机制。2025年，学校招生工作取得进展，共招生237人。</w:t>
      </w:r>
    </w:p>
    <w:p w14:paraId="695E707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（二）就业实习扎实推进。</w:t>
      </w:r>
    </w:p>
    <w:p w14:paraId="1741813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加强学生就业指导与职业生涯规划教育。做好毕业生跟踪服务，努力提升就业质量和满意度。积极促进并落实学生分流工作，优化了生源结构。2025年，普职融通分流113人。</w:t>
      </w:r>
    </w:p>
    <w:p w14:paraId="2B51344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五、激发组织活力，共青团与校园文化建设展现新气象</w:t>
      </w:r>
    </w:p>
    <w:p w14:paraId="56AA380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校团委紧密围绕学校中心工作，切实履行引领凝聚青年、组织动员青年、联系服务青年的职责。</w:t>
      </w:r>
    </w:p>
    <w:p w14:paraId="00B71D7F">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（一）强化思想引领，坚定理想信念。 </w:t>
      </w:r>
    </w:p>
    <w:p w14:paraId="6F0C540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定期开展团课、团干培训，组织学习党的二十大精神、团代会精神等重要内容。利用升旗仪式、“青年大学习”、主题班会等常态化阵地，深入开展爱党爱国、安全卫生、文明守纪、学习感恩等方面的思想教育，营造积极健康的校园氛围。</w:t>
      </w:r>
    </w:p>
    <w:p w14:paraId="0EF02B95">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（二）繁荣校园文化，提升综合素养。 </w:t>
      </w:r>
    </w:p>
    <w:p w14:paraId="30E0C7A2">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精心策划并组织了一系列品牌文化活动，如五四文艺晚会、校园歌会、校运动会暨校园美食节、职业技能教育活动周等，为学生提供了展示才华的舞台，丰富了课余生活，营造了浓厚的文化育人氛围。</w:t>
      </w:r>
    </w:p>
    <w:p w14:paraId="7B7FEB64">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（三）拓展实践平台，服务青年成长。 </w:t>
      </w:r>
    </w:p>
    <w:p w14:paraId="7E5D35D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积极组织学生参与我县创建卫生县城、文明县城等志愿服务活动，弘扬奉献精神。深入开展“一对一”问题学生帮扶教育工作。关注贫困学生，通过组织捐款、争取学校伙食费减免等方式进行救助，传递组织温暖。</w:t>
      </w:r>
    </w:p>
    <w:p w14:paraId="7498953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（四）规范组织建设，夯实工作基础。 </w:t>
      </w:r>
    </w:p>
    <w:p w14:paraId="69A2037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健全团的组织生活制度，严格团员发展程序与考核，做好团员证管理、团籍注册及关系转接等工作。本年度发展了新团员，并表彰了一批优秀团员和团干部，增强了团组织的先进性和凝聚力。</w:t>
      </w:r>
    </w:p>
    <w:p w14:paraId="1068899B">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六、 优化服务保障，后勤与校园环境得到新改善</w:t>
      </w:r>
    </w:p>
    <w:p w14:paraId="0E449A9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总务处坚持以师生为中心，不断提升精细化管理和服务水平。</w:t>
      </w:r>
    </w:p>
    <w:p w14:paraId="38FDEB1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（一）强化教学保障。 </w:t>
      </w:r>
    </w:p>
    <w:p w14:paraId="73733D7E">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开学前完成所有教室、实训场地的清洁消杀与设施调试。为10间教室更换护眼照明灯具，改善了教学条件。</w:t>
      </w:r>
    </w:p>
    <w:p w14:paraId="4DE4255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（二）规范资产管理。 </w:t>
      </w:r>
    </w:p>
    <w:p w14:paraId="1BB27D7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联合各部门开展秋季固定资产专项清查，完成500余件资产的核对。优化资产领用、调拨、归还流程，实行责任制，提高了资产使用效率。</w:t>
      </w:r>
    </w:p>
    <w:p w14:paraId="400D779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（三）优化校园环境。 </w:t>
      </w:r>
    </w:p>
    <w:p w14:paraId="1F69F3BE">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以创建"文明校园、绿色校园"为目标，完成秋季绿化养护（修剪树木50余棵，清理落叶杂草1500余平米），实行卫生网格化管理，增设分类垃圾桶10个。完成破损路面修补150平方米、更换损坏门窗5个、增设休憩长椅2条、整改致远楼积水问题，并于9月投入使用观止楼旁新厕所，极大改善了校园环境面貌和使用功能。同时，利用质量提升资金，完成了新建篮球场3块、新建篮球场与运动场贯通楼梯通道、购买电脑桌、新建供水系统、下沉设备场地改造、致远楼（教学楼）门窗及消防设施改造等项目，校园硬件支撑能力得到进一步提升。</w:t>
      </w:r>
    </w:p>
    <w:p w14:paraId="0577945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七、 筑牢安全底线，平安校园建设达到新水平</w:t>
      </w:r>
    </w:p>
    <w:p w14:paraId="4963135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学校牢固树立“安全第一，预防为主，综合治理”的方针，将安全工作贯穿于办学治校全过程。</w:t>
      </w:r>
    </w:p>
    <w:p w14:paraId="1FEA0E18">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（一）压实安全责任体系。 </w:t>
      </w:r>
    </w:p>
    <w:p w14:paraId="0F74CC0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成立以校长为组长的安全工作领导小组，制定详细安全工作计划，明确各部门、各岗位安全职责。修订完善包含18项专项制度的《安全管理制度汇编》，建立“每周安全工作例会”制度，本学期召开安全例会12次，解决问题32个。</w:t>
      </w:r>
    </w:p>
    <w:p w14:paraId="0DF0A673">
      <w:pPr>
        <w:spacing w:line="600" w:lineRule="exact"/>
        <w:ind w:firstLine="600" w:firstLineChars="200"/>
        <w:rPr>
          <w:rFonts w:hint="eastAsia" w:ascii="仿宋" w:hAnsi="仿宋" w:eastAsia="仿宋" w:cs="仿宋"/>
          <w:color w:val="auto"/>
          <w:sz w:val="30"/>
          <w:szCs w:val="30"/>
          <w:highlight w:val="none"/>
          <w:lang w:val="en-US" w:eastAsia="zh-CN"/>
        </w:rPr>
      </w:pPr>
      <w:bookmarkStart w:id="0" w:name="_Toc214305608"/>
      <w:r>
        <w:rPr>
          <w:rFonts w:hint="eastAsia" w:ascii="仿宋" w:hAnsi="仿宋" w:eastAsia="仿宋" w:cs="仿宋"/>
          <w:color w:val="auto"/>
          <w:sz w:val="30"/>
          <w:szCs w:val="30"/>
          <w:highlight w:val="none"/>
          <w:lang w:val="en-US" w:eastAsia="zh-CN"/>
        </w:rPr>
        <w:t>（二）聚焦重点领域防控。</w:t>
      </w:r>
      <w:bookmarkEnd w:id="0"/>
    </w:p>
    <w:p w14:paraId="31A5A35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 消防安全：更换过期灭火器86具，补充消防水带12条，维修应急灯32盏，增设安全标识18处。开展专项排查，整改隐患17处。组织消防培训与应急演练1次，800余名师生参与，提升了应急处置能力。</w:t>
      </w:r>
    </w:p>
    <w:p w14:paraId="7414042A">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 食品安全：严格执行食材定点采购、索证索票、加工规范、食品留样（本学期留样1440余份）等制度。每周进行食材抽检（50批次，合格率100%），组织食堂工作人员培训4次，开展食品中毒应急演练1次。师生对食堂食品安全满意度达99%。</w:t>
      </w:r>
    </w:p>
    <w:p w14:paraId="48F56FB1">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 人身安全：联合交警设立“护学岗”，加强上下学时段交通疏导与值守。开展“交通安全进校园”活动2场，覆盖3200余人次。制定防欺凌专项方案，建立四级监测网络，设立举报渠道，本学期处理相关苗头5起。持续开展防溺水等安全教育。</w:t>
      </w:r>
    </w:p>
    <w:p w14:paraId="004D7137">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 心理健康安全：将心理健康安全纳入重点防控，构建“预防-干预-疏导”体系，通过心理课程、活动周、个体咨询等方式，保障学生心理健康。</w:t>
      </w:r>
    </w:p>
    <w:p w14:paraId="062CD9C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（三）强化安全教育宣传。 </w:t>
      </w:r>
    </w:p>
    <w:p w14:paraId="57C32790">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创新落实“1530”安全教育模式（每天放学前1分钟、每周五放学前5分钟、节假日放假前30分钟进行安全提醒）。利用校园广播、宣传栏、微信公众号、家长群、安全短视频（播放量超5000次）等多种载体，开展常态化、互动式安全教育，实现“家校共育”，有效提升了师生的安全意识和自我防护能力。</w:t>
      </w:r>
    </w:p>
    <w:p w14:paraId="555AD20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（四）夯实安防应急基础。 </w:t>
      </w:r>
    </w:p>
    <w:p w14:paraId="31D6B9D3">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升级校园安防系统，增设高清监控摄像头68个，实现重点区域全覆盖、无死角。安装门禁系统，严格校外人员准入管理。配备专职安保人员4名、宿管人员2名，实行24小时值守，筑牢人防、物防、技防基础。</w:t>
      </w:r>
    </w:p>
    <w:p w14:paraId="7A26394B">
      <w:pPr>
        <w:spacing w:line="600" w:lineRule="exact"/>
        <w:ind w:firstLine="600" w:firstLineChars="200"/>
        <w:rPr>
          <w:rFonts w:hint="eastAsia" w:ascii="仿宋" w:hAnsi="仿宋" w:eastAsia="仿宋" w:cs="仿宋"/>
          <w:color w:val="auto"/>
          <w:sz w:val="30"/>
          <w:szCs w:val="30"/>
          <w:highlight w:val="none"/>
          <w:lang w:val="en-US" w:eastAsia="zh-CN"/>
        </w:rPr>
      </w:pPr>
      <w:bookmarkStart w:id="1" w:name="_Toc214305609"/>
      <w:r>
        <w:rPr>
          <w:rFonts w:hint="eastAsia" w:ascii="仿宋" w:hAnsi="仿宋" w:eastAsia="仿宋" w:cs="仿宋"/>
          <w:color w:val="auto"/>
          <w:sz w:val="30"/>
          <w:szCs w:val="30"/>
          <w:highlight w:val="none"/>
          <w:lang w:val="en-US" w:eastAsia="zh-CN"/>
        </w:rPr>
        <w:t>八、 凝聚各方力量，管理与服务效能获得新提升</w:t>
      </w:r>
      <w:bookmarkEnd w:id="1"/>
    </w:p>
    <w:p w14:paraId="2E4E6174">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（一）办公室高效协调运转。</w:t>
      </w:r>
    </w:p>
    <w:p w14:paraId="1AFAD73C">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作为学校运转枢纽，办公室紧紧围绕“服务教学、服务师生、服务发展”的宗旨，高效完成了会议组织、公文处理、制度拟定、印章管理、宣传联络、人事管理（职称晋升、调动、考核、聘任）等大量繁杂的协调与服务保障工作，确保了学校政令畅通和各项工作的有序推进。</w:t>
      </w:r>
    </w:p>
    <w:p w14:paraId="0249233B">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（二）工会组织凝心聚力。</w:t>
      </w:r>
    </w:p>
    <w:p w14:paraId="15FEF5E6">
      <w:pPr>
        <w:spacing w:line="60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学校工会充分发挥桥梁纽带作用。强化思想引领，组织专题学习2场，覆盖70人次，弘扬师德师风。聚焦服务保障，规范福利发放（中秋节福利69份，生日慰问，困难教职工慰问1人次），关注青年教职工成长。推进民主管理，顺利召开第十届教代会第一次会议完成换届，监督校务公开。组织教职工运动会、教师节系列活动，推进“职工之家”APP入驻和数字工会建设，提升了教职工的幸福感和归属感。</w:t>
      </w:r>
    </w:p>
    <w:p w14:paraId="1541733B">
      <w:pPr>
        <w:spacing w:line="600" w:lineRule="exact"/>
        <w:ind w:firstLine="600" w:firstLineChars="200"/>
        <w:jc w:val="left"/>
        <w:rPr>
          <w:rFonts w:hint="eastAsia" w:ascii="仿宋_GB2312" w:hAnsi="宋体" w:eastAsia="仿宋_GB2312" w:cs="Arial"/>
          <w:kern w:val="0"/>
          <w:sz w:val="30"/>
          <w:szCs w:val="30"/>
          <w:highlight w:val="none"/>
        </w:rPr>
      </w:pPr>
    </w:p>
    <w:p w14:paraId="62E583BF">
      <w:pPr>
        <w:spacing w:line="600" w:lineRule="exact"/>
        <w:ind w:firstLine="600" w:firstLineChars="200"/>
        <w:jc w:val="left"/>
        <w:rPr>
          <w:rFonts w:hint="eastAsia" w:ascii="仿宋_GB2312" w:hAnsi="宋体" w:eastAsia="仿宋_GB2312" w:cs="Arial"/>
          <w:kern w:val="0"/>
          <w:sz w:val="30"/>
          <w:szCs w:val="30"/>
          <w:highlight w:val="none"/>
        </w:rPr>
      </w:pPr>
    </w:p>
    <w:p w14:paraId="4B178339">
      <w:pPr>
        <w:spacing w:line="600" w:lineRule="exact"/>
        <w:ind w:firstLine="600" w:firstLineChars="200"/>
        <w:jc w:val="left"/>
        <w:rPr>
          <w:rFonts w:hint="eastAsia" w:ascii="仿宋_GB2312" w:hAnsi="宋体" w:eastAsia="仿宋_GB2312" w:cs="Arial"/>
          <w:kern w:val="0"/>
          <w:sz w:val="30"/>
          <w:szCs w:val="30"/>
          <w:highlight w:val="none"/>
        </w:rPr>
      </w:pPr>
    </w:p>
    <w:p w14:paraId="47FB4666">
      <w:pPr>
        <w:spacing w:line="600" w:lineRule="exact"/>
        <w:ind w:firstLine="600" w:firstLineChars="200"/>
        <w:jc w:val="left"/>
        <w:rPr>
          <w:rFonts w:hint="eastAsia" w:ascii="仿宋_GB2312" w:hAnsi="宋体" w:eastAsia="仿宋_GB2312" w:cs="Arial"/>
          <w:kern w:val="0"/>
          <w:sz w:val="30"/>
          <w:szCs w:val="30"/>
          <w:highlight w:val="none"/>
        </w:rPr>
      </w:pPr>
    </w:p>
    <w:p w14:paraId="1545352C">
      <w:pPr>
        <w:spacing w:line="600" w:lineRule="exact"/>
        <w:ind w:firstLine="600" w:firstLineChars="200"/>
        <w:jc w:val="left"/>
        <w:rPr>
          <w:rFonts w:hint="eastAsia" w:ascii="仿宋_GB2312" w:hAnsi="宋体" w:eastAsia="仿宋_GB2312" w:cs="Arial"/>
          <w:kern w:val="0"/>
          <w:sz w:val="30"/>
          <w:szCs w:val="30"/>
          <w:highlight w:val="none"/>
        </w:rPr>
      </w:pPr>
    </w:p>
    <w:p w14:paraId="06F35B6E">
      <w:pPr>
        <w:spacing w:line="600" w:lineRule="exact"/>
        <w:ind w:firstLine="600" w:firstLineChars="200"/>
        <w:jc w:val="left"/>
        <w:rPr>
          <w:rFonts w:hint="eastAsia" w:ascii="仿宋_GB2312" w:hAnsi="宋体" w:eastAsia="仿宋_GB2312" w:cs="Arial"/>
          <w:kern w:val="0"/>
          <w:sz w:val="30"/>
          <w:szCs w:val="30"/>
          <w:highlight w:val="none"/>
        </w:rPr>
      </w:pPr>
    </w:p>
    <w:p w14:paraId="6C117B1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0DC0EA79">
      <w:pPr>
        <w:widowControl/>
        <w:snapToGrid w:val="0"/>
        <w:spacing w:before="100" w:after="100" w:line="600" w:lineRule="exact"/>
        <w:ind w:firstLine="538"/>
        <w:jc w:val="center"/>
        <w:rPr>
          <w:rFonts w:hint="eastAsia" w:ascii="仿宋" w:hAnsi="仿宋" w:eastAsia="仿宋" w:cs="仿宋"/>
          <w:color w:val="auto"/>
          <w:sz w:val="30"/>
          <w:szCs w:val="30"/>
          <w:highlight w:val="none"/>
          <w:lang w:val="en-US"/>
        </w:rPr>
      </w:pPr>
      <w:r>
        <w:rPr>
          <w:rFonts w:hint="eastAsia" w:ascii="仿宋" w:hAnsi="仿宋" w:eastAsia="仿宋" w:cs="仿宋"/>
          <w:color w:val="auto"/>
          <w:sz w:val="30"/>
          <w:szCs w:val="30"/>
          <w:highlight w:val="none"/>
          <w:lang w:val="en-US"/>
        </w:rPr>
        <w:t>（详见附件）</w:t>
      </w:r>
    </w:p>
    <w:p w14:paraId="06E04077">
      <w:pPr>
        <w:widowControl/>
        <w:snapToGrid w:val="0"/>
        <w:spacing w:before="100" w:after="100" w:line="600" w:lineRule="exact"/>
        <w:ind w:firstLine="538"/>
        <w:jc w:val="left"/>
        <w:rPr>
          <w:rFonts w:hint="eastAsia" w:ascii="仿宋" w:hAnsi="仿宋" w:eastAsia="仿宋" w:cs="仿宋"/>
          <w:color w:val="auto"/>
          <w:sz w:val="30"/>
          <w:szCs w:val="30"/>
          <w:highlight w:val="none"/>
          <w:lang w:val="en-US"/>
        </w:rPr>
      </w:pPr>
      <w:r>
        <w:rPr>
          <w:rFonts w:hint="eastAsia" w:ascii="仿宋" w:hAnsi="仿宋" w:eastAsia="仿宋" w:cs="仿宋"/>
          <w:color w:val="auto"/>
          <w:sz w:val="30"/>
          <w:szCs w:val="30"/>
          <w:highlight w:val="none"/>
          <w:lang w:val="en-US"/>
        </w:rPr>
        <w:t>本部门</w:t>
      </w: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lang w:val="en-US"/>
        </w:rPr>
        <w:t>年度无国有资本经营预算财政拨款收入</w:t>
      </w:r>
      <w:r>
        <w:rPr>
          <w:rFonts w:hint="eastAsia" w:ascii="仿宋" w:hAnsi="仿宋" w:eastAsia="仿宋" w:cs="仿宋"/>
          <w:color w:val="auto"/>
          <w:sz w:val="30"/>
          <w:szCs w:val="30"/>
          <w:highlight w:val="none"/>
          <w:lang w:val="en-US" w:eastAsia="zh-CN"/>
        </w:rPr>
        <w:t>、无财政拨款“三公”经费、行政参公单位机关运行经费、 一般公共预算财政拨款“三公”经费、所以</w:t>
      </w:r>
      <w:r>
        <w:rPr>
          <w:rFonts w:hint="eastAsia" w:ascii="仿宋" w:hAnsi="仿宋" w:eastAsia="仿宋" w:cs="仿宋"/>
          <w:color w:val="auto"/>
          <w:sz w:val="30"/>
          <w:szCs w:val="30"/>
          <w:highlight w:val="none"/>
          <w:lang w:val="en-US"/>
        </w:rPr>
        <w:t>《 国有资本经营预算财政拨款收入支出决算表》</w:t>
      </w:r>
      <w:r>
        <w:rPr>
          <w:rFonts w:hint="eastAsia" w:ascii="仿宋" w:hAnsi="仿宋" w:eastAsia="仿宋" w:cs="仿宋"/>
          <w:color w:val="auto"/>
          <w:sz w:val="30"/>
          <w:szCs w:val="30"/>
          <w:highlight w:val="none"/>
          <w:lang w:val="en-US" w:eastAsia="zh-CN"/>
        </w:rPr>
        <w:t>、《 财政拨款“三公”经费、行政参公单位机关运行经费情况表》、《 一般公共预算财政拨款“三公”经费情况表》</w:t>
      </w:r>
      <w:r>
        <w:rPr>
          <w:rFonts w:hint="eastAsia" w:ascii="仿宋" w:hAnsi="仿宋" w:eastAsia="仿宋" w:cs="仿宋"/>
          <w:color w:val="auto"/>
          <w:sz w:val="30"/>
          <w:szCs w:val="30"/>
          <w:highlight w:val="none"/>
          <w:lang w:val="en-US"/>
        </w:rPr>
        <w:t>为空表。</w:t>
      </w:r>
    </w:p>
    <w:p w14:paraId="05C61CA4">
      <w:pPr>
        <w:spacing w:line="600" w:lineRule="exact"/>
        <w:ind w:firstLine="600" w:firstLineChars="200"/>
        <w:jc w:val="left"/>
        <w:rPr>
          <w:rFonts w:hint="eastAsia" w:ascii="仿宋_GB2312" w:eastAsia="仿宋_GB2312"/>
          <w:sz w:val="30"/>
          <w:szCs w:val="30"/>
          <w:highlight w:val="none"/>
          <w:lang w:eastAsia="zh-CN"/>
        </w:rPr>
      </w:pPr>
    </w:p>
    <w:p w14:paraId="66A96141">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53D6BB6A">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DE6B4C6">
      <w:pPr>
        <w:widowControl/>
        <w:snapToGrid w:val="0"/>
        <w:spacing w:before="100" w:after="100" w:line="600" w:lineRule="exact"/>
        <w:ind w:firstLine="538"/>
        <w:jc w:val="left"/>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华宁县职业高级中学2025</w:t>
      </w:r>
      <w:r>
        <w:rPr>
          <w:rFonts w:hint="eastAsia" w:ascii="仿宋" w:hAnsi="仿宋" w:eastAsia="仿宋" w:cs="仿宋"/>
          <w:color w:val="auto"/>
          <w:sz w:val="30"/>
          <w:szCs w:val="30"/>
          <w:highlight w:val="none"/>
        </w:rPr>
        <w:t>年度收入合计</w:t>
      </w:r>
      <w:r>
        <w:rPr>
          <w:rFonts w:hint="eastAsia" w:ascii="仿宋" w:hAnsi="仿宋" w:eastAsia="仿宋" w:cs="仿宋"/>
          <w:color w:val="auto"/>
          <w:sz w:val="30"/>
          <w:highlight w:val="none"/>
          <w:lang w:val="zh-CN"/>
        </w:rPr>
        <w:t>9353788.08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。其中：财政拨款收入</w:t>
      </w:r>
      <w:r>
        <w:rPr>
          <w:rFonts w:hint="eastAsia" w:ascii="仿宋" w:hAnsi="仿宋" w:eastAsia="仿宋" w:cs="仿宋"/>
          <w:color w:val="auto"/>
          <w:sz w:val="30"/>
          <w:highlight w:val="none"/>
          <w:lang w:val="zh-CN"/>
        </w:rPr>
        <w:t>9308438.08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占总收入的99.52%；</w:t>
      </w:r>
      <w:r>
        <w:rPr>
          <w:rFonts w:hint="eastAsia" w:ascii="仿宋" w:hAnsi="仿宋" w:eastAsia="仿宋" w:cs="仿宋"/>
          <w:color w:val="auto"/>
          <w:sz w:val="30"/>
          <w:szCs w:val="30"/>
          <w:highlight w:val="none"/>
          <w:lang w:val="en-US" w:eastAsia="zh-CN"/>
        </w:rPr>
        <w:t>无上级补助收入；无事业收入；无经营收入；无附属单位上缴收入；其他收入</w:t>
      </w:r>
      <w:r>
        <w:rPr>
          <w:rFonts w:hint="eastAsia" w:ascii="仿宋" w:hAnsi="仿宋" w:eastAsia="仿宋" w:cs="仿宋"/>
          <w:color w:val="auto"/>
          <w:sz w:val="30"/>
          <w:szCs w:val="30"/>
          <w:highlight w:val="none"/>
          <w:lang w:val="zh-CN" w:eastAsia="zh-CN"/>
        </w:rPr>
        <w:t>45350</w:t>
      </w:r>
      <w:r>
        <w:rPr>
          <w:rFonts w:hint="eastAsia" w:ascii="仿宋" w:hAnsi="仿宋" w:eastAsia="仿宋" w:cs="仿宋"/>
          <w:color w:val="auto"/>
          <w:sz w:val="30"/>
          <w:szCs w:val="30"/>
          <w:highlight w:val="none"/>
          <w:lang w:val="en-US" w:eastAsia="zh-CN"/>
        </w:rPr>
        <w:t>.00元，占总收入的0.48%。</w:t>
      </w:r>
    </w:p>
    <w:p w14:paraId="7B4D09F6">
      <w:pPr>
        <w:spacing w:line="60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与上年</w:t>
      </w:r>
      <w:r>
        <w:rPr>
          <w:rFonts w:hint="eastAsia" w:ascii="仿宋" w:hAnsi="仿宋" w:eastAsia="仿宋" w:cs="仿宋"/>
          <w:color w:val="auto"/>
          <w:sz w:val="30"/>
          <w:szCs w:val="30"/>
          <w:highlight w:val="none"/>
          <w:lang w:eastAsia="zh-CN"/>
        </w:rPr>
        <w:t>相比，</w:t>
      </w:r>
      <w:r>
        <w:rPr>
          <w:rFonts w:hint="eastAsia" w:ascii="仿宋" w:hAnsi="仿宋" w:eastAsia="仿宋" w:cs="仿宋"/>
          <w:color w:val="auto"/>
          <w:sz w:val="30"/>
          <w:szCs w:val="30"/>
          <w:highlight w:val="none"/>
        </w:rPr>
        <w:t>收入合计</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highlight w:val="none"/>
          <w:lang w:val="zh-CN"/>
        </w:rPr>
        <w:t>3126982.08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lang w:val="en-US" w:eastAsia="zh-CN"/>
        </w:rPr>
        <w:t>下降</w:t>
      </w:r>
      <w:r>
        <w:rPr>
          <w:rFonts w:hint="eastAsia" w:ascii="仿宋" w:hAnsi="仿宋" w:eastAsia="仿宋" w:cs="仿宋"/>
          <w:color w:val="auto"/>
          <w:sz w:val="30"/>
          <w:highlight w:val="none"/>
          <w:lang w:val="zh-CN"/>
        </w:rPr>
        <w:t>25.05</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。其中：</w:t>
      </w:r>
      <w:r>
        <w:rPr>
          <w:rFonts w:hint="eastAsia" w:ascii="仿宋" w:hAnsi="仿宋" w:eastAsia="仿宋" w:cs="仿宋"/>
          <w:color w:val="auto"/>
          <w:sz w:val="30"/>
          <w:szCs w:val="30"/>
          <w:highlight w:val="none"/>
        </w:rPr>
        <w:t>财政拨款收入</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highlight w:val="none"/>
          <w:lang w:val="en-US" w:eastAsia="zh-CN"/>
        </w:rPr>
        <w:t>3108882.08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lang w:val="en-US" w:eastAsia="zh-CN"/>
        </w:rPr>
        <w:t>下降</w:t>
      </w:r>
      <w:r>
        <w:rPr>
          <w:rFonts w:hint="eastAsia" w:ascii="仿宋" w:hAnsi="仿宋" w:eastAsia="仿宋" w:cs="仿宋"/>
          <w:color w:val="auto"/>
          <w:sz w:val="30"/>
          <w:highlight w:val="none"/>
          <w:lang w:val="en-US" w:eastAsia="zh-CN"/>
        </w:rPr>
        <w:t>25.04</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；其他收入</w:t>
      </w:r>
      <w:r>
        <w:rPr>
          <w:rFonts w:hint="eastAsia" w:ascii="仿宋" w:hAnsi="仿宋" w:eastAsia="仿宋" w:cs="仿宋"/>
          <w:color w:val="auto"/>
          <w:sz w:val="30"/>
          <w:szCs w:val="30"/>
          <w:highlight w:val="none"/>
          <w:lang w:val="en-US" w:eastAsia="zh-CN"/>
        </w:rPr>
        <w:t>减少18100.00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szCs w:val="30"/>
          <w:highlight w:val="none"/>
          <w:lang w:eastAsia="zh-CN"/>
        </w:rPr>
        <w:t>28.53</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主要原因</w:t>
      </w:r>
      <w:r>
        <w:rPr>
          <w:rFonts w:hint="eastAsia" w:ascii="仿宋" w:hAnsi="仿宋" w:eastAsia="仿宋" w:cs="仿宋"/>
          <w:color w:val="auto"/>
          <w:sz w:val="30"/>
          <w:szCs w:val="30"/>
          <w:highlight w:val="none"/>
          <w:lang w:eastAsia="zh-CN"/>
        </w:rPr>
        <w:t>是</w:t>
      </w:r>
      <w:r>
        <w:rPr>
          <w:rFonts w:hint="eastAsia" w:ascii="仿宋" w:hAnsi="仿宋" w:eastAsia="仿宋" w:cs="仿宋"/>
          <w:color w:val="auto"/>
          <w:sz w:val="30"/>
          <w:szCs w:val="30"/>
          <w:highlight w:val="none"/>
          <w:lang w:val="en-US"/>
        </w:rPr>
        <w:t>2025年</w:t>
      </w:r>
      <w:r>
        <w:rPr>
          <w:rFonts w:hint="eastAsia" w:ascii="仿宋" w:hAnsi="仿宋" w:eastAsia="仿宋" w:cs="仿宋"/>
          <w:color w:val="auto"/>
          <w:sz w:val="30"/>
          <w:szCs w:val="30"/>
          <w:highlight w:val="none"/>
          <w:lang w:val="en-US" w:eastAsia="zh-CN"/>
        </w:rPr>
        <w:t>人员经费</w:t>
      </w:r>
      <w:r>
        <w:rPr>
          <w:rFonts w:hint="eastAsia" w:ascii="仿宋" w:hAnsi="仿宋" w:eastAsia="仿宋" w:cs="仿宋"/>
          <w:color w:val="auto"/>
          <w:sz w:val="30"/>
          <w:szCs w:val="30"/>
          <w:highlight w:val="none"/>
          <w:lang w:val="en-US"/>
        </w:rPr>
        <w:t>、公用经费比2024年减少</w:t>
      </w:r>
      <w:r>
        <w:rPr>
          <w:rFonts w:hint="eastAsia" w:ascii="仿宋" w:hAnsi="仿宋" w:eastAsia="仿宋" w:cs="仿宋"/>
          <w:color w:val="auto"/>
          <w:sz w:val="30"/>
          <w:szCs w:val="30"/>
          <w:highlight w:val="none"/>
          <w:lang w:val="en-US" w:eastAsia="zh-CN"/>
        </w:rPr>
        <w:t>；收到</w:t>
      </w:r>
      <w:r>
        <w:rPr>
          <w:rFonts w:hint="eastAsia" w:ascii="方正仿宋_GB2312" w:hAnsi="方正仿宋_GB2312" w:eastAsia="方正仿宋_GB2312" w:cs="方正仿宋_GB2312"/>
          <w:sz w:val="30"/>
          <w:lang w:val="en-US" w:eastAsia="zh-CN"/>
        </w:rPr>
        <w:t>云南开发大学双提升业务费</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szCs w:val="30"/>
          <w:highlight w:val="none"/>
        </w:rPr>
        <w:t>。</w:t>
      </w:r>
    </w:p>
    <w:p w14:paraId="5EC05C44">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5770938C">
      <w:pPr>
        <w:spacing w:line="600" w:lineRule="exact"/>
        <w:ind w:firstLine="600" w:firstLineChars="200"/>
        <w:rPr>
          <w:rFonts w:hint="eastAsia" w:ascii="仿宋" w:hAnsi="仿宋" w:eastAsia="仿宋" w:cs="仿宋"/>
          <w:color w:val="auto"/>
          <w:kern w:val="0"/>
          <w:sz w:val="30"/>
          <w:szCs w:val="30"/>
          <w:highlight w:val="none"/>
        </w:rPr>
      </w:pPr>
      <w:r>
        <w:rPr>
          <w:rFonts w:hint="eastAsia" w:ascii="仿宋" w:hAnsi="仿宋" w:eastAsia="仿宋" w:cs="仿宋"/>
          <w:color w:val="auto"/>
          <w:sz w:val="30"/>
          <w:szCs w:val="30"/>
          <w:highlight w:val="none"/>
          <w:lang w:val="en-US" w:eastAsia="zh-CN"/>
        </w:rPr>
        <w:t>华宁县职业高级中学2025</w:t>
      </w:r>
      <w:r>
        <w:rPr>
          <w:rFonts w:hint="eastAsia" w:ascii="仿宋" w:hAnsi="仿宋" w:eastAsia="仿宋" w:cs="仿宋"/>
          <w:color w:val="auto"/>
          <w:sz w:val="30"/>
          <w:szCs w:val="30"/>
          <w:highlight w:val="none"/>
        </w:rPr>
        <w:t>年度支出合计</w:t>
      </w:r>
      <w:r>
        <w:rPr>
          <w:rFonts w:hint="eastAsia" w:ascii="仿宋" w:hAnsi="仿宋" w:eastAsia="仿宋" w:cs="仿宋"/>
          <w:color w:val="auto"/>
          <w:sz w:val="30"/>
          <w:highlight w:val="none"/>
          <w:lang w:val="zh-CN"/>
        </w:rPr>
        <w:t>9353788.08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。其中：</w:t>
      </w:r>
      <w:r>
        <w:rPr>
          <w:rFonts w:hint="eastAsia" w:ascii="仿宋" w:hAnsi="仿宋" w:eastAsia="仿宋" w:cs="仿宋"/>
          <w:color w:val="auto"/>
          <w:kern w:val="0"/>
          <w:sz w:val="30"/>
          <w:szCs w:val="30"/>
          <w:highlight w:val="none"/>
        </w:rPr>
        <w:t>基本支出</w:t>
      </w:r>
      <w:r>
        <w:rPr>
          <w:rFonts w:hint="eastAsia" w:ascii="仿宋" w:hAnsi="仿宋" w:eastAsia="仿宋" w:cs="仿宋"/>
          <w:color w:val="auto"/>
          <w:sz w:val="30"/>
          <w:highlight w:val="none"/>
          <w:lang w:val="zh-CN"/>
        </w:rPr>
        <w:t>9021128.23</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，占总支出的</w:t>
      </w:r>
      <w:r>
        <w:rPr>
          <w:rFonts w:hint="eastAsia" w:ascii="仿宋" w:hAnsi="仿宋" w:eastAsia="仿宋" w:cs="仿宋"/>
          <w:color w:val="auto"/>
          <w:sz w:val="30"/>
          <w:highlight w:val="none"/>
          <w:lang w:val="en-US" w:eastAsia="zh-CN"/>
        </w:rPr>
        <w:t>96.44</w:t>
      </w:r>
      <w:r>
        <w:rPr>
          <w:rFonts w:hint="eastAsia" w:ascii="仿宋" w:hAnsi="仿宋" w:eastAsia="仿宋" w:cs="仿宋"/>
          <w:color w:val="auto"/>
          <w:kern w:val="0"/>
          <w:sz w:val="30"/>
          <w:szCs w:val="30"/>
          <w:highlight w:val="none"/>
        </w:rPr>
        <w:t>％；项目支出</w:t>
      </w:r>
      <w:r>
        <w:rPr>
          <w:rFonts w:hint="eastAsia" w:ascii="仿宋" w:hAnsi="仿宋" w:eastAsia="仿宋" w:cs="仿宋"/>
          <w:color w:val="auto"/>
          <w:sz w:val="30"/>
          <w:highlight w:val="none"/>
          <w:lang w:val="zh-CN"/>
        </w:rPr>
        <w:t>332659.85</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，占总支出的</w:t>
      </w:r>
      <w:r>
        <w:rPr>
          <w:rFonts w:hint="eastAsia" w:ascii="仿宋" w:hAnsi="仿宋" w:eastAsia="仿宋" w:cs="仿宋"/>
          <w:color w:val="auto"/>
          <w:sz w:val="30"/>
          <w:highlight w:val="none"/>
          <w:lang w:val="en-US" w:eastAsia="zh-CN"/>
        </w:rPr>
        <w:t>3.56</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val="en-US" w:eastAsia="zh-CN"/>
        </w:rPr>
        <w:t>无</w:t>
      </w:r>
      <w:r>
        <w:rPr>
          <w:rFonts w:hint="eastAsia" w:ascii="仿宋" w:hAnsi="仿宋" w:eastAsia="仿宋" w:cs="仿宋"/>
          <w:color w:val="auto"/>
          <w:kern w:val="0"/>
          <w:sz w:val="30"/>
          <w:szCs w:val="30"/>
          <w:highlight w:val="none"/>
        </w:rPr>
        <w:t>上缴上级支出；</w:t>
      </w:r>
      <w:r>
        <w:rPr>
          <w:rFonts w:hint="eastAsia" w:ascii="仿宋" w:hAnsi="仿宋" w:eastAsia="仿宋" w:cs="仿宋"/>
          <w:color w:val="auto"/>
          <w:kern w:val="0"/>
          <w:sz w:val="30"/>
          <w:szCs w:val="30"/>
          <w:highlight w:val="none"/>
          <w:lang w:val="en-US" w:eastAsia="zh-CN"/>
        </w:rPr>
        <w:t>无</w:t>
      </w:r>
      <w:r>
        <w:rPr>
          <w:rFonts w:hint="eastAsia" w:ascii="仿宋" w:hAnsi="仿宋" w:eastAsia="仿宋" w:cs="仿宋"/>
          <w:color w:val="auto"/>
          <w:kern w:val="0"/>
          <w:sz w:val="30"/>
          <w:szCs w:val="30"/>
          <w:highlight w:val="none"/>
        </w:rPr>
        <w:t>经营支出；</w:t>
      </w:r>
      <w:r>
        <w:rPr>
          <w:rFonts w:hint="eastAsia" w:ascii="仿宋" w:hAnsi="仿宋" w:eastAsia="仿宋" w:cs="仿宋"/>
          <w:color w:val="auto"/>
          <w:kern w:val="0"/>
          <w:sz w:val="30"/>
          <w:szCs w:val="30"/>
          <w:highlight w:val="none"/>
          <w:lang w:val="en-US" w:eastAsia="zh-CN"/>
        </w:rPr>
        <w:t>无</w:t>
      </w:r>
      <w:r>
        <w:rPr>
          <w:rFonts w:hint="eastAsia" w:ascii="仿宋" w:hAnsi="仿宋" w:eastAsia="仿宋" w:cs="仿宋"/>
          <w:color w:val="auto"/>
          <w:kern w:val="0"/>
          <w:sz w:val="30"/>
          <w:szCs w:val="30"/>
          <w:highlight w:val="none"/>
        </w:rPr>
        <w:t>对附属单位补助支出。</w:t>
      </w:r>
    </w:p>
    <w:p w14:paraId="62C42E86">
      <w:pPr>
        <w:spacing w:line="600" w:lineRule="exact"/>
        <w:ind w:firstLine="600" w:firstLineChars="200"/>
        <w:rPr>
          <w:rFonts w:hint="eastAsia" w:ascii="仿宋" w:hAnsi="仿宋" w:eastAsia="仿宋" w:cs="仿宋"/>
          <w:color w:val="auto"/>
          <w:sz w:val="30"/>
          <w:szCs w:val="30"/>
          <w:highlight w:val="none"/>
          <w:lang w:eastAsia="zh-CN"/>
        </w:rPr>
      </w:pPr>
      <w:bookmarkStart w:id="2" w:name="_GoBack"/>
      <w:r>
        <w:rPr>
          <w:rFonts w:hint="eastAsia" w:ascii="仿宋" w:hAnsi="仿宋" w:eastAsia="仿宋" w:cs="仿宋"/>
          <w:color w:val="auto"/>
          <w:sz w:val="30"/>
          <w:szCs w:val="30"/>
          <w:highlight w:val="none"/>
        </w:rPr>
        <w:t>与上年</w:t>
      </w:r>
      <w:r>
        <w:rPr>
          <w:rFonts w:hint="eastAsia" w:ascii="仿宋" w:hAnsi="仿宋" w:eastAsia="仿宋" w:cs="仿宋"/>
          <w:color w:val="auto"/>
          <w:sz w:val="30"/>
          <w:szCs w:val="30"/>
          <w:highlight w:val="none"/>
          <w:lang w:eastAsia="zh-CN"/>
        </w:rPr>
        <w:t>相比，支出</w:t>
      </w:r>
      <w:r>
        <w:rPr>
          <w:rFonts w:hint="eastAsia" w:ascii="仿宋" w:hAnsi="仿宋" w:eastAsia="仿宋" w:cs="仿宋"/>
          <w:color w:val="auto"/>
          <w:sz w:val="30"/>
          <w:szCs w:val="30"/>
          <w:highlight w:val="none"/>
        </w:rPr>
        <w:t>合计</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highlight w:val="none"/>
          <w:lang w:val="zh-CN"/>
        </w:rPr>
        <w:t>3127260.08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lang w:val="en-US" w:eastAsia="zh-CN"/>
        </w:rPr>
        <w:t>下降</w:t>
      </w:r>
      <w:r>
        <w:rPr>
          <w:rFonts w:hint="eastAsia" w:ascii="仿宋" w:hAnsi="仿宋" w:eastAsia="仿宋" w:cs="仿宋"/>
          <w:color w:val="auto"/>
          <w:sz w:val="30"/>
          <w:highlight w:val="none"/>
          <w:lang w:val="en-US" w:eastAsia="zh-CN"/>
        </w:rPr>
        <w:t>25.06</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。其中：</w:t>
      </w:r>
      <w:r>
        <w:rPr>
          <w:rFonts w:hint="eastAsia" w:ascii="仿宋" w:hAnsi="仿宋" w:eastAsia="仿宋" w:cs="仿宋"/>
          <w:color w:val="auto"/>
          <w:kern w:val="0"/>
          <w:sz w:val="30"/>
          <w:szCs w:val="30"/>
          <w:highlight w:val="none"/>
        </w:rPr>
        <w:t>基本支出</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highlight w:val="none"/>
          <w:lang w:val="zh-CN"/>
        </w:rPr>
        <w:t>1561843.72</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lang w:val="en-US" w:eastAsia="zh-CN"/>
        </w:rPr>
        <w:t>下降</w:t>
      </w:r>
      <w:r>
        <w:rPr>
          <w:rFonts w:hint="eastAsia" w:ascii="仿宋" w:hAnsi="仿宋" w:eastAsia="仿宋" w:cs="仿宋"/>
          <w:color w:val="auto"/>
          <w:sz w:val="30"/>
          <w:highlight w:val="none"/>
          <w:lang w:val="en-US" w:eastAsia="zh-CN"/>
        </w:rPr>
        <w:t>14.76</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；项目支出</w:t>
      </w:r>
      <w:r>
        <w:rPr>
          <w:rFonts w:hint="eastAsia" w:ascii="仿宋" w:hAnsi="仿宋" w:eastAsia="仿宋" w:cs="仿宋"/>
          <w:color w:val="auto"/>
          <w:sz w:val="30"/>
          <w:szCs w:val="30"/>
          <w:highlight w:val="none"/>
          <w:lang w:val="en-US" w:eastAsia="zh-CN"/>
        </w:rPr>
        <w:t>减少</w:t>
      </w:r>
      <w:r>
        <w:rPr>
          <w:rFonts w:hint="eastAsia" w:ascii="仿宋" w:hAnsi="仿宋" w:eastAsia="仿宋" w:cs="仿宋"/>
          <w:color w:val="auto"/>
          <w:sz w:val="30"/>
          <w:szCs w:val="30"/>
          <w:highlight w:val="none"/>
          <w:lang w:eastAsia="zh-CN"/>
        </w:rPr>
        <w:t>1565416.36元，</w:t>
      </w:r>
      <w:r>
        <w:rPr>
          <w:rFonts w:hint="eastAsia" w:ascii="仿宋" w:hAnsi="仿宋" w:eastAsia="仿宋" w:cs="仿宋"/>
          <w:color w:val="auto"/>
          <w:sz w:val="30"/>
          <w:szCs w:val="30"/>
          <w:highlight w:val="none"/>
          <w:lang w:val="en-US" w:eastAsia="zh-CN"/>
        </w:rPr>
        <w:t>下降</w:t>
      </w:r>
      <w:r>
        <w:rPr>
          <w:rFonts w:hint="eastAsia" w:ascii="仿宋" w:hAnsi="仿宋" w:eastAsia="仿宋" w:cs="仿宋"/>
          <w:color w:val="auto"/>
          <w:sz w:val="30"/>
          <w:highlight w:val="none"/>
          <w:lang w:val="en-US" w:eastAsia="zh-CN"/>
        </w:rPr>
        <w:t>82.47</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主要原因</w:t>
      </w:r>
      <w:r>
        <w:rPr>
          <w:rFonts w:hint="eastAsia" w:ascii="仿宋" w:hAnsi="仿宋" w:eastAsia="仿宋" w:cs="仿宋"/>
          <w:color w:val="auto"/>
          <w:sz w:val="30"/>
          <w:szCs w:val="30"/>
          <w:highlight w:val="none"/>
          <w:lang w:eastAsia="zh-CN"/>
        </w:rPr>
        <w:t>是</w:t>
      </w:r>
      <w:r>
        <w:rPr>
          <w:rFonts w:hint="eastAsia" w:ascii="仿宋" w:hAnsi="仿宋" w:eastAsia="仿宋" w:cs="仿宋"/>
          <w:color w:val="auto"/>
          <w:sz w:val="30"/>
          <w:szCs w:val="30"/>
          <w:highlight w:val="none"/>
          <w:lang w:val="en-US"/>
        </w:rPr>
        <w:t>2025年人员经费、公用经费比2024年减少</w:t>
      </w:r>
      <w:r>
        <w:rPr>
          <w:rFonts w:hint="eastAsia" w:ascii="仿宋" w:hAnsi="仿宋" w:eastAsia="仿宋" w:cs="仿宋"/>
          <w:color w:val="auto"/>
          <w:sz w:val="30"/>
          <w:szCs w:val="30"/>
          <w:highlight w:val="none"/>
        </w:rPr>
        <w:t>。</w:t>
      </w:r>
    </w:p>
    <w:bookmarkEnd w:id="2"/>
    <w:p w14:paraId="7A82376C">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3B29385">
      <w:pPr>
        <w:widowControl/>
        <w:snapToGrid w:val="0"/>
        <w:spacing w:before="100" w:after="100" w:line="600" w:lineRule="exact"/>
        <w:ind w:firstLine="538"/>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rPr>
        <w:t>年度用于保障</w:t>
      </w:r>
      <w:r>
        <w:rPr>
          <w:rFonts w:hint="eastAsia" w:ascii="仿宋" w:hAnsi="仿宋" w:eastAsia="仿宋" w:cs="仿宋"/>
          <w:color w:val="auto"/>
          <w:sz w:val="30"/>
          <w:szCs w:val="30"/>
          <w:highlight w:val="none"/>
          <w:lang w:val="en-US" w:eastAsia="zh-CN"/>
        </w:rPr>
        <w:t>华宁县职业高级中学</w:t>
      </w:r>
      <w:r>
        <w:rPr>
          <w:rFonts w:hint="eastAsia" w:ascii="仿宋" w:hAnsi="仿宋" w:eastAsia="仿宋" w:cs="仿宋"/>
          <w:color w:val="auto"/>
          <w:sz w:val="30"/>
          <w:szCs w:val="30"/>
          <w:highlight w:val="none"/>
        </w:rPr>
        <w:t>正常运转的日常支出</w:t>
      </w:r>
      <w:r>
        <w:rPr>
          <w:rFonts w:hint="eastAsia" w:ascii="仿宋" w:hAnsi="仿宋" w:eastAsia="仿宋" w:cs="仿宋"/>
          <w:color w:val="auto"/>
          <w:sz w:val="30"/>
          <w:highlight w:val="none"/>
          <w:lang w:val="zh-CN"/>
        </w:rPr>
        <w:t>9353788.08</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其中：</w:t>
      </w:r>
      <w:r>
        <w:rPr>
          <w:rFonts w:hint="eastAsia" w:ascii="仿宋" w:hAnsi="仿宋" w:eastAsia="仿宋" w:cs="仿宋"/>
          <w:color w:val="auto"/>
          <w:sz w:val="30"/>
          <w:szCs w:val="30"/>
          <w:highlight w:val="none"/>
        </w:rPr>
        <w:t>基本工资、津贴补贴等人员经费支出</w:t>
      </w:r>
      <w:r>
        <w:rPr>
          <w:rFonts w:hint="eastAsia" w:ascii="仿宋" w:hAnsi="仿宋" w:eastAsia="仿宋" w:cs="仿宋"/>
          <w:color w:val="auto"/>
          <w:sz w:val="30"/>
          <w:highlight w:val="none"/>
          <w:lang w:val="en-US" w:eastAsia="zh-CN"/>
        </w:rPr>
        <w:t>8680634.23</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占基本支出的</w:t>
      </w:r>
      <w:r>
        <w:rPr>
          <w:rFonts w:hint="eastAsia" w:ascii="仿宋" w:hAnsi="仿宋" w:eastAsia="仿宋" w:cs="仿宋"/>
          <w:color w:val="auto"/>
          <w:sz w:val="30"/>
          <w:highlight w:val="none"/>
          <w:lang w:val="en-US" w:eastAsia="zh-CN"/>
        </w:rPr>
        <w:t>92.80</w:t>
      </w:r>
      <w:r>
        <w:rPr>
          <w:rFonts w:hint="eastAsia" w:ascii="仿宋" w:hAnsi="仿宋" w:eastAsia="仿宋" w:cs="仿宋"/>
          <w:color w:val="auto"/>
          <w:sz w:val="30"/>
          <w:szCs w:val="30"/>
          <w:highlight w:val="none"/>
        </w:rPr>
        <w:t>％；办公费、印刷费、水电费、办公设备购置等公用经费</w:t>
      </w:r>
      <w:r>
        <w:rPr>
          <w:rFonts w:hint="eastAsia" w:ascii="仿宋" w:hAnsi="仿宋" w:eastAsia="仿宋" w:cs="仿宋"/>
          <w:color w:val="auto"/>
          <w:sz w:val="30"/>
          <w:highlight w:val="none"/>
          <w:lang w:val="en-US" w:eastAsia="zh-CN"/>
        </w:rPr>
        <w:t>673153.85</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占基本支出的</w:t>
      </w:r>
      <w:r>
        <w:rPr>
          <w:rFonts w:hint="eastAsia" w:ascii="仿宋" w:hAnsi="仿宋" w:eastAsia="仿宋" w:cs="仿宋"/>
          <w:color w:val="auto"/>
          <w:sz w:val="30"/>
          <w:highlight w:val="none"/>
          <w:lang w:val="en-US" w:eastAsia="zh-CN"/>
        </w:rPr>
        <w:t>7.20</w:t>
      </w:r>
      <w:r>
        <w:rPr>
          <w:rFonts w:hint="eastAsia" w:ascii="仿宋" w:hAnsi="仿宋" w:eastAsia="仿宋" w:cs="仿宋"/>
          <w:color w:val="auto"/>
          <w:sz w:val="30"/>
          <w:szCs w:val="30"/>
          <w:highlight w:val="none"/>
        </w:rPr>
        <w:t>％。</w:t>
      </w:r>
    </w:p>
    <w:p w14:paraId="2576E46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1F3881D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rPr>
        <w:t>年度用于保障</w:t>
      </w:r>
      <w:r>
        <w:rPr>
          <w:rFonts w:hint="eastAsia" w:ascii="仿宋" w:hAnsi="仿宋" w:eastAsia="仿宋" w:cs="仿宋"/>
          <w:color w:val="auto"/>
          <w:sz w:val="30"/>
          <w:szCs w:val="30"/>
          <w:highlight w:val="none"/>
          <w:lang w:val="en-US" w:eastAsia="zh-CN"/>
        </w:rPr>
        <w:t>华宁县职业高级中学</w:t>
      </w:r>
      <w:r>
        <w:rPr>
          <w:rFonts w:hint="eastAsia" w:ascii="仿宋" w:hAnsi="仿宋" w:eastAsia="仿宋" w:cs="仿宋"/>
          <w:color w:val="auto"/>
          <w:sz w:val="30"/>
          <w:szCs w:val="30"/>
          <w:highlight w:val="none"/>
        </w:rPr>
        <w:t>为完成特定的行政工作任务或事业发展目标，用于专项业务工作的经费支出</w:t>
      </w:r>
      <w:r>
        <w:rPr>
          <w:rFonts w:hint="eastAsia" w:ascii="仿宋" w:hAnsi="仿宋" w:eastAsia="仿宋" w:cs="仿宋"/>
          <w:color w:val="auto"/>
          <w:sz w:val="30"/>
          <w:szCs w:val="30"/>
          <w:highlight w:val="none"/>
          <w:lang w:eastAsia="zh-CN"/>
        </w:rPr>
        <w:t>332659.85元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其中：基本建设类项目支出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p>
    <w:p w14:paraId="02C4A8F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color w:val="auto"/>
          <w:sz w:val="30"/>
          <w:szCs w:val="30"/>
          <w:highlight w:val="none"/>
        </w:rPr>
        <w:t>华宁县职业高级中学中等职业教育免学费上级补助资金项目经费72646</w:t>
      </w:r>
      <w:r>
        <w:rPr>
          <w:rFonts w:hint="eastAsia" w:ascii="仿宋" w:hAnsi="仿宋" w:eastAsia="仿宋" w:cs="仿宋"/>
          <w:color w:val="auto"/>
          <w:sz w:val="30"/>
          <w:szCs w:val="30"/>
          <w:highlight w:val="none"/>
          <w:lang w:val="en-US" w:eastAsia="zh-CN"/>
        </w:rPr>
        <w:t>.00</w:t>
      </w:r>
      <w:r>
        <w:rPr>
          <w:rFonts w:hint="eastAsia" w:ascii="仿宋" w:hAnsi="仿宋" w:eastAsia="仿宋" w:cs="仿宋"/>
          <w:color w:val="auto"/>
          <w:sz w:val="30"/>
          <w:szCs w:val="30"/>
          <w:highlight w:val="none"/>
        </w:rPr>
        <w:t>元，主要用于</w:t>
      </w:r>
      <w:r>
        <w:rPr>
          <w:rFonts w:hint="eastAsia" w:ascii="仿宋" w:hAnsi="仿宋" w:eastAsia="仿宋" w:cs="仿宋"/>
          <w:color w:val="auto"/>
          <w:sz w:val="30"/>
          <w:szCs w:val="30"/>
          <w:highlight w:val="none"/>
          <w:lang w:val="en-US" w:eastAsia="zh-CN"/>
        </w:rPr>
        <w:t>支付师生参加2025年技能大赛相关费用；</w:t>
      </w:r>
    </w:p>
    <w:p w14:paraId="1B29F30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w:t>
      </w:r>
      <w:r>
        <w:rPr>
          <w:rFonts w:hint="eastAsia" w:ascii="仿宋" w:hAnsi="仿宋" w:eastAsia="仿宋" w:cs="仿宋"/>
          <w:color w:val="auto"/>
          <w:sz w:val="30"/>
          <w:szCs w:val="30"/>
          <w:highlight w:val="none"/>
        </w:rPr>
        <w:t>2024免学费资金项目经费27284.55元，主要用于</w:t>
      </w:r>
      <w:r>
        <w:rPr>
          <w:rFonts w:hint="eastAsia" w:ascii="仿宋" w:hAnsi="仿宋" w:eastAsia="仿宋" w:cs="仿宋"/>
          <w:color w:val="auto"/>
          <w:sz w:val="30"/>
          <w:szCs w:val="30"/>
          <w:highlight w:val="none"/>
          <w:lang w:val="en-US" w:eastAsia="zh-CN"/>
        </w:rPr>
        <w:t>支付2025年网络费；</w:t>
      </w:r>
    </w:p>
    <w:p w14:paraId="0866A438">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2024年中等职业教育免学费补助资金项目经费17953</w:t>
      </w:r>
      <w:r>
        <w:rPr>
          <w:rFonts w:hint="eastAsia" w:ascii="仿宋" w:hAnsi="仿宋" w:eastAsia="仿宋" w:cs="仿宋"/>
          <w:color w:val="auto"/>
          <w:sz w:val="30"/>
          <w:szCs w:val="30"/>
          <w:highlight w:val="none"/>
          <w:lang w:val="en-US" w:eastAsia="zh-CN"/>
        </w:rPr>
        <w:t>.00</w:t>
      </w:r>
      <w:r>
        <w:rPr>
          <w:rFonts w:hint="eastAsia" w:ascii="仿宋" w:hAnsi="仿宋" w:eastAsia="仿宋" w:cs="仿宋"/>
          <w:color w:val="auto"/>
          <w:sz w:val="30"/>
          <w:szCs w:val="30"/>
          <w:highlight w:val="none"/>
        </w:rPr>
        <w:t>元，主要用于</w:t>
      </w:r>
      <w:r>
        <w:rPr>
          <w:rFonts w:hint="eastAsia" w:ascii="仿宋" w:hAnsi="仿宋" w:eastAsia="仿宋" w:cs="仿宋"/>
          <w:color w:val="auto"/>
          <w:sz w:val="30"/>
          <w:szCs w:val="30"/>
          <w:highlight w:val="none"/>
          <w:lang w:val="en-US" w:eastAsia="zh-CN"/>
        </w:rPr>
        <w:t>支付材料费；</w:t>
      </w:r>
    </w:p>
    <w:p w14:paraId="14FB1BF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w:t>
      </w:r>
      <w:r>
        <w:rPr>
          <w:rFonts w:hint="eastAsia" w:ascii="仿宋" w:hAnsi="仿宋" w:eastAsia="仿宋" w:cs="仿宋"/>
          <w:color w:val="auto"/>
          <w:sz w:val="30"/>
          <w:szCs w:val="30"/>
          <w:highlight w:val="none"/>
        </w:rPr>
        <w:t>第二批免学费资金项目经费13049.44</w:t>
      </w:r>
      <w:r>
        <w:rPr>
          <w:rFonts w:hint="eastAsia" w:ascii="仿宋" w:hAnsi="仿宋" w:eastAsia="仿宋" w:cs="仿宋"/>
          <w:color w:val="auto"/>
          <w:sz w:val="30"/>
          <w:szCs w:val="30"/>
          <w:highlight w:val="none"/>
          <w:lang w:val="en-US" w:eastAsia="zh-CN"/>
        </w:rPr>
        <w:t>元，主要用于支付电费；</w:t>
      </w:r>
    </w:p>
    <w:p w14:paraId="264B62A2">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5、免学费资金</w:t>
      </w:r>
      <w:r>
        <w:rPr>
          <w:rFonts w:hint="eastAsia" w:ascii="仿宋" w:hAnsi="仿宋" w:eastAsia="仿宋" w:cs="仿宋"/>
          <w:color w:val="auto"/>
          <w:sz w:val="30"/>
          <w:szCs w:val="30"/>
          <w:highlight w:val="none"/>
        </w:rPr>
        <w:t>项目经费138527</w:t>
      </w:r>
      <w:r>
        <w:rPr>
          <w:rFonts w:hint="eastAsia" w:ascii="仿宋" w:hAnsi="仿宋" w:eastAsia="仿宋" w:cs="仿宋"/>
          <w:color w:val="auto"/>
          <w:sz w:val="30"/>
          <w:szCs w:val="30"/>
          <w:highlight w:val="none"/>
          <w:lang w:val="en-US" w:eastAsia="zh-CN"/>
        </w:rPr>
        <w:t>.00元，主要用于支付电费、试卷复印费、消防设备款、技能训练机、培训费、差旅费；</w:t>
      </w:r>
    </w:p>
    <w:p w14:paraId="665460C4">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6、2024年中等职业教育免学费补助资金项目经费36660.01元，主要用于付材料费、参加比赛差旅费、学生保险费；</w:t>
      </w:r>
    </w:p>
    <w:p w14:paraId="1A6FB98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7、2024免学费资金项目经费13638.85元，主要用于付电费；</w:t>
      </w:r>
    </w:p>
    <w:p w14:paraId="1E5A22F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8、第二批助学金资金项目经费10000.00元，主要用于付2025年国家奖学金和2025年省政府奖学金；</w:t>
      </w:r>
    </w:p>
    <w:p w14:paraId="21BF0D1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9、遗属补助资金项目经费2901.00元，主要用于发放遗属补助。</w:t>
      </w:r>
    </w:p>
    <w:p w14:paraId="33EBD03B">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009227C8">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C8CF1BC">
      <w:pPr>
        <w:widowControl/>
        <w:snapToGrid w:val="0"/>
        <w:spacing w:before="100" w:after="100" w:line="600" w:lineRule="exact"/>
        <w:ind w:firstLine="600" w:firstLineChars="200"/>
        <w:jc w:val="left"/>
        <w:rPr>
          <w:rFonts w:hint="eastAsia" w:ascii="仿宋" w:hAnsi="仿宋" w:eastAsia="仿宋" w:cs="仿宋"/>
          <w:color w:val="auto"/>
          <w:kern w:val="0"/>
          <w:sz w:val="30"/>
          <w:szCs w:val="30"/>
          <w:highlight w:val="none"/>
        </w:rPr>
      </w:pPr>
      <w:r>
        <w:rPr>
          <w:rFonts w:hint="eastAsia" w:ascii="仿宋" w:hAnsi="仿宋" w:eastAsia="仿宋" w:cs="仿宋"/>
          <w:color w:val="auto"/>
          <w:sz w:val="30"/>
          <w:szCs w:val="30"/>
          <w:highlight w:val="none"/>
          <w:lang w:val="en-US" w:eastAsia="zh-CN"/>
        </w:rPr>
        <w:t>华宁县职业高级中学2025</w:t>
      </w:r>
      <w:r>
        <w:rPr>
          <w:rFonts w:hint="eastAsia" w:ascii="仿宋" w:hAnsi="仿宋" w:eastAsia="仿宋" w:cs="仿宋"/>
          <w:color w:val="auto"/>
          <w:sz w:val="30"/>
          <w:szCs w:val="30"/>
          <w:highlight w:val="none"/>
        </w:rPr>
        <w:t>年度一般公共预算财政拨款支出</w:t>
      </w:r>
      <w:r>
        <w:rPr>
          <w:rFonts w:hint="eastAsia" w:ascii="仿宋" w:hAnsi="仿宋" w:eastAsia="仿宋" w:cs="仿宋"/>
          <w:color w:val="auto"/>
          <w:sz w:val="30"/>
          <w:szCs w:val="30"/>
          <w:highlight w:val="none"/>
          <w:lang w:val="en-US" w:eastAsia="zh-CN"/>
        </w:rPr>
        <w:t>9058438.08</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,占本年支出合计的</w:t>
      </w:r>
      <w:r>
        <w:rPr>
          <w:rFonts w:hint="eastAsia" w:ascii="仿宋" w:hAnsi="仿宋" w:eastAsia="仿宋" w:cs="仿宋"/>
          <w:color w:val="auto"/>
          <w:kern w:val="0"/>
          <w:sz w:val="30"/>
          <w:szCs w:val="30"/>
          <w:highlight w:val="none"/>
          <w:lang w:val="en-US" w:eastAsia="zh-CN"/>
        </w:rPr>
        <w:t>97.31</w:t>
      </w:r>
      <w:r>
        <w:rPr>
          <w:rFonts w:hint="eastAsia" w:ascii="仿宋" w:hAnsi="仿宋" w:eastAsia="仿宋" w:cs="仿宋"/>
          <w:color w:val="auto"/>
          <w:kern w:val="0"/>
          <w:sz w:val="30"/>
          <w:szCs w:val="30"/>
          <w:highlight w:val="none"/>
        </w:rPr>
        <w:t>%。与上年</w:t>
      </w:r>
      <w:r>
        <w:rPr>
          <w:rFonts w:hint="eastAsia" w:ascii="仿宋" w:hAnsi="仿宋" w:eastAsia="仿宋" w:cs="仿宋"/>
          <w:color w:val="auto"/>
          <w:kern w:val="0"/>
          <w:sz w:val="30"/>
          <w:szCs w:val="30"/>
          <w:highlight w:val="none"/>
          <w:lang w:eastAsia="zh-CN"/>
        </w:rPr>
        <w:t>相比</w:t>
      </w:r>
      <w:r>
        <w:rPr>
          <w:rFonts w:hint="eastAsia" w:ascii="仿宋" w:hAnsi="仿宋" w:eastAsia="仿宋" w:cs="仿宋"/>
          <w:color w:val="auto"/>
          <w:kern w:val="0"/>
          <w:sz w:val="30"/>
          <w:szCs w:val="30"/>
          <w:highlight w:val="none"/>
        </w:rPr>
        <w:t>减少</w:t>
      </w:r>
      <w:r>
        <w:rPr>
          <w:rFonts w:hint="eastAsia" w:ascii="仿宋" w:hAnsi="仿宋" w:eastAsia="仿宋" w:cs="仿宋"/>
          <w:color w:val="auto"/>
          <w:kern w:val="0"/>
          <w:sz w:val="30"/>
          <w:szCs w:val="30"/>
          <w:highlight w:val="none"/>
          <w:lang w:val="en-US" w:eastAsia="zh-CN"/>
        </w:rPr>
        <w:t>3358882.08</w:t>
      </w:r>
      <w:r>
        <w:rPr>
          <w:rFonts w:hint="eastAsia" w:ascii="仿宋" w:hAnsi="仿宋" w:eastAsia="仿宋" w:cs="仿宋"/>
          <w:color w:val="auto"/>
          <w:kern w:val="0"/>
          <w:sz w:val="30"/>
          <w:szCs w:val="30"/>
          <w:highlight w:val="none"/>
        </w:rPr>
        <w:t>元，下降</w:t>
      </w:r>
      <w:r>
        <w:rPr>
          <w:rFonts w:hint="eastAsia" w:ascii="仿宋" w:hAnsi="仿宋" w:eastAsia="仿宋" w:cs="仿宋"/>
          <w:color w:val="auto"/>
          <w:kern w:val="0"/>
          <w:sz w:val="30"/>
          <w:szCs w:val="30"/>
          <w:highlight w:val="none"/>
          <w:lang w:val="en-US" w:eastAsia="zh-CN"/>
        </w:rPr>
        <w:t>27.05</w:t>
      </w:r>
      <w:r>
        <w:rPr>
          <w:rFonts w:hint="eastAsia" w:ascii="仿宋" w:hAnsi="仿宋" w:eastAsia="仿宋" w:cs="仿宋"/>
          <w:color w:val="auto"/>
          <w:kern w:val="0"/>
          <w:sz w:val="30"/>
          <w:szCs w:val="30"/>
          <w:highlight w:val="none"/>
          <w:lang w:eastAsia="zh-CN"/>
        </w:rPr>
        <w:t>%,完成年初预算的</w:t>
      </w:r>
      <w:r>
        <w:rPr>
          <w:rFonts w:hint="eastAsia" w:ascii="仿宋" w:hAnsi="仿宋" w:eastAsia="仿宋" w:cs="仿宋"/>
          <w:color w:val="auto"/>
          <w:kern w:val="0"/>
          <w:sz w:val="30"/>
          <w:szCs w:val="30"/>
          <w:highlight w:val="none"/>
          <w:lang w:val="en-US" w:eastAsia="zh-CN"/>
        </w:rPr>
        <w:t>82.16%</w:t>
      </w:r>
      <w:r>
        <w:rPr>
          <w:rFonts w:hint="eastAsia" w:ascii="仿宋" w:hAnsi="仿宋" w:eastAsia="仿宋" w:cs="仿宋"/>
          <w:color w:val="auto"/>
          <w:kern w:val="0"/>
          <w:sz w:val="30"/>
          <w:szCs w:val="30"/>
          <w:highlight w:val="none"/>
        </w:rPr>
        <w:t>。</w:t>
      </w:r>
    </w:p>
    <w:p w14:paraId="27093F2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187AE48F">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kern w:val="0"/>
          <w:sz w:val="30"/>
          <w:szCs w:val="30"/>
          <w:highlight w:val="none"/>
        </w:rPr>
        <w:t>1.一般公共服务（类）支出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r>
        <w:rPr>
          <w:rFonts w:hint="eastAsia" w:ascii="仿宋" w:hAnsi="仿宋" w:eastAsia="仿宋" w:cs="仿宋"/>
          <w:color w:val="auto"/>
          <w:sz w:val="30"/>
          <w:szCs w:val="30"/>
          <w:highlight w:val="none"/>
        </w:rPr>
        <w:t>。</w:t>
      </w:r>
    </w:p>
    <w:p w14:paraId="61667A25">
      <w:pPr>
        <w:widowControl/>
        <w:snapToGrid w:val="0"/>
        <w:spacing w:before="100" w:after="100" w:line="360" w:lineRule="auto"/>
        <w:ind w:firstLine="600" w:firstLineChars="200"/>
        <w:jc w:val="left"/>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2.外交（类）支出</w:t>
      </w:r>
      <w:r>
        <w:rPr>
          <w:rFonts w:hint="eastAsia" w:ascii="仿宋" w:hAnsi="仿宋" w:eastAsia="仿宋" w:cs="仿宋"/>
          <w:color w:val="auto"/>
          <w:kern w:val="0"/>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181E4D94">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szCs w:val="30"/>
          <w:highlight w:val="none"/>
        </w:rPr>
        <w:t>3.国防（类）支出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37231160">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szCs w:val="30"/>
          <w:highlight w:val="none"/>
        </w:rPr>
        <w:t>4.公共安全（类）支出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6446836F">
      <w:pPr>
        <w:widowControl/>
        <w:snapToGrid w:val="0"/>
        <w:spacing w:before="100" w:after="100" w:line="360" w:lineRule="auto"/>
        <w:ind w:firstLine="600" w:firstLineChars="200"/>
        <w:jc w:val="left"/>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lang w:val="en-US"/>
        </w:rPr>
        <w:t>5.教育（类）支出</w:t>
      </w:r>
      <w:r>
        <w:rPr>
          <w:rFonts w:hint="eastAsia" w:ascii="仿宋" w:hAnsi="仿宋" w:eastAsia="仿宋" w:cs="仿宋"/>
          <w:color w:val="auto"/>
          <w:kern w:val="0"/>
          <w:sz w:val="30"/>
          <w:szCs w:val="30"/>
          <w:highlight w:val="none"/>
          <w:lang w:val="en-US" w:eastAsia="zh-CN"/>
        </w:rPr>
        <w:t>8373695.87</w:t>
      </w:r>
      <w:r>
        <w:rPr>
          <w:rFonts w:hint="eastAsia" w:ascii="仿宋" w:hAnsi="仿宋" w:eastAsia="仿宋" w:cs="仿宋"/>
          <w:color w:val="auto"/>
          <w:kern w:val="0"/>
          <w:sz w:val="30"/>
          <w:szCs w:val="30"/>
          <w:highlight w:val="none"/>
          <w:lang w:val="en-US"/>
        </w:rPr>
        <w:t>元，占一般公共预算财政拨款总支出的</w:t>
      </w:r>
      <w:r>
        <w:rPr>
          <w:rFonts w:hint="eastAsia" w:ascii="仿宋" w:hAnsi="仿宋" w:eastAsia="仿宋" w:cs="仿宋"/>
          <w:color w:val="auto"/>
          <w:kern w:val="0"/>
          <w:sz w:val="30"/>
          <w:szCs w:val="30"/>
          <w:highlight w:val="none"/>
          <w:lang w:val="en-US" w:eastAsia="zh-CN"/>
        </w:rPr>
        <w:t>92.44</w:t>
      </w:r>
      <w:r>
        <w:rPr>
          <w:rFonts w:hint="eastAsia" w:ascii="仿宋" w:hAnsi="仿宋" w:eastAsia="仿宋" w:cs="仿宋"/>
          <w:color w:val="auto"/>
          <w:kern w:val="0"/>
          <w:sz w:val="30"/>
          <w:szCs w:val="30"/>
          <w:highlight w:val="none"/>
          <w:lang w:val="en-US"/>
        </w:rPr>
        <w:t>%</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完成年初预算的</w:t>
      </w:r>
      <w:r>
        <w:rPr>
          <w:rFonts w:hint="eastAsia" w:ascii="仿宋" w:hAnsi="仿宋" w:eastAsia="仿宋" w:cs="仿宋"/>
          <w:color w:val="auto"/>
          <w:kern w:val="0"/>
          <w:sz w:val="30"/>
          <w:szCs w:val="30"/>
          <w:highlight w:val="none"/>
          <w:lang w:val="en-US" w:eastAsia="zh-CN"/>
        </w:rPr>
        <w:t>107%，主要用于支付基本工资、社会保险支出、支付办公费、水费、电费、邮电费、差旅费、工会经费、其他交通费用支出等。</w:t>
      </w:r>
      <w:r>
        <w:rPr>
          <w:rFonts w:hint="eastAsia" w:ascii="仿宋" w:hAnsi="仿宋" w:eastAsia="仿宋" w:cs="仿宋"/>
          <w:color w:val="auto"/>
          <w:kern w:val="0"/>
          <w:sz w:val="30"/>
          <w:szCs w:val="30"/>
          <w:highlight w:val="none"/>
          <w:lang w:eastAsia="zh-CN"/>
        </w:rPr>
        <w:t>造成预决算差异的主要原因是</w:t>
      </w:r>
      <w:r>
        <w:rPr>
          <w:rFonts w:hint="eastAsia" w:ascii="仿宋" w:hAnsi="仿宋" w:eastAsia="仿宋" w:cs="仿宋"/>
          <w:color w:val="auto"/>
          <w:kern w:val="0"/>
          <w:sz w:val="30"/>
          <w:szCs w:val="30"/>
          <w:highlight w:val="none"/>
        </w:rPr>
        <w:t>年度人员经费</w:t>
      </w:r>
      <w:r>
        <w:rPr>
          <w:rFonts w:hint="eastAsia" w:ascii="仿宋" w:hAnsi="仿宋" w:eastAsia="仿宋" w:cs="仿宋"/>
          <w:color w:val="auto"/>
          <w:kern w:val="0"/>
          <w:sz w:val="30"/>
          <w:szCs w:val="30"/>
          <w:highlight w:val="none"/>
          <w:lang w:val="en-US" w:eastAsia="zh-CN"/>
        </w:rPr>
        <w:t>新增4名人员</w:t>
      </w:r>
      <w:r>
        <w:rPr>
          <w:rFonts w:hint="eastAsia" w:ascii="仿宋" w:hAnsi="仿宋" w:eastAsia="仿宋" w:cs="仿宋"/>
          <w:color w:val="auto"/>
          <w:kern w:val="0"/>
          <w:sz w:val="30"/>
          <w:szCs w:val="30"/>
          <w:highlight w:val="none"/>
        </w:rPr>
        <w:t>，工资发放总额较预算有所增加。</w:t>
      </w:r>
    </w:p>
    <w:p w14:paraId="2FA7B1BB">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6.科学技术（类）支出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highlight w:val="none"/>
          <w:lang w:val="en-US"/>
        </w:rPr>
        <w:t>元，</w:t>
      </w:r>
      <w:r>
        <w:rPr>
          <w:rFonts w:hint="eastAsia" w:ascii="仿宋" w:hAnsi="仿宋" w:eastAsia="仿宋" w:cs="仿宋"/>
          <w:color w:val="auto"/>
          <w:sz w:val="30"/>
          <w:highlight w:val="none"/>
          <w:lang w:val="en-US"/>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highlight w:val="none"/>
          <w:lang w:val="en-US"/>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48F27040">
      <w:pPr>
        <w:widowControl/>
        <w:snapToGrid w:val="0"/>
        <w:spacing w:before="100" w:after="100" w:line="360" w:lineRule="auto"/>
        <w:ind w:firstLine="600" w:firstLineChars="200"/>
        <w:jc w:val="left"/>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kern w:val="0"/>
          <w:sz w:val="30"/>
          <w:highlight w:val="none"/>
          <w:lang w:val="en-US"/>
        </w:rPr>
        <w:t>7.文化旅游体育与传媒（类）支出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highlight w:val="none"/>
          <w:lang w:val="en-US"/>
        </w:rPr>
        <w:t>元，</w:t>
      </w:r>
      <w:r>
        <w:rPr>
          <w:rFonts w:hint="eastAsia" w:ascii="仿宋" w:hAnsi="仿宋" w:eastAsia="仿宋" w:cs="仿宋"/>
          <w:color w:val="auto"/>
          <w:sz w:val="30"/>
          <w:highlight w:val="none"/>
          <w:lang w:val="en-US"/>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highlight w:val="none"/>
          <w:lang w:val="en-US"/>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4900BA26">
      <w:pPr>
        <w:widowControl/>
        <w:snapToGrid w:val="0"/>
        <w:spacing w:before="100" w:after="100" w:line="360" w:lineRule="auto"/>
        <w:ind w:firstLine="600" w:firstLineChars="200"/>
        <w:jc w:val="left"/>
        <w:rPr>
          <w:rFonts w:hint="eastAsia" w:ascii="仿宋" w:hAnsi="仿宋" w:eastAsia="仿宋" w:cs="仿宋"/>
          <w:i w:val="0"/>
          <w:iCs w:val="0"/>
          <w:caps w:val="0"/>
          <w:color w:val="auto"/>
          <w:spacing w:val="0"/>
          <w:sz w:val="30"/>
          <w:szCs w:val="30"/>
          <w:shd w:val="clear" w:fill="FFFFFF"/>
        </w:rPr>
      </w:pPr>
      <w:r>
        <w:rPr>
          <w:rFonts w:hint="eastAsia" w:ascii="仿宋" w:hAnsi="仿宋" w:eastAsia="仿宋" w:cs="仿宋"/>
          <w:color w:val="auto"/>
          <w:kern w:val="0"/>
          <w:sz w:val="30"/>
          <w:highlight w:val="none"/>
          <w:lang w:val="en-US"/>
        </w:rPr>
        <w:t>8.社会保障和就业（类）支出</w:t>
      </w:r>
      <w:r>
        <w:rPr>
          <w:rFonts w:hint="eastAsia" w:ascii="仿宋" w:hAnsi="仿宋" w:eastAsia="仿宋" w:cs="仿宋"/>
          <w:color w:val="auto"/>
          <w:sz w:val="30"/>
          <w:szCs w:val="30"/>
          <w:highlight w:val="none"/>
          <w:lang w:val="en-US" w:eastAsia="zh-CN"/>
        </w:rPr>
        <w:t>289846.76</w:t>
      </w:r>
      <w:r>
        <w:rPr>
          <w:rFonts w:hint="eastAsia" w:ascii="仿宋" w:hAnsi="仿宋" w:eastAsia="仿宋" w:cs="仿宋"/>
          <w:color w:val="auto"/>
          <w:kern w:val="0"/>
          <w:sz w:val="30"/>
          <w:highlight w:val="none"/>
          <w:lang w:val="en-US"/>
        </w:rPr>
        <w:t>元，</w:t>
      </w:r>
      <w:r>
        <w:rPr>
          <w:rFonts w:hint="eastAsia" w:ascii="仿宋" w:hAnsi="仿宋" w:eastAsia="仿宋" w:cs="仿宋"/>
          <w:color w:val="auto"/>
          <w:sz w:val="30"/>
          <w:highlight w:val="none"/>
          <w:lang w:val="en-US"/>
        </w:rPr>
        <w:t>占一般公共预算财政拨款总支出的</w:t>
      </w:r>
      <w:r>
        <w:rPr>
          <w:rFonts w:hint="eastAsia" w:ascii="仿宋" w:hAnsi="仿宋" w:eastAsia="仿宋" w:cs="仿宋"/>
          <w:color w:val="auto"/>
          <w:sz w:val="30"/>
          <w:szCs w:val="30"/>
          <w:highlight w:val="none"/>
          <w:lang w:val="en-US" w:eastAsia="zh-CN"/>
        </w:rPr>
        <w:t>3.20</w:t>
      </w:r>
      <w:r>
        <w:rPr>
          <w:rFonts w:hint="eastAsia" w:ascii="仿宋" w:hAnsi="仿宋" w:eastAsia="仿宋" w:cs="仿宋"/>
          <w:color w:val="auto"/>
          <w:sz w:val="30"/>
          <w:highlight w:val="none"/>
          <w:lang w:val="en-US"/>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完成年初预算的</w:t>
      </w:r>
      <w:r>
        <w:rPr>
          <w:rFonts w:hint="eastAsia" w:ascii="仿宋" w:hAnsi="仿宋" w:eastAsia="仿宋" w:cs="仿宋"/>
          <w:color w:val="auto"/>
          <w:sz w:val="30"/>
          <w:szCs w:val="30"/>
          <w:highlight w:val="none"/>
          <w:lang w:val="en-US" w:eastAsia="zh-CN"/>
        </w:rPr>
        <w:t>21%</w:t>
      </w:r>
      <w:r>
        <w:rPr>
          <w:rFonts w:hint="eastAsia" w:ascii="仿宋" w:hAnsi="仿宋" w:eastAsia="仿宋" w:cs="仿宋"/>
          <w:color w:val="auto"/>
          <w:sz w:val="30"/>
          <w:szCs w:val="30"/>
          <w:highlight w:val="none"/>
        </w:rPr>
        <w:t>。</w:t>
      </w:r>
      <w:r>
        <w:rPr>
          <w:rFonts w:hint="eastAsia" w:ascii="仿宋" w:hAnsi="仿宋" w:eastAsia="仿宋" w:cs="仿宋"/>
          <w:color w:val="auto"/>
          <w:kern w:val="0"/>
          <w:sz w:val="30"/>
          <w:szCs w:val="30"/>
          <w:highlight w:val="none"/>
        </w:rPr>
        <w:t>主要用于</w:t>
      </w:r>
      <w:r>
        <w:rPr>
          <w:rFonts w:hint="eastAsia" w:ascii="仿宋" w:hAnsi="仿宋" w:eastAsia="仿宋" w:cs="仿宋"/>
          <w:color w:val="auto"/>
          <w:sz w:val="30"/>
          <w:szCs w:val="30"/>
          <w:highlight w:val="none"/>
          <w:lang w:val="en-US" w:eastAsia="zh-CN"/>
        </w:rPr>
        <w:t>缴纳职工养老保险</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造成预决算差异的主要原因是</w:t>
      </w:r>
      <w:r>
        <w:rPr>
          <w:rFonts w:hint="eastAsia" w:ascii="仿宋" w:hAnsi="仿宋" w:eastAsia="仿宋" w:cs="仿宋"/>
          <w:i w:val="0"/>
          <w:iCs w:val="0"/>
          <w:caps w:val="0"/>
          <w:color w:val="auto"/>
          <w:spacing w:val="0"/>
          <w:sz w:val="30"/>
          <w:szCs w:val="30"/>
          <w:shd w:val="clear" w:fill="FFFFFF"/>
        </w:rPr>
        <w:t>本年度我单位职工养老保险费未发放完，养老保险费缴纳总额减少。</w:t>
      </w:r>
    </w:p>
    <w:p w14:paraId="4592DAD5">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9.卫生健康（类）支出</w:t>
      </w:r>
      <w:r>
        <w:rPr>
          <w:rFonts w:hint="eastAsia" w:ascii="仿宋" w:hAnsi="仿宋" w:eastAsia="仿宋" w:cs="仿宋"/>
          <w:color w:val="auto"/>
          <w:sz w:val="30"/>
          <w:szCs w:val="30"/>
          <w:highlight w:val="none"/>
          <w:lang w:val="en-US" w:eastAsia="zh-CN"/>
        </w:rPr>
        <w:t>243371.45</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2.69</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完成年初预算的</w:t>
      </w:r>
      <w:r>
        <w:rPr>
          <w:rFonts w:hint="eastAsia" w:ascii="仿宋" w:hAnsi="仿宋" w:eastAsia="仿宋" w:cs="仿宋"/>
          <w:color w:val="auto"/>
          <w:sz w:val="30"/>
          <w:szCs w:val="30"/>
          <w:highlight w:val="none"/>
          <w:lang w:val="en-US" w:eastAsia="zh-CN"/>
        </w:rPr>
        <w:t>24.88%</w:t>
      </w:r>
      <w:r>
        <w:rPr>
          <w:rFonts w:hint="eastAsia" w:ascii="仿宋" w:hAnsi="仿宋" w:eastAsia="仿宋" w:cs="仿宋"/>
          <w:color w:val="auto"/>
          <w:sz w:val="30"/>
          <w:szCs w:val="30"/>
          <w:highlight w:val="none"/>
        </w:rPr>
        <w:t>。</w:t>
      </w:r>
      <w:r>
        <w:rPr>
          <w:rFonts w:hint="eastAsia" w:ascii="仿宋" w:hAnsi="仿宋" w:eastAsia="仿宋" w:cs="仿宋"/>
          <w:color w:val="auto"/>
          <w:kern w:val="0"/>
          <w:sz w:val="30"/>
          <w:szCs w:val="30"/>
          <w:highlight w:val="none"/>
        </w:rPr>
        <w:t>主要用于</w:t>
      </w:r>
      <w:r>
        <w:rPr>
          <w:rFonts w:hint="eastAsia" w:ascii="仿宋" w:hAnsi="仿宋" w:eastAsia="仿宋" w:cs="仿宋"/>
          <w:color w:val="auto"/>
          <w:sz w:val="30"/>
          <w:szCs w:val="30"/>
          <w:highlight w:val="none"/>
          <w:lang w:val="en-US" w:eastAsia="zh-CN"/>
        </w:rPr>
        <w:t>缴纳职工医疗保险</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造成预决算差异的主要原因是</w:t>
      </w:r>
      <w:r>
        <w:rPr>
          <w:rFonts w:hint="eastAsia" w:ascii="仿宋" w:hAnsi="仿宋" w:eastAsia="仿宋" w:cs="仿宋"/>
          <w:i w:val="0"/>
          <w:iCs w:val="0"/>
          <w:caps w:val="0"/>
          <w:color w:val="auto"/>
          <w:spacing w:val="0"/>
          <w:sz w:val="30"/>
          <w:szCs w:val="30"/>
          <w:shd w:val="clear" w:fill="FFFFFF"/>
        </w:rPr>
        <w:t>本年度我单位职工</w:t>
      </w:r>
      <w:r>
        <w:rPr>
          <w:rFonts w:hint="eastAsia" w:ascii="仿宋" w:hAnsi="仿宋" w:eastAsia="仿宋" w:cs="仿宋"/>
          <w:i w:val="0"/>
          <w:iCs w:val="0"/>
          <w:caps w:val="0"/>
          <w:color w:val="auto"/>
          <w:spacing w:val="0"/>
          <w:sz w:val="30"/>
          <w:szCs w:val="30"/>
          <w:shd w:val="clear" w:fill="FFFFFF"/>
          <w:lang w:val="en-US" w:eastAsia="zh-CN"/>
        </w:rPr>
        <w:t>医疗</w:t>
      </w:r>
      <w:r>
        <w:rPr>
          <w:rFonts w:hint="eastAsia" w:ascii="仿宋" w:hAnsi="仿宋" w:eastAsia="仿宋" w:cs="仿宋"/>
          <w:i w:val="0"/>
          <w:iCs w:val="0"/>
          <w:caps w:val="0"/>
          <w:color w:val="auto"/>
          <w:spacing w:val="0"/>
          <w:sz w:val="30"/>
          <w:szCs w:val="30"/>
          <w:shd w:val="clear" w:fill="FFFFFF"/>
        </w:rPr>
        <w:t>保险费未发放完，</w:t>
      </w:r>
      <w:r>
        <w:rPr>
          <w:rFonts w:hint="eastAsia" w:ascii="仿宋" w:hAnsi="仿宋" w:eastAsia="仿宋" w:cs="仿宋"/>
          <w:i w:val="0"/>
          <w:iCs w:val="0"/>
          <w:caps w:val="0"/>
          <w:color w:val="auto"/>
          <w:spacing w:val="0"/>
          <w:sz w:val="30"/>
          <w:szCs w:val="30"/>
          <w:shd w:val="clear" w:fill="FFFFFF"/>
          <w:lang w:val="en-US" w:eastAsia="zh-CN"/>
        </w:rPr>
        <w:t>医疗</w:t>
      </w:r>
      <w:r>
        <w:rPr>
          <w:rFonts w:hint="eastAsia" w:ascii="仿宋" w:hAnsi="仿宋" w:eastAsia="仿宋" w:cs="仿宋"/>
          <w:i w:val="0"/>
          <w:iCs w:val="0"/>
          <w:caps w:val="0"/>
          <w:color w:val="auto"/>
          <w:spacing w:val="0"/>
          <w:sz w:val="30"/>
          <w:szCs w:val="30"/>
          <w:shd w:val="clear" w:fill="FFFFFF"/>
        </w:rPr>
        <w:t>保险费缴纳总额减少</w:t>
      </w:r>
      <w:r>
        <w:rPr>
          <w:rFonts w:hint="eastAsia" w:ascii="仿宋" w:hAnsi="仿宋" w:eastAsia="仿宋" w:cs="仿宋"/>
          <w:color w:val="auto"/>
          <w:sz w:val="30"/>
          <w:szCs w:val="30"/>
          <w:highlight w:val="none"/>
          <w:lang w:eastAsia="zh-CN"/>
        </w:rPr>
        <w:t>。</w:t>
      </w:r>
    </w:p>
    <w:p w14:paraId="11A3D6AF">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10.节能环保（类）支出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53B4A5C5">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11.城乡社区（类）支出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47EECB86">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12.农林水（类）支出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51D17472">
      <w:pPr>
        <w:widowControl/>
        <w:snapToGrid w:val="0"/>
        <w:spacing w:before="100" w:after="100" w:line="360" w:lineRule="auto"/>
        <w:ind w:firstLine="600" w:firstLineChars="200"/>
        <w:jc w:val="left"/>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kern w:val="0"/>
          <w:sz w:val="30"/>
          <w:highlight w:val="none"/>
          <w:lang w:val="en-US"/>
        </w:rPr>
        <w:t>13.交通运输（类）支出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3F245F5A">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14.资源勘探工业信息等（类）支出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1C6B90AD">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15.商业服务业等（类）支出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64519120">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16.金融（类）支出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1EC83EA8">
      <w:pPr>
        <w:widowControl/>
        <w:snapToGrid w:val="0"/>
        <w:spacing w:before="100" w:after="100" w:line="360" w:lineRule="auto"/>
        <w:ind w:firstLine="600" w:firstLineChars="200"/>
        <w:jc w:val="left"/>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kern w:val="0"/>
          <w:sz w:val="30"/>
          <w:highlight w:val="none"/>
          <w:lang w:val="en-US"/>
        </w:rPr>
        <w:t>17.援助其他地区（类）支出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240BDD7F">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18.自然资源海洋气象等（类）支出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7C57BDCA">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19.住房保障（类）支出</w:t>
      </w:r>
      <w:r>
        <w:rPr>
          <w:rFonts w:hint="eastAsia" w:ascii="仿宋" w:hAnsi="仿宋" w:eastAsia="仿宋" w:cs="仿宋"/>
          <w:color w:val="auto"/>
          <w:sz w:val="30"/>
          <w:szCs w:val="30"/>
          <w:highlight w:val="none"/>
          <w:lang w:val="en-US" w:eastAsia="zh-CN"/>
        </w:rPr>
        <w:t>151524.00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1.67</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完成年初预算的</w:t>
      </w:r>
      <w:r>
        <w:rPr>
          <w:rFonts w:hint="eastAsia" w:ascii="仿宋" w:hAnsi="仿宋" w:eastAsia="仿宋" w:cs="仿宋"/>
          <w:color w:val="auto"/>
          <w:sz w:val="30"/>
          <w:szCs w:val="30"/>
          <w:highlight w:val="none"/>
          <w:lang w:val="en-US" w:eastAsia="zh-CN"/>
        </w:rPr>
        <w:t>17.78%</w:t>
      </w:r>
      <w:r>
        <w:rPr>
          <w:rFonts w:hint="eastAsia" w:ascii="仿宋" w:hAnsi="仿宋" w:eastAsia="仿宋" w:cs="仿宋"/>
          <w:color w:val="auto"/>
          <w:sz w:val="30"/>
          <w:szCs w:val="30"/>
          <w:highlight w:val="none"/>
        </w:rPr>
        <w:t>。</w:t>
      </w:r>
      <w:r>
        <w:rPr>
          <w:rFonts w:hint="eastAsia" w:ascii="仿宋" w:hAnsi="仿宋" w:eastAsia="仿宋" w:cs="仿宋"/>
          <w:color w:val="auto"/>
          <w:kern w:val="0"/>
          <w:sz w:val="30"/>
          <w:szCs w:val="30"/>
          <w:highlight w:val="none"/>
        </w:rPr>
        <w:t>主要用于</w:t>
      </w:r>
      <w:r>
        <w:rPr>
          <w:rFonts w:hint="eastAsia" w:ascii="仿宋" w:hAnsi="仿宋" w:eastAsia="仿宋" w:cs="仿宋"/>
          <w:color w:val="auto"/>
          <w:sz w:val="30"/>
          <w:szCs w:val="30"/>
          <w:highlight w:val="none"/>
          <w:lang w:val="en-US" w:eastAsia="zh-CN"/>
        </w:rPr>
        <w:t>支付住房公积金</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造成预决算差异的主要原因是</w:t>
      </w:r>
      <w:r>
        <w:rPr>
          <w:rFonts w:hint="eastAsia" w:ascii="仿宋" w:hAnsi="仿宋" w:eastAsia="仿宋" w:cs="仿宋"/>
          <w:i w:val="0"/>
          <w:iCs w:val="0"/>
          <w:caps w:val="0"/>
          <w:color w:val="auto"/>
          <w:spacing w:val="0"/>
          <w:sz w:val="30"/>
          <w:szCs w:val="30"/>
          <w:shd w:val="clear" w:fill="FFFFFF"/>
        </w:rPr>
        <w:t>本年度我单位职工</w:t>
      </w:r>
      <w:r>
        <w:rPr>
          <w:rFonts w:hint="eastAsia" w:ascii="仿宋" w:hAnsi="仿宋" w:eastAsia="仿宋" w:cs="仿宋"/>
          <w:i w:val="0"/>
          <w:iCs w:val="0"/>
          <w:caps w:val="0"/>
          <w:color w:val="auto"/>
          <w:spacing w:val="0"/>
          <w:sz w:val="30"/>
          <w:szCs w:val="30"/>
          <w:shd w:val="clear" w:fill="FFFFFF"/>
          <w:lang w:val="en-US" w:eastAsia="zh-CN"/>
        </w:rPr>
        <w:t>住房公积金</w:t>
      </w:r>
      <w:r>
        <w:rPr>
          <w:rFonts w:hint="eastAsia" w:ascii="仿宋" w:hAnsi="仿宋" w:eastAsia="仿宋" w:cs="仿宋"/>
          <w:i w:val="0"/>
          <w:iCs w:val="0"/>
          <w:caps w:val="0"/>
          <w:color w:val="auto"/>
          <w:spacing w:val="0"/>
          <w:sz w:val="30"/>
          <w:szCs w:val="30"/>
          <w:shd w:val="clear" w:fill="FFFFFF"/>
        </w:rPr>
        <w:t>未发放完，</w:t>
      </w:r>
      <w:r>
        <w:rPr>
          <w:rFonts w:hint="eastAsia" w:ascii="仿宋" w:hAnsi="仿宋" w:eastAsia="仿宋" w:cs="仿宋"/>
          <w:i w:val="0"/>
          <w:iCs w:val="0"/>
          <w:caps w:val="0"/>
          <w:color w:val="auto"/>
          <w:spacing w:val="0"/>
          <w:sz w:val="30"/>
          <w:szCs w:val="30"/>
          <w:shd w:val="clear" w:fill="FFFFFF"/>
          <w:lang w:val="en-US" w:eastAsia="zh-CN"/>
        </w:rPr>
        <w:t>公积金</w:t>
      </w:r>
      <w:r>
        <w:rPr>
          <w:rFonts w:hint="eastAsia" w:ascii="仿宋" w:hAnsi="仿宋" w:eastAsia="仿宋" w:cs="仿宋"/>
          <w:i w:val="0"/>
          <w:iCs w:val="0"/>
          <w:caps w:val="0"/>
          <w:color w:val="auto"/>
          <w:spacing w:val="0"/>
          <w:sz w:val="30"/>
          <w:szCs w:val="30"/>
          <w:shd w:val="clear" w:fill="FFFFFF"/>
        </w:rPr>
        <w:t>缴纳总额减少</w:t>
      </w:r>
      <w:r>
        <w:rPr>
          <w:rFonts w:hint="eastAsia" w:ascii="仿宋" w:hAnsi="仿宋" w:eastAsia="仿宋" w:cs="仿宋"/>
          <w:i w:val="0"/>
          <w:iCs w:val="0"/>
          <w:caps w:val="0"/>
          <w:color w:val="auto"/>
          <w:spacing w:val="0"/>
          <w:sz w:val="30"/>
          <w:szCs w:val="30"/>
          <w:shd w:val="clear" w:fill="FFFFFF"/>
          <w:lang w:eastAsia="zh-CN"/>
        </w:rPr>
        <w:t>。</w:t>
      </w:r>
    </w:p>
    <w:p w14:paraId="4C6AC181">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20.粮油物资储备（类）支出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448C83ED">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21.国有资本经营预算（类）支出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25ADEF52">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22.灾害防治及应急管理（类）支出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07209B35">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kern w:val="0"/>
          <w:sz w:val="30"/>
          <w:highlight w:val="none"/>
          <w:lang w:val="en-US"/>
        </w:rPr>
        <w:t>23.其他（类）支出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r>
        <w:rPr>
          <w:rFonts w:hint="eastAsia" w:ascii="仿宋" w:hAnsi="仿宋" w:eastAsia="仿宋" w:cs="仿宋"/>
          <w:color w:val="auto"/>
          <w:sz w:val="30"/>
          <w:szCs w:val="30"/>
          <w:highlight w:val="none"/>
        </w:rPr>
        <w:t>。</w:t>
      </w:r>
    </w:p>
    <w:p w14:paraId="5B8299AF">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24.债务还本（类）支出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54002295">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25.债务付息（类）支出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4D773352">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highlight w:val="none"/>
          <w:lang w:val="en-US"/>
        </w:rPr>
        <w:t>26.抗疫特别国债安排（类）支出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rPr>
        <w:t>占一般公共预算财政拨款总支出的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年初无此项预算。</w:t>
      </w:r>
    </w:p>
    <w:p w14:paraId="1806F4A9">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lang w:eastAsia="zh-CN"/>
        </w:rPr>
      </w:pPr>
    </w:p>
    <w:p w14:paraId="216B91BE">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6C182FD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42517CF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szCs w:val="30"/>
          <w:highlight w:val="none"/>
          <w:lang w:val="en-US" w:eastAsia="zh-CN"/>
        </w:rPr>
        <w:t>2025</w:t>
      </w:r>
      <w:r>
        <w:rPr>
          <w:rFonts w:hint="eastAsia" w:ascii="仿宋" w:hAnsi="仿宋" w:eastAsia="仿宋" w:cs="仿宋"/>
          <w:color w:val="auto"/>
          <w:kern w:val="0"/>
          <w:sz w:val="30"/>
          <w:szCs w:val="30"/>
          <w:highlight w:val="none"/>
        </w:rPr>
        <w:t>年度财政拨款“三公”经费支出决算中，财政拨款“三公”经费支出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kern w:val="0"/>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元，决算为</w:t>
      </w:r>
      <w:r>
        <w:rPr>
          <w:rFonts w:hint="eastAsia" w:ascii="仿宋" w:hAnsi="仿宋" w:eastAsia="仿宋" w:cs="仿宋"/>
          <w:color w:val="auto"/>
          <w:kern w:val="0"/>
          <w:sz w:val="30"/>
          <w:szCs w:val="30"/>
          <w:highlight w:val="none"/>
          <w:lang w:val="en-US" w:eastAsia="zh-CN"/>
        </w:rPr>
        <w:t>0</w:t>
      </w:r>
      <w:r>
        <w:rPr>
          <w:rFonts w:hint="eastAsia" w:ascii="仿宋" w:hAnsi="仿宋" w:eastAsia="仿宋" w:cs="仿宋"/>
          <w:color w:val="auto"/>
          <w:sz w:val="30"/>
          <w:szCs w:val="30"/>
          <w:highlight w:val="none"/>
          <w:lang w:val="en-US" w:eastAsia="zh-CN"/>
        </w:rPr>
        <w:t>.00</w:t>
      </w:r>
      <w:r>
        <w:rPr>
          <w:rFonts w:hint="eastAsia" w:ascii="仿宋" w:hAnsi="仿宋" w:eastAsia="仿宋" w:cs="仿宋"/>
          <w:color w:val="auto"/>
          <w:kern w:val="0"/>
          <w:sz w:val="30"/>
          <w:szCs w:val="30"/>
          <w:highlight w:val="none"/>
        </w:rPr>
        <w:t>元，</w:t>
      </w:r>
      <w:r>
        <w:rPr>
          <w:rFonts w:hint="eastAsia" w:ascii="仿宋" w:hAnsi="仿宋" w:eastAsia="仿宋" w:cs="仿宋"/>
          <w:color w:val="auto"/>
          <w:kern w:val="0"/>
          <w:sz w:val="30"/>
          <w:szCs w:val="30"/>
          <w:highlight w:val="none"/>
          <w:lang w:eastAsia="zh-CN"/>
        </w:rPr>
        <w:t>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p>
    <w:p w14:paraId="00E922A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kern w:val="0"/>
          <w:sz w:val="30"/>
          <w:szCs w:val="30"/>
          <w:highlight w:val="none"/>
          <w:lang w:eastAsia="zh-CN"/>
        </w:rPr>
        <w:t>因公出国（境）费用</w:t>
      </w:r>
      <w:r>
        <w:rPr>
          <w:rFonts w:hint="eastAsia" w:ascii="仿宋" w:hAnsi="仿宋" w:eastAsia="仿宋" w:cs="仿宋"/>
          <w:color w:val="auto"/>
          <w:kern w:val="0"/>
          <w:sz w:val="30"/>
          <w:szCs w:val="30"/>
          <w:highlight w:val="none"/>
        </w:rPr>
        <w:t>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kern w:val="0"/>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w:t>
      </w:r>
      <w:r>
        <w:rPr>
          <w:rFonts w:hint="eastAsia" w:ascii="仿宋" w:hAnsi="仿宋" w:eastAsia="仿宋" w:cs="仿宋"/>
          <w:color w:val="auto"/>
          <w:kern w:val="0"/>
          <w:sz w:val="30"/>
          <w:szCs w:val="30"/>
          <w:highlight w:val="none"/>
          <w:lang w:eastAsia="zh-CN"/>
        </w:rPr>
        <w:t>，决算为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元，占财政拨款“三公”经费</w:t>
      </w:r>
      <w:r>
        <w:rPr>
          <w:rFonts w:hint="eastAsia" w:ascii="仿宋" w:hAnsi="仿宋" w:eastAsia="仿宋" w:cs="仿宋"/>
          <w:color w:val="auto"/>
          <w:kern w:val="0"/>
          <w:sz w:val="30"/>
          <w:szCs w:val="30"/>
          <w:highlight w:val="none"/>
          <w:lang w:eastAsia="zh-CN"/>
        </w:rPr>
        <w:t>总支出决算的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eastAsia="zh-CN"/>
        </w:rPr>
        <w:t>，</w:t>
      </w:r>
      <w:r>
        <w:rPr>
          <w:rFonts w:hint="eastAsia" w:ascii="仿宋" w:hAnsi="仿宋" w:eastAsia="仿宋" w:cs="仿宋"/>
          <w:color w:val="auto"/>
          <w:kern w:val="0"/>
          <w:sz w:val="30"/>
          <w:szCs w:val="30"/>
          <w:highlight w:val="none"/>
        </w:rPr>
        <w:t>公务用车购置费支出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kern w:val="0"/>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w:t>
      </w:r>
      <w:r>
        <w:rPr>
          <w:rFonts w:hint="eastAsia" w:ascii="仿宋" w:hAnsi="仿宋" w:eastAsia="仿宋" w:cs="仿宋"/>
          <w:color w:val="auto"/>
          <w:kern w:val="0"/>
          <w:sz w:val="30"/>
          <w:szCs w:val="30"/>
          <w:highlight w:val="none"/>
          <w:lang w:eastAsia="zh-CN"/>
        </w:rPr>
        <w:t>，决算为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元，占财政拨款“三公”经费</w:t>
      </w:r>
      <w:r>
        <w:rPr>
          <w:rFonts w:hint="eastAsia" w:ascii="仿宋" w:hAnsi="仿宋" w:eastAsia="仿宋" w:cs="仿宋"/>
          <w:color w:val="auto"/>
          <w:kern w:val="0"/>
          <w:sz w:val="30"/>
          <w:szCs w:val="30"/>
          <w:highlight w:val="none"/>
          <w:lang w:eastAsia="zh-CN"/>
        </w:rPr>
        <w:t>总支出决算的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%；公务用车</w:t>
      </w:r>
      <w:r>
        <w:rPr>
          <w:rFonts w:hint="eastAsia" w:ascii="仿宋" w:hAnsi="仿宋" w:eastAsia="仿宋" w:cs="仿宋"/>
          <w:color w:val="auto"/>
          <w:kern w:val="0"/>
          <w:sz w:val="30"/>
          <w:szCs w:val="30"/>
          <w:highlight w:val="none"/>
          <w:lang w:eastAsia="zh-CN"/>
        </w:rPr>
        <w:t>运行维护</w:t>
      </w:r>
      <w:r>
        <w:rPr>
          <w:rFonts w:hint="eastAsia" w:ascii="仿宋" w:hAnsi="仿宋" w:eastAsia="仿宋" w:cs="仿宋"/>
          <w:color w:val="auto"/>
          <w:kern w:val="0"/>
          <w:sz w:val="30"/>
          <w:szCs w:val="30"/>
          <w:highlight w:val="none"/>
        </w:rPr>
        <w:t>费支出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kern w:val="0"/>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w:t>
      </w:r>
      <w:r>
        <w:rPr>
          <w:rFonts w:hint="eastAsia" w:ascii="仿宋" w:hAnsi="仿宋" w:eastAsia="仿宋" w:cs="仿宋"/>
          <w:color w:val="auto"/>
          <w:kern w:val="0"/>
          <w:sz w:val="30"/>
          <w:szCs w:val="30"/>
          <w:highlight w:val="none"/>
          <w:lang w:eastAsia="zh-CN"/>
        </w:rPr>
        <w:t>，决算为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元，占财政拨款“三公”经费</w:t>
      </w:r>
      <w:r>
        <w:rPr>
          <w:rFonts w:hint="eastAsia" w:ascii="仿宋" w:hAnsi="仿宋" w:eastAsia="仿宋" w:cs="仿宋"/>
          <w:color w:val="auto"/>
          <w:kern w:val="0"/>
          <w:sz w:val="30"/>
          <w:szCs w:val="30"/>
          <w:highlight w:val="none"/>
          <w:lang w:eastAsia="zh-CN"/>
        </w:rPr>
        <w:t>总支出决算的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w:t>
      </w:r>
      <w:r>
        <w:rPr>
          <w:rFonts w:hint="eastAsia" w:ascii="仿宋" w:hAnsi="仿宋" w:eastAsia="仿宋" w:cs="仿宋"/>
          <w:color w:val="auto"/>
          <w:kern w:val="0"/>
          <w:sz w:val="30"/>
          <w:szCs w:val="30"/>
          <w:highlight w:val="none"/>
          <w:lang w:val="en-US" w:eastAsia="zh-CN"/>
        </w:rPr>
        <w:t>；</w:t>
      </w:r>
      <w:r>
        <w:rPr>
          <w:rFonts w:hint="eastAsia" w:ascii="仿宋" w:hAnsi="仿宋" w:eastAsia="仿宋" w:cs="仿宋"/>
          <w:color w:val="auto"/>
          <w:kern w:val="0"/>
          <w:sz w:val="30"/>
          <w:szCs w:val="30"/>
          <w:highlight w:val="none"/>
        </w:rPr>
        <w:t>公务接待费支出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kern w:val="0"/>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w:t>
      </w:r>
      <w:r>
        <w:rPr>
          <w:rFonts w:hint="eastAsia" w:ascii="仿宋" w:hAnsi="仿宋" w:eastAsia="仿宋" w:cs="仿宋"/>
          <w:color w:val="auto"/>
          <w:kern w:val="0"/>
          <w:sz w:val="30"/>
          <w:szCs w:val="30"/>
          <w:highlight w:val="none"/>
          <w:lang w:eastAsia="zh-CN"/>
        </w:rPr>
        <w:t>，决算为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元，占财政拨款“三公”经费</w:t>
      </w:r>
      <w:r>
        <w:rPr>
          <w:rFonts w:hint="eastAsia" w:ascii="仿宋" w:hAnsi="仿宋" w:eastAsia="仿宋" w:cs="仿宋"/>
          <w:color w:val="auto"/>
          <w:kern w:val="0"/>
          <w:sz w:val="30"/>
          <w:szCs w:val="30"/>
          <w:highlight w:val="none"/>
          <w:lang w:eastAsia="zh-CN"/>
        </w:rPr>
        <w:t>总支出决算的</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rPr>
        <w:t>%</w:t>
      </w:r>
      <w:r>
        <w:rPr>
          <w:rFonts w:hint="eastAsia" w:ascii="仿宋" w:hAnsi="仿宋" w:eastAsia="仿宋" w:cs="仿宋"/>
          <w:color w:val="auto"/>
          <w:sz w:val="30"/>
          <w:szCs w:val="30"/>
          <w:highlight w:val="none"/>
          <w:lang w:eastAsia="zh-CN"/>
        </w:rPr>
        <w:t>。</w:t>
      </w:r>
    </w:p>
    <w:p w14:paraId="03BAF8B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sz w:val="30"/>
          <w:szCs w:val="30"/>
          <w:highlight w:val="none"/>
          <w:lang w:eastAsia="zh-CN"/>
        </w:rPr>
        <w:t>因公出国（境）费用</w:t>
      </w:r>
      <w:r>
        <w:rPr>
          <w:rFonts w:hint="eastAsia" w:ascii="仿宋" w:hAnsi="仿宋" w:eastAsia="仿宋" w:cs="仿宋"/>
          <w:color w:val="auto"/>
          <w:kern w:val="0"/>
          <w:sz w:val="30"/>
          <w:szCs w:val="30"/>
          <w:highlight w:val="none"/>
          <w:lang w:eastAsia="zh-CN"/>
        </w:rPr>
        <w:t>支出决算较上年增加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r>
        <w:rPr>
          <w:rFonts w:hint="eastAsia" w:ascii="仿宋" w:hAnsi="仿宋" w:eastAsia="仿宋" w:cs="仿宋"/>
          <w:color w:val="auto"/>
          <w:sz w:val="30"/>
          <w:szCs w:val="30"/>
          <w:highlight w:val="none"/>
        </w:rPr>
        <w:t>公务用车购置费</w:t>
      </w:r>
      <w:r>
        <w:rPr>
          <w:rFonts w:hint="eastAsia" w:ascii="仿宋" w:hAnsi="仿宋" w:eastAsia="仿宋" w:cs="仿宋"/>
          <w:color w:val="auto"/>
          <w:kern w:val="0"/>
          <w:sz w:val="30"/>
          <w:szCs w:val="30"/>
          <w:highlight w:val="none"/>
          <w:lang w:eastAsia="zh-CN"/>
        </w:rPr>
        <w:t>支出决算较上年增加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r>
        <w:rPr>
          <w:rFonts w:hint="eastAsia" w:ascii="仿宋" w:hAnsi="仿宋" w:eastAsia="仿宋" w:cs="仿宋"/>
          <w:color w:val="auto"/>
          <w:sz w:val="30"/>
          <w:szCs w:val="30"/>
          <w:highlight w:val="none"/>
        </w:rPr>
        <w:t>公务用车</w:t>
      </w:r>
      <w:r>
        <w:rPr>
          <w:rFonts w:hint="eastAsia" w:ascii="仿宋" w:hAnsi="仿宋" w:eastAsia="仿宋" w:cs="仿宋"/>
          <w:color w:val="auto"/>
          <w:sz w:val="30"/>
          <w:szCs w:val="30"/>
          <w:highlight w:val="none"/>
          <w:lang w:eastAsia="zh-CN"/>
        </w:rPr>
        <w:t>运行维护费</w:t>
      </w:r>
      <w:r>
        <w:rPr>
          <w:rFonts w:hint="eastAsia" w:ascii="仿宋" w:hAnsi="仿宋" w:eastAsia="仿宋" w:cs="仿宋"/>
          <w:color w:val="auto"/>
          <w:kern w:val="0"/>
          <w:sz w:val="30"/>
          <w:szCs w:val="30"/>
          <w:highlight w:val="none"/>
          <w:lang w:eastAsia="zh-CN"/>
        </w:rPr>
        <w:t>支出决算较上年增加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r>
        <w:rPr>
          <w:rFonts w:hint="eastAsia" w:ascii="仿宋" w:hAnsi="仿宋" w:eastAsia="仿宋" w:cs="仿宋"/>
          <w:color w:val="auto"/>
          <w:sz w:val="30"/>
          <w:szCs w:val="30"/>
          <w:highlight w:val="none"/>
        </w:rPr>
        <w:t>公务接待费</w:t>
      </w:r>
      <w:r>
        <w:rPr>
          <w:rFonts w:hint="eastAsia" w:ascii="仿宋" w:hAnsi="仿宋" w:eastAsia="仿宋" w:cs="仿宋"/>
          <w:color w:val="auto"/>
          <w:kern w:val="0"/>
          <w:sz w:val="30"/>
          <w:szCs w:val="30"/>
          <w:highlight w:val="none"/>
          <w:lang w:eastAsia="zh-CN"/>
        </w:rPr>
        <w:t>支出决算较上年增加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；具体是国内接待费支出决算</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元（其中：外事接待费支出决算</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国（境）外接待费支出决算</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p>
    <w:p w14:paraId="636E3C4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3343EB8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sz w:val="30"/>
          <w:szCs w:val="30"/>
          <w:highlight w:val="none"/>
          <w:lang w:val="en-US" w:eastAsia="zh-CN"/>
        </w:rPr>
        <w:t>2025</w:t>
      </w:r>
      <w:r>
        <w:rPr>
          <w:rFonts w:hint="eastAsia" w:ascii="仿宋" w:hAnsi="仿宋" w:eastAsia="仿宋" w:cs="仿宋"/>
          <w:color w:val="auto"/>
          <w:sz w:val="30"/>
          <w:szCs w:val="30"/>
          <w:highlight w:val="none"/>
        </w:rPr>
        <w:t>年度一般公共预算财政拨款“三公”经费支出</w:t>
      </w:r>
      <w:r>
        <w:rPr>
          <w:rFonts w:hint="eastAsia" w:ascii="仿宋" w:hAnsi="仿宋" w:eastAsia="仿宋" w:cs="仿宋"/>
          <w:color w:val="auto"/>
          <w:kern w:val="0"/>
          <w:sz w:val="30"/>
          <w:szCs w:val="30"/>
          <w:highlight w:val="none"/>
          <w:lang w:eastAsia="zh-CN"/>
        </w:rPr>
        <w:t>年初</w:t>
      </w:r>
      <w:r>
        <w:rPr>
          <w:rFonts w:hint="eastAsia" w:ascii="仿宋" w:hAnsi="仿宋" w:eastAsia="仿宋" w:cs="仿宋"/>
          <w:color w:val="auto"/>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，支出决算为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kern w:val="0"/>
          <w:sz w:val="30"/>
          <w:szCs w:val="30"/>
          <w:highlight w:val="none"/>
          <w:lang w:eastAsia="zh-CN"/>
        </w:rPr>
        <w:t>支出决算较上年增加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p>
    <w:p w14:paraId="6955ECD2">
      <w:pPr>
        <w:widowControl/>
        <w:snapToGrid w:val="0"/>
        <w:spacing w:before="100" w:after="100" w:line="360" w:lineRule="auto"/>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sz w:val="30"/>
          <w:szCs w:val="30"/>
          <w:highlight w:val="none"/>
        </w:rPr>
        <w:t>一般公共预算财政拨款“三公”经费支出</w:t>
      </w:r>
      <w:r>
        <w:rPr>
          <w:rFonts w:hint="eastAsia" w:ascii="仿宋" w:hAnsi="仿宋" w:eastAsia="仿宋" w:cs="仿宋"/>
          <w:sz w:val="30"/>
          <w:szCs w:val="30"/>
          <w:highlight w:val="none"/>
          <w:lang w:eastAsia="zh-CN"/>
        </w:rPr>
        <w:t>中：因公出国（境）费用</w:t>
      </w:r>
      <w:r>
        <w:rPr>
          <w:rFonts w:hint="eastAsia" w:ascii="仿宋" w:hAnsi="仿宋" w:eastAsia="仿宋" w:cs="仿宋"/>
          <w:sz w:val="30"/>
          <w:szCs w:val="30"/>
          <w:highlight w:val="none"/>
        </w:rPr>
        <w:t>支出</w:t>
      </w:r>
      <w:r>
        <w:rPr>
          <w:rFonts w:hint="eastAsia" w:ascii="仿宋" w:hAnsi="仿宋" w:eastAsia="仿宋" w:cs="仿宋"/>
          <w:sz w:val="30"/>
          <w:szCs w:val="30"/>
          <w:highlight w:val="none"/>
          <w:lang w:eastAsia="zh-CN"/>
        </w:rPr>
        <w:t>年</w:t>
      </w:r>
      <w:r>
        <w:rPr>
          <w:rFonts w:hint="eastAsia" w:ascii="仿宋" w:hAnsi="仿宋" w:eastAsia="仿宋" w:cs="仿宋"/>
          <w:kern w:val="0"/>
          <w:sz w:val="30"/>
          <w:szCs w:val="30"/>
          <w:highlight w:val="none"/>
          <w:lang w:eastAsia="zh-CN"/>
        </w:rPr>
        <w:t>初</w:t>
      </w:r>
      <w:r>
        <w:rPr>
          <w:rFonts w:hint="eastAsia" w:ascii="仿宋" w:hAnsi="仿宋" w:eastAsia="仿宋" w:cs="仿宋"/>
          <w:sz w:val="30"/>
          <w:szCs w:val="30"/>
          <w:highlight w:val="none"/>
        </w:rPr>
        <w:t>预算为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，决算为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；公务用车购置费支出</w:t>
      </w:r>
      <w:r>
        <w:rPr>
          <w:rFonts w:hint="eastAsia" w:ascii="仿宋" w:hAnsi="仿宋" w:eastAsia="仿宋" w:cs="仿宋"/>
          <w:sz w:val="30"/>
          <w:szCs w:val="30"/>
          <w:highlight w:val="none"/>
          <w:lang w:eastAsia="zh-CN"/>
        </w:rPr>
        <w:t>年</w:t>
      </w:r>
      <w:r>
        <w:rPr>
          <w:rFonts w:hint="eastAsia" w:ascii="仿宋" w:hAnsi="仿宋" w:eastAsia="仿宋" w:cs="仿宋"/>
          <w:kern w:val="0"/>
          <w:sz w:val="30"/>
          <w:szCs w:val="30"/>
          <w:highlight w:val="none"/>
          <w:lang w:eastAsia="zh-CN"/>
        </w:rPr>
        <w:t>初</w:t>
      </w:r>
      <w:r>
        <w:rPr>
          <w:rFonts w:hint="eastAsia" w:ascii="仿宋" w:hAnsi="仿宋" w:eastAsia="仿宋" w:cs="仿宋"/>
          <w:sz w:val="30"/>
          <w:szCs w:val="30"/>
          <w:highlight w:val="none"/>
        </w:rPr>
        <w:t>预算为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，决算为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；公务用车</w:t>
      </w:r>
      <w:r>
        <w:rPr>
          <w:rFonts w:hint="eastAsia" w:ascii="仿宋" w:hAnsi="仿宋" w:eastAsia="仿宋" w:cs="仿宋"/>
          <w:sz w:val="30"/>
          <w:szCs w:val="30"/>
          <w:highlight w:val="none"/>
          <w:lang w:eastAsia="zh-CN"/>
        </w:rPr>
        <w:t>运行维护费</w:t>
      </w:r>
      <w:r>
        <w:rPr>
          <w:rFonts w:hint="eastAsia" w:ascii="仿宋" w:hAnsi="仿宋" w:eastAsia="仿宋" w:cs="仿宋"/>
          <w:sz w:val="30"/>
          <w:szCs w:val="30"/>
          <w:highlight w:val="none"/>
        </w:rPr>
        <w:t>支出</w:t>
      </w:r>
      <w:r>
        <w:rPr>
          <w:rFonts w:hint="eastAsia" w:ascii="仿宋" w:hAnsi="仿宋" w:eastAsia="仿宋" w:cs="仿宋"/>
          <w:sz w:val="30"/>
          <w:szCs w:val="30"/>
          <w:highlight w:val="none"/>
          <w:lang w:eastAsia="zh-CN"/>
        </w:rPr>
        <w:t>年</w:t>
      </w:r>
      <w:r>
        <w:rPr>
          <w:rFonts w:hint="eastAsia" w:ascii="仿宋" w:hAnsi="仿宋" w:eastAsia="仿宋" w:cs="仿宋"/>
          <w:kern w:val="0"/>
          <w:sz w:val="30"/>
          <w:szCs w:val="30"/>
          <w:highlight w:val="none"/>
          <w:lang w:eastAsia="zh-CN"/>
        </w:rPr>
        <w:t>初</w:t>
      </w:r>
      <w:r>
        <w:rPr>
          <w:rFonts w:hint="eastAsia" w:ascii="仿宋" w:hAnsi="仿宋" w:eastAsia="仿宋" w:cs="仿宋"/>
          <w:sz w:val="30"/>
          <w:szCs w:val="30"/>
          <w:highlight w:val="none"/>
        </w:rPr>
        <w:t>预算为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，决算为</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；公务接待费支出</w:t>
      </w:r>
      <w:r>
        <w:rPr>
          <w:rFonts w:hint="eastAsia" w:ascii="仿宋" w:hAnsi="仿宋" w:eastAsia="仿宋" w:cs="仿宋"/>
          <w:sz w:val="30"/>
          <w:szCs w:val="30"/>
          <w:highlight w:val="none"/>
          <w:lang w:eastAsia="zh-CN"/>
        </w:rPr>
        <w:t>年</w:t>
      </w:r>
      <w:r>
        <w:rPr>
          <w:rFonts w:hint="eastAsia" w:ascii="仿宋" w:hAnsi="仿宋" w:eastAsia="仿宋" w:cs="仿宋"/>
          <w:kern w:val="0"/>
          <w:sz w:val="30"/>
          <w:szCs w:val="30"/>
          <w:highlight w:val="none"/>
          <w:lang w:eastAsia="zh-CN"/>
        </w:rPr>
        <w:t>初</w:t>
      </w:r>
      <w:r>
        <w:rPr>
          <w:rFonts w:hint="eastAsia" w:ascii="仿宋" w:hAnsi="仿宋" w:eastAsia="仿宋" w:cs="仿宋"/>
          <w:sz w:val="30"/>
          <w:szCs w:val="30"/>
          <w:highlight w:val="none"/>
        </w:rPr>
        <w:t>预算为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，决算为</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p>
    <w:p w14:paraId="602B730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color w:val="auto"/>
          <w:kern w:val="0"/>
          <w:sz w:val="30"/>
          <w:szCs w:val="30"/>
          <w:highlight w:val="none"/>
          <w:lang w:eastAsia="zh-CN"/>
        </w:rPr>
      </w:pPr>
      <w:r>
        <w:rPr>
          <w:rFonts w:hint="eastAsia" w:ascii="仿宋" w:hAnsi="仿宋" w:eastAsia="仿宋" w:cs="仿宋"/>
          <w:color w:val="auto"/>
          <w:sz w:val="30"/>
          <w:szCs w:val="30"/>
          <w:highlight w:val="none"/>
        </w:rPr>
        <w:t>一般公共预算财政拨款“三公”经费支出</w:t>
      </w:r>
      <w:r>
        <w:rPr>
          <w:rFonts w:hint="eastAsia" w:ascii="仿宋" w:hAnsi="仿宋" w:eastAsia="仿宋" w:cs="仿宋"/>
          <w:color w:val="auto"/>
          <w:sz w:val="30"/>
          <w:szCs w:val="30"/>
          <w:highlight w:val="none"/>
          <w:lang w:eastAsia="zh-CN"/>
        </w:rPr>
        <w:t>中：因公出国（境）费用</w:t>
      </w:r>
      <w:r>
        <w:rPr>
          <w:rFonts w:hint="eastAsia" w:ascii="仿宋" w:hAnsi="仿宋" w:eastAsia="仿宋" w:cs="仿宋"/>
          <w:color w:val="auto"/>
          <w:sz w:val="30"/>
          <w:szCs w:val="30"/>
          <w:highlight w:val="none"/>
        </w:rPr>
        <w:t>支出决算增加</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sz w:val="30"/>
          <w:szCs w:val="30"/>
          <w:highlight w:val="none"/>
        </w:rPr>
        <w:t>；公务用车购置费支出决算增加</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sz w:val="30"/>
          <w:szCs w:val="30"/>
          <w:highlight w:val="none"/>
        </w:rPr>
        <w:t>；公务用车</w:t>
      </w:r>
      <w:r>
        <w:rPr>
          <w:rFonts w:hint="eastAsia" w:ascii="仿宋" w:hAnsi="仿宋" w:eastAsia="仿宋" w:cs="仿宋"/>
          <w:color w:val="auto"/>
          <w:sz w:val="30"/>
          <w:szCs w:val="30"/>
          <w:highlight w:val="none"/>
          <w:lang w:eastAsia="zh-CN"/>
        </w:rPr>
        <w:t>运行维护费</w:t>
      </w:r>
      <w:r>
        <w:rPr>
          <w:rFonts w:hint="eastAsia" w:ascii="仿宋" w:hAnsi="仿宋" w:eastAsia="仿宋" w:cs="仿宋"/>
          <w:color w:val="auto"/>
          <w:sz w:val="30"/>
          <w:szCs w:val="30"/>
          <w:highlight w:val="none"/>
        </w:rPr>
        <w:t>支出决算增加</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sz w:val="30"/>
          <w:szCs w:val="30"/>
          <w:highlight w:val="none"/>
        </w:rPr>
        <w:t>；公务接待费支出决算增加</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sz w:val="30"/>
          <w:szCs w:val="30"/>
          <w:highlight w:val="none"/>
          <w:lang w:eastAsia="zh-CN"/>
        </w:rPr>
        <w:t>元</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具体是国内接待费支出决算</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元（其中：外事接待费支出决算</w:t>
      </w:r>
      <w:r>
        <w:rPr>
          <w:rFonts w:hint="eastAsia" w:ascii="仿宋" w:hAnsi="仿宋" w:eastAsia="仿宋" w:cs="仿宋"/>
          <w:color w:val="auto"/>
          <w:sz w:val="30"/>
          <w:szCs w:val="30"/>
          <w:highlight w:val="none"/>
          <w:lang w:val="en-US" w:eastAsia="zh-CN"/>
        </w:rPr>
        <w:t>0.00</w:t>
      </w:r>
      <w:r>
        <w:rPr>
          <w:rFonts w:hint="eastAsia" w:ascii="仿宋" w:hAnsi="仿宋" w:eastAsia="仿宋" w:cs="仿宋"/>
          <w:color w:val="auto"/>
          <w:kern w:val="0"/>
          <w:sz w:val="30"/>
          <w:szCs w:val="30"/>
          <w:highlight w:val="none"/>
          <w:lang w:eastAsia="zh-CN"/>
        </w:rPr>
        <w:t>元），较上年增加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国（境）外接待费支出决</w:t>
      </w:r>
      <w:r>
        <w:rPr>
          <w:rFonts w:hint="eastAsia" w:ascii="仿宋" w:hAnsi="仿宋" w:eastAsia="仿宋" w:cs="仿宋"/>
          <w:color w:val="auto"/>
          <w:kern w:val="0"/>
          <w:sz w:val="30"/>
          <w:szCs w:val="30"/>
          <w:highlight w:val="none"/>
          <w:lang w:val="en-US" w:eastAsia="zh-CN"/>
        </w:rPr>
        <w:t>0.00</w:t>
      </w:r>
      <w:r>
        <w:rPr>
          <w:rFonts w:hint="eastAsia" w:ascii="仿宋" w:hAnsi="仿宋" w:eastAsia="仿宋" w:cs="仿宋"/>
          <w:color w:val="auto"/>
          <w:kern w:val="0"/>
          <w:sz w:val="30"/>
          <w:szCs w:val="30"/>
          <w:highlight w:val="none"/>
          <w:lang w:eastAsia="zh-CN"/>
        </w:rPr>
        <w:t>元较上年增加</w:t>
      </w:r>
      <w:r>
        <w:rPr>
          <w:rFonts w:hint="eastAsia" w:ascii="仿宋" w:hAnsi="仿宋" w:eastAsia="仿宋" w:cs="仿宋"/>
          <w:color w:val="auto"/>
          <w:kern w:val="0"/>
          <w:sz w:val="30"/>
          <w:szCs w:val="30"/>
          <w:highlight w:val="none"/>
          <w:lang w:val="en-US" w:eastAsia="zh-CN"/>
        </w:rPr>
        <w:t>0.00元，</w:t>
      </w:r>
      <w:r>
        <w:rPr>
          <w:rFonts w:hint="eastAsia" w:ascii="仿宋" w:hAnsi="仿宋" w:eastAsia="仿宋" w:cs="仿宋"/>
          <w:color w:val="auto"/>
          <w:sz w:val="30"/>
          <w:szCs w:val="30"/>
          <w:highlight w:val="none"/>
          <w:lang w:eastAsia="zh-CN"/>
        </w:rPr>
        <w:t>上年无此项支出</w:t>
      </w:r>
      <w:r>
        <w:rPr>
          <w:rFonts w:hint="eastAsia" w:ascii="仿宋" w:hAnsi="仿宋" w:eastAsia="仿宋" w:cs="仿宋"/>
          <w:color w:val="auto"/>
          <w:kern w:val="0"/>
          <w:sz w:val="30"/>
          <w:szCs w:val="30"/>
          <w:highlight w:val="none"/>
          <w:lang w:eastAsia="zh-CN"/>
        </w:rPr>
        <w:t>。</w:t>
      </w:r>
    </w:p>
    <w:p w14:paraId="3181D32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rPr>
        <w:t>一般公共预算财政拨款“三公”经费支出</w:t>
      </w:r>
      <w:r>
        <w:rPr>
          <w:rFonts w:hint="eastAsia" w:ascii="仿宋" w:hAnsi="仿宋" w:eastAsia="仿宋" w:cs="仿宋"/>
          <w:sz w:val="30"/>
          <w:szCs w:val="30"/>
          <w:highlight w:val="none"/>
          <w:lang w:eastAsia="zh-CN"/>
        </w:rPr>
        <w:t>实物量的</w:t>
      </w:r>
      <w:r>
        <w:rPr>
          <w:rFonts w:hint="eastAsia" w:ascii="仿宋" w:hAnsi="仿宋" w:eastAsia="仿宋" w:cs="仿宋"/>
          <w:sz w:val="30"/>
          <w:szCs w:val="30"/>
          <w:highlight w:val="none"/>
        </w:rPr>
        <w:t>具体情况</w:t>
      </w:r>
      <w:r>
        <w:rPr>
          <w:rFonts w:hint="eastAsia" w:ascii="仿宋" w:hAnsi="仿宋" w:eastAsia="仿宋" w:cs="仿宋"/>
          <w:sz w:val="30"/>
          <w:szCs w:val="30"/>
          <w:highlight w:val="none"/>
          <w:lang w:eastAsia="zh-CN"/>
        </w:rPr>
        <w:t>：</w:t>
      </w:r>
    </w:p>
    <w:p w14:paraId="79CA3EBC">
      <w:pPr>
        <w:widowControl/>
        <w:numPr>
          <w:ilvl w:val="0"/>
          <w:numId w:val="0"/>
        </w:numPr>
        <w:snapToGrid w:val="0"/>
        <w:spacing w:before="100" w:after="100" w:line="360" w:lineRule="auto"/>
        <w:ind w:firstLine="600" w:firstLineChars="200"/>
        <w:jc w:val="left"/>
        <w:rPr>
          <w:rFonts w:hint="eastAsia" w:ascii="仿宋" w:hAnsi="仿宋" w:eastAsia="仿宋" w:cs="仿宋"/>
          <w:b w:val="0"/>
          <w:bCs/>
          <w:sz w:val="30"/>
          <w:szCs w:val="30"/>
          <w:highlight w:val="none"/>
        </w:rPr>
      </w:pPr>
      <w:r>
        <w:rPr>
          <w:rFonts w:hint="eastAsia" w:ascii="仿宋" w:hAnsi="仿宋" w:eastAsia="仿宋" w:cs="仿宋"/>
          <w:b w:val="0"/>
          <w:bCs/>
          <w:sz w:val="30"/>
          <w:szCs w:val="30"/>
          <w:highlight w:val="none"/>
        </w:rPr>
        <w:t>1.安排因公出国（境）团组</w:t>
      </w:r>
      <w:r>
        <w:rPr>
          <w:rFonts w:hint="eastAsia" w:ascii="仿宋" w:hAnsi="仿宋" w:eastAsia="仿宋" w:cs="仿宋"/>
          <w:sz w:val="30"/>
          <w:szCs w:val="30"/>
          <w:highlight w:val="none"/>
          <w:lang w:val="en-US" w:eastAsia="zh-CN"/>
        </w:rPr>
        <w:t>0</w:t>
      </w:r>
      <w:r>
        <w:rPr>
          <w:rFonts w:hint="eastAsia" w:ascii="仿宋" w:hAnsi="仿宋" w:eastAsia="仿宋" w:cs="仿宋"/>
          <w:b w:val="0"/>
          <w:bCs/>
          <w:sz w:val="30"/>
          <w:szCs w:val="30"/>
          <w:highlight w:val="none"/>
        </w:rPr>
        <w:t>个，累计</w:t>
      </w:r>
      <w:r>
        <w:rPr>
          <w:rFonts w:hint="eastAsia" w:ascii="仿宋" w:hAnsi="仿宋" w:eastAsia="仿宋" w:cs="仿宋"/>
          <w:sz w:val="30"/>
          <w:szCs w:val="30"/>
          <w:highlight w:val="none"/>
          <w:lang w:val="en-US" w:eastAsia="zh-CN"/>
        </w:rPr>
        <w:t>0</w:t>
      </w:r>
      <w:r>
        <w:rPr>
          <w:rFonts w:hint="eastAsia" w:ascii="仿宋" w:hAnsi="仿宋" w:eastAsia="仿宋" w:cs="仿宋"/>
          <w:b w:val="0"/>
          <w:bCs/>
          <w:sz w:val="30"/>
          <w:szCs w:val="30"/>
          <w:highlight w:val="none"/>
        </w:rPr>
        <w:t>人次。</w:t>
      </w:r>
    </w:p>
    <w:p w14:paraId="4D42C8D2">
      <w:pPr>
        <w:widowControl/>
        <w:numPr>
          <w:ilvl w:val="0"/>
          <w:numId w:val="0"/>
        </w:numPr>
        <w:snapToGrid w:val="0"/>
        <w:spacing w:before="100" w:after="100" w:line="360" w:lineRule="auto"/>
        <w:ind w:firstLine="600" w:firstLineChars="200"/>
        <w:jc w:val="left"/>
        <w:rPr>
          <w:rFonts w:hint="eastAsia" w:ascii="仿宋" w:hAnsi="仿宋" w:eastAsia="仿宋" w:cs="仿宋"/>
          <w:b w:val="0"/>
          <w:bCs/>
          <w:sz w:val="30"/>
          <w:szCs w:val="30"/>
          <w:highlight w:val="none"/>
        </w:rPr>
      </w:pPr>
      <w:r>
        <w:rPr>
          <w:rFonts w:hint="eastAsia" w:ascii="仿宋" w:hAnsi="仿宋" w:eastAsia="仿宋" w:cs="仿宋"/>
          <w:b w:val="0"/>
          <w:bCs/>
          <w:sz w:val="30"/>
          <w:szCs w:val="30"/>
          <w:highlight w:val="none"/>
          <w:lang w:val="en-US" w:eastAsia="zh-CN"/>
        </w:rPr>
        <w:t>2.</w:t>
      </w:r>
      <w:r>
        <w:rPr>
          <w:rFonts w:hint="eastAsia" w:ascii="仿宋" w:hAnsi="仿宋" w:eastAsia="仿宋" w:cs="仿宋"/>
          <w:b w:val="0"/>
          <w:bCs/>
          <w:sz w:val="30"/>
          <w:szCs w:val="30"/>
          <w:highlight w:val="none"/>
        </w:rPr>
        <w:t>购置车辆</w:t>
      </w:r>
      <w:r>
        <w:rPr>
          <w:rFonts w:hint="eastAsia" w:ascii="仿宋" w:hAnsi="仿宋" w:eastAsia="仿宋" w:cs="仿宋"/>
          <w:sz w:val="30"/>
          <w:szCs w:val="30"/>
          <w:highlight w:val="none"/>
          <w:lang w:val="en-US" w:eastAsia="zh-CN"/>
        </w:rPr>
        <w:t>0</w:t>
      </w:r>
      <w:r>
        <w:rPr>
          <w:rFonts w:hint="eastAsia" w:ascii="仿宋" w:hAnsi="仿宋" w:eastAsia="仿宋" w:cs="仿宋"/>
          <w:b w:val="0"/>
          <w:bCs/>
          <w:sz w:val="30"/>
          <w:szCs w:val="30"/>
          <w:highlight w:val="none"/>
        </w:rPr>
        <w:t>辆。开支一般公共预算财政拨款的公务用车保有量为</w:t>
      </w:r>
      <w:r>
        <w:rPr>
          <w:rFonts w:hint="eastAsia" w:ascii="仿宋" w:hAnsi="仿宋" w:eastAsia="仿宋" w:cs="仿宋"/>
          <w:sz w:val="30"/>
          <w:szCs w:val="30"/>
          <w:highlight w:val="none"/>
          <w:lang w:val="en-US" w:eastAsia="zh-CN"/>
        </w:rPr>
        <w:t>0</w:t>
      </w:r>
      <w:r>
        <w:rPr>
          <w:rFonts w:hint="eastAsia" w:ascii="仿宋" w:hAnsi="仿宋" w:eastAsia="仿宋" w:cs="仿宋"/>
          <w:b w:val="0"/>
          <w:bCs/>
          <w:sz w:val="30"/>
          <w:szCs w:val="30"/>
          <w:highlight w:val="none"/>
        </w:rPr>
        <w:t>辆。</w:t>
      </w:r>
    </w:p>
    <w:p w14:paraId="4B2165C2">
      <w:pPr>
        <w:widowControl/>
        <w:snapToGrid w:val="0"/>
        <w:spacing w:before="100" w:after="100" w:line="360" w:lineRule="auto"/>
        <w:ind w:firstLine="600" w:firstLineChars="200"/>
        <w:jc w:val="left"/>
        <w:rPr>
          <w:rFonts w:hint="eastAsia" w:ascii="仿宋" w:hAnsi="仿宋" w:eastAsia="仿宋" w:cs="仿宋"/>
          <w:sz w:val="30"/>
          <w:szCs w:val="30"/>
          <w:highlight w:val="none"/>
        </w:rPr>
      </w:pPr>
      <w:r>
        <w:rPr>
          <w:rFonts w:hint="eastAsia" w:ascii="仿宋" w:hAnsi="仿宋" w:eastAsia="仿宋" w:cs="仿宋"/>
          <w:b w:val="0"/>
          <w:bCs/>
          <w:sz w:val="30"/>
          <w:szCs w:val="30"/>
          <w:highlight w:val="none"/>
        </w:rPr>
        <w:t>3.安排</w:t>
      </w:r>
      <w:r>
        <w:rPr>
          <w:rFonts w:hint="eastAsia" w:ascii="仿宋" w:hAnsi="仿宋" w:eastAsia="仿宋" w:cs="仿宋"/>
          <w:sz w:val="30"/>
          <w:szCs w:val="30"/>
          <w:highlight w:val="none"/>
        </w:rPr>
        <w:t>国内公务接待</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批次（其中：外事接待</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批次），接待人次</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人（其中：外事接待人次</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人）。主要用于</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（相关工作，产生的接待批次及人次等）发生的接待支出。安排国（境）外公务接待</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批次，接待人次</w:t>
      </w:r>
      <w:r>
        <w:rPr>
          <w:rFonts w:hint="eastAsia" w:ascii="仿宋" w:hAnsi="仿宋" w:eastAsia="仿宋" w:cs="仿宋"/>
          <w:sz w:val="30"/>
          <w:szCs w:val="30"/>
          <w:highlight w:val="none"/>
          <w:lang w:val="en-US" w:eastAsia="zh-CN"/>
        </w:rPr>
        <w:t>0</w:t>
      </w:r>
      <w:r>
        <w:rPr>
          <w:rFonts w:hint="eastAsia" w:ascii="仿宋" w:hAnsi="仿宋" w:eastAsia="仿宋" w:cs="仿宋"/>
          <w:sz w:val="30"/>
          <w:szCs w:val="30"/>
          <w:highlight w:val="none"/>
        </w:rPr>
        <w:t>人。</w:t>
      </w:r>
    </w:p>
    <w:p w14:paraId="0CA5B7A6">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15EB55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900" w:firstLineChars="3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不存在需要说明的事项。</w:t>
      </w:r>
    </w:p>
    <w:p w14:paraId="1BC8A662">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60E9D05">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A090275">
      <w:pPr>
        <w:ind w:firstLine="600" w:firstLineChars="200"/>
        <w:jc w:val="both"/>
        <w:rPr>
          <w:rFonts w:hint="eastAsia" w:ascii="仿宋" w:hAnsi="仿宋" w:eastAsia="仿宋" w:cs="仿宋"/>
          <w:sz w:val="30"/>
          <w:szCs w:val="30"/>
          <w:highlight w:val="none"/>
        </w:rPr>
      </w:pPr>
      <w:r>
        <w:rPr>
          <w:rFonts w:hint="eastAsia" w:ascii="仿宋" w:hAnsi="仿宋" w:eastAsia="仿宋" w:cs="仿宋"/>
          <w:color w:val="auto"/>
          <w:sz w:val="30"/>
          <w:lang w:val="zh-CN"/>
        </w:rPr>
        <w:t>华宁县职业高级中学</w:t>
      </w:r>
      <w:r>
        <w:rPr>
          <w:rFonts w:hint="eastAsia" w:ascii="仿宋" w:hAnsi="仿宋" w:eastAsia="仿宋" w:cs="仿宋"/>
          <w:sz w:val="30"/>
          <w:szCs w:val="30"/>
          <w:highlight w:val="none"/>
          <w:lang w:val="en-US" w:eastAsia="zh-CN"/>
        </w:rPr>
        <w:t>2025</w:t>
      </w:r>
      <w:r>
        <w:rPr>
          <w:rFonts w:hint="eastAsia" w:ascii="仿宋" w:hAnsi="仿宋" w:eastAsia="仿宋" w:cs="仿宋"/>
          <w:sz w:val="30"/>
          <w:szCs w:val="30"/>
          <w:highlight w:val="none"/>
        </w:rPr>
        <w:t>年机关运行经费支出</w:t>
      </w:r>
      <w:r>
        <w:rPr>
          <w:rFonts w:hint="eastAsia" w:ascii="仿宋" w:hAnsi="仿宋" w:eastAsia="仿宋" w:cs="仿宋"/>
          <w:color w:val="auto"/>
          <w:sz w:val="30"/>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比上年</w:t>
      </w:r>
      <w:r>
        <w:rPr>
          <w:rFonts w:hint="eastAsia" w:ascii="仿宋" w:hAnsi="仿宋" w:eastAsia="仿宋" w:cs="仿宋"/>
          <w:sz w:val="30"/>
          <w:szCs w:val="30"/>
          <w:highlight w:val="none"/>
        </w:rPr>
        <w:t>增加</w:t>
      </w:r>
      <w:r>
        <w:rPr>
          <w:rFonts w:hint="eastAsia" w:ascii="仿宋" w:hAnsi="仿宋" w:eastAsia="仿宋" w:cs="仿宋"/>
          <w:color w:val="auto"/>
          <w:sz w:val="30"/>
          <w:lang w:val="en-US" w:eastAsia="zh-CN"/>
        </w:rPr>
        <w:t>0.00</w:t>
      </w:r>
      <w:r>
        <w:rPr>
          <w:rFonts w:hint="eastAsia" w:ascii="仿宋" w:hAnsi="仿宋" w:eastAsia="仿宋" w:cs="仿宋"/>
          <w:sz w:val="30"/>
          <w:szCs w:val="30"/>
          <w:highlight w:val="none"/>
          <w:lang w:eastAsia="zh-CN"/>
        </w:rPr>
        <w:t>元</w:t>
      </w:r>
      <w:r>
        <w:rPr>
          <w:rFonts w:hint="eastAsia" w:ascii="仿宋" w:hAnsi="仿宋" w:eastAsia="仿宋" w:cs="仿宋"/>
          <w:sz w:val="30"/>
          <w:szCs w:val="30"/>
          <w:highlight w:val="none"/>
        </w:rPr>
        <w:t>，增长</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rPr>
        <w:t>%。</w:t>
      </w:r>
    </w:p>
    <w:p w14:paraId="79BB0297">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2E5ADB0E">
      <w:pPr>
        <w:widowControl/>
        <w:ind w:firstLine="600" w:firstLineChars="200"/>
        <w:rPr>
          <w:rFonts w:hint="eastAsia" w:ascii="仿宋" w:hAnsi="仿宋" w:eastAsia="仿宋" w:cs="仿宋"/>
          <w:color w:val="000000"/>
          <w:kern w:val="0"/>
          <w:sz w:val="30"/>
          <w:szCs w:val="30"/>
          <w:highlight w:val="none"/>
        </w:rPr>
      </w:pPr>
      <w:r>
        <w:rPr>
          <w:rFonts w:hint="eastAsia" w:ascii="仿宋" w:hAnsi="仿宋" w:eastAsia="仿宋" w:cs="仿宋"/>
          <w:sz w:val="30"/>
          <w:szCs w:val="30"/>
          <w:highlight w:val="none"/>
          <w:lang w:eastAsia="zh-CN"/>
        </w:rPr>
        <w:t>截至2025年末，</w:t>
      </w:r>
      <w:r>
        <w:rPr>
          <w:rFonts w:hint="eastAsia" w:ascii="仿宋" w:hAnsi="仿宋" w:eastAsia="仿宋" w:cs="仿宋"/>
          <w:sz w:val="30"/>
          <w:szCs w:val="30"/>
          <w:highlight w:val="none"/>
          <w:lang w:val="en-US" w:eastAsia="zh-CN"/>
        </w:rPr>
        <w:t>华宁县职业高级中学</w:t>
      </w:r>
      <w:r>
        <w:rPr>
          <w:rFonts w:hint="eastAsia" w:ascii="仿宋" w:hAnsi="仿宋" w:eastAsia="仿宋" w:cs="仿宋"/>
          <w:sz w:val="30"/>
          <w:szCs w:val="30"/>
          <w:highlight w:val="none"/>
          <w:lang w:eastAsia="zh-CN"/>
        </w:rPr>
        <w:t>资产总额22324119.81元，其中，流动资产214162.32元，固定资产17811298.21元（净值），对外投资及有价证券</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元，在建工程4016324.8元，无形资产282334.48元（净值），其他资产</w:t>
      </w:r>
      <w:r>
        <w:rPr>
          <w:rFonts w:hint="eastAsia" w:ascii="仿宋" w:hAnsi="仿宋" w:eastAsia="仿宋" w:cs="仿宋"/>
          <w:sz w:val="30"/>
          <w:szCs w:val="30"/>
          <w:highlight w:val="none"/>
          <w:lang w:val="en-US" w:eastAsia="zh-CN"/>
        </w:rPr>
        <w:t>0.00</w:t>
      </w:r>
      <w:r>
        <w:rPr>
          <w:rFonts w:hint="eastAsia" w:ascii="仿宋" w:hAnsi="仿宋" w:eastAsia="仿宋" w:cs="仿宋"/>
          <w:sz w:val="30"/>
          <w:szCs w:val="30"/>
          <w:highlight w:val="none"/>
          <w:lang w:eastAsia="zh-CN"/>
        </w:rPr>
        <w:t>元（净值）（具体内容详见附表）</w:t>
      </w:r>
      <w:r>
        <w:rPr>
          <w:rFonts w:hint="eastAsia" w:ascii="仿宋" w:hAnsi="仿宋" w:eastAsia="仿宋" w:cs="仿宋"/>
          <w:color w:val="000000"/>
          <w:kern w:val="0"/>
          <w:sz w:val="30"/>
          <w:szCs w:val="30"/>
          <w:highlight w:val="none"/>
        </w:rPr>
        <w:t>。与上年相比，</w:t>
      </w:r>
      <w:r>
        <w:rPr>
          <w:rFonts w:hint="eastAsia" w:ascii="仿宋" w:hAnsi="仿宋" w:eastAsia="仿宋" w:cs="仿宋"/>
          <w:color w:val="auto"/>
          <w:kern w:val="0"/>
          <w:sz w:val="30"/>
          <w:szCs w:val="30"/>
          <w:highlight w:val="none"/>
        </w:rPr>
        <w:t>本年资产总额增加</w:t>
      </w:r>
      <w:r>
        <w:rPr>
          <w:rFonts w:hint="eastAsia" w:ascii="仿宋" w:hAnsi="仿宋" w:eastAsia="仿宋" w:cs="仿宋"/>
          <w:color w:val="auto"/>
          <w:kern w:val="0"/>
          <w:sz w:val="30"/>
          <w:szCs w:val="30"/>
          <w:highlight w:val="none"/>
          <w:lang w:val="en-US" w:eastAsia="zh-CN"/>
        </w:rPr>
        <w:t>7918754.53</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000000"/>
          <w:kern w:val="0"/>
          <w:sz w:val="30"/>
          <w:szCs w:val="30"/>
          <w:highlight w:val="none"/>
        </w:rPr>
        <w:t>，其中固定资产</w:t>
      </w:r>
      <w:r>
        <w:rPr>
          <w:rFonts w:hint="eastAsia" w:ascii="仿宋" w:hAnsi="仿宋" w:eastAsia="仿宋" w:cs="仿宋"/>
          <w:color w:val="auto"/>
          <w:kern w:val="0"/>
          <w:sz w:val="30"/>
          <w:szCs w:val="30"/>
          <w:highlight w:val="none"/>
        </w:rPr>
        <w:t>增加</w:t>
      </w:r>
      <w:r>
        <w:rPr>
          <w:rFonts w:hint="eastAsia" w:ascii="仿宋" w:hAnsi="仿宋" w:eastAsia="仿宋" w:cs="仿宋"/>
          <w:color w:val="auto"/>
          <w:kern w:val="0"/>
          <w:sz w:val="30"/>
          <w:szCs w:val="30"/>
          <w:highlight w:val="none"/>
          <w:lang w:val="en-US" w:eastAsia="zh-CN"/>
        </w:rPr>
        <w:t>9597977.98</w:t>
      </w:r>
      <w:r>
        <w:rPr>
          <w:rFonts w:hint="eastAsia" w:ascii="仿宋" w:hAnsi="仿宋" w:eastAsia="仿宋" w:cs="仿宋"/>
          <w:color w:val="auto"/>
          <w:kern w:val="0"/>
          <w:sz w:val="30"/>
          <w:szCs w:val="30"/>
          <w:highlight w:val="none"/>
          <w:lang w:eastAsia="zh-CN"/>
        </w:rPr>
        <w:t>元</w:t>
      </w:r>
      <w:r>
        <w:rPr>
          <w:rFonts w:hint="eastAsia" w:ascii="仿宋" w:hAnsi="仿宋" w:eastAsia="仿宋" w:cs="仿宋"/>
          <w:color w:val="000000"/>
          <w:kern w:val="0"/>
          <w:sz w:val="30"/>
          <w:szCs w:val="30"/>
          <w:highlight w:val="none"/>
        </w:rPr>
        <w:t>。处置房屋建筑物</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rPr>
        <w:t>平方米，账面原值</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；处置车辆</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rPr>
        <w:t>辆，账面原值</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；报废报损资产</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rPr>
        <w:t>项，账面原值</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，实现资产处置收入</w:t>
      </w:r>
      <w:r>
        <w:rPr>
          <w:rFonts w:hint="eastAsia" w:ascii="仿宋" w:hAnsi="仿宋" w:eastAsia="仿宋" w:cs="仿宋"/>
          <w:color w:val="000000"/>
          <w:kern w:val="0"/>
          <w:sz w:val="30"/>
          <w:szCs w:val="30"/>
          <w:highlight w:val="none"/>
          <w:lang w:val="en-US" w:eastAsia="zh-CN"/>
        </w:rPr>
        <w:t>0.00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；出租房屋</w:t>
      </w:r>
      <w:r>
        <w:rPr>
          <w:rFonts w:hint="eastAsia" w:ascii="仿宋" w:hAnsi="仿宋" w:eastAsia="仿宋" w:cs="仿宋"/>
          <w:color w:val="000000"/>
          <w:kern w:val="0"/>
          <w:sz w:val="30"/>
          <w:szCs w:val="30"/>
          <w:highlight w:val="none"/>
          <w:lang w:val="en-US" w:eastAsia="zh-CN"/>
        </w:rPr>
        <w:t>765.00</w:t>
      </w:r>
      <w:r>
        <w:rPr>
          <w:rFonts w:hint="eastAsia" w:ascii="仿宋" w:hAnsi="仿宋" w:eastAsia="仿宋" w:cs="仿宋"/>
          <w:color w:val="000000"/>
          <w:kern w:val="0"/>
          <w:sz w:val="30"/>
          <w:szCs w:val="30"/>
          <w:highlight w:val="none"/>
        </w:rPr>
        <w:t>平方米，账面原值</w:t>
      </w:r>
      <w:r>
        <w:rPr>
          <w:rFonts w:hint="eastAsia" w:ascii="方正仿宋_GB2312" w:hAnsi="方正仿宋_GB2312" w:eastAsia="方正仿宋_GB2312" w:cs="方正仿宋_GB2312"/>
          <w:sz w:val="30"/>
          <w:lang w:val="en-US" w:eastAsia="zh-CN"/>
        </w:rPr>
        <w:t>699,934.60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，实现资产使用收入</w:t>
      </w:r>
      <w:r>
        <w:rPr>
          <w:rFonts w:hint="eastAsia" w:ascii="方正仿宋_GB2312" w:hAnsi="方正仿宋_GB2312" w:eastAsia="方正仿宋_GB2312" w:cs="方正仿宋_GB2312"/>
          <w:sz w:val="30"/>
          <w:lang w:val="en-US" w:eastAsia="zh-CN"/>
        </w:rPr>
        <w:t>16,500.00</w:t>
      </w:r>
      <w:r>
        <w:rPr>
          <w:rFonts w:hint="eastAsia" w:ascii="仿宋" w:hAnsi="仿宋" w:eastAsia="仿宋" w:cs="仿宋"/>
          <w:color w:val="000000"/>
          <w:kern w:val="0"/>
          <w:sz w:val="30"/>
          <w:szCs w:val="30"/>
          <w:highlight w:val="none"/>
          <w:lang w:eastAsia="zh-CN"/>
        </w:rPr>
        <w:t>元</w:t>
      </w:r>
      <w:r>
        <w:rPr>
          <w:rFonts w:hint="eastAsia" w:ascii="仿宋" w:hAnsi="仿宋" w:eastAsia="仿宋" w:cs="仿宋"/>
          <w:color w:val="000000"/>
          <w:kern w:val="0"/>
          <w:sz w:val="30"/>
          <w:szCs w:val="30"/>
          <w:highlight w:val="none"/>
        </w:rPr>
        <w:t>。</w:t>
      </w:r>
    </w:p>
    <w:p w14:paraId="36A0B1AB">
      <w:pPr>
        <w:widowControl/>
        <w:ind w:firstLine="600" w:firstLineChars="200"/>
        <w:rPr>
          <w:rFonts w:hint="eastAsia" w:ascii="仿宋" w:hAnsi="仿宋" w:eastAsia="仿宋" w:cs="仿宋"/>
          <w:color w:val="000000"/>
          <w:kern w:val="0"/>
          <w:sz w:val="30"/>
          <w:szCs w:val="30"/>
          <w:highlight w:val="none"/>
          <w:lang w:eastAsia="zh-CN"/>
        </w:rPr>
      </w:pPr>
      <w:r>
        <w:rPr>
          <w:rFonts w:hint="eastAsia" w:ascii="仿宋" w:hAnsi="仿宋" w:eastAsia="仿宋" w:cs="仿宋"/>
          <w:color w:val="000000"/>
          <w:kern w:val="0"/>
          <w:sz w:val="30"/>
          <w:szCs w:val="30"/>
          <w:highlight w:val="none"/>
          <w:lang w:eastAsia="zh-CN"/>
        </w:rPr>
        <w:t>（</w:t>
      </w:r>
      <w:r>
        <w:rPr>
          <w:rFonts w:hint="eastAsia" w:ascii="仿宋" w:hAnsi="仿宋" w:eastAsia="仿宋" w:cs="仿宋"/>
          <w:color w:val="000000"/>
          <w:kern w:val="0"/>
          <w:sz w:val="30"/>
          <w:szCs w:val="30"/>
          <w:highlight w:val="none"/>
        </w:rPr>
        <w:t>国有资产占有使用情况表</w:t>
      </w:r>
      <w:r>
        <w:rPr>
          <w:rFonts w:hint="eastAsia" w:ascii="仿宋" w:hAnsi="仿宋" w:eastAsia="仿宋" w:cs="仿宋"/>
          <w:color w:val="000000"/>
          <w:kern w:val="0"/>
          <w:sz w:val="30"/>
          <w:szCs w:val="30"/>
          <w:highlight w:val="none"/>
          <w:lang w:eastAsia="zh-CN"/>
        </w:rPr>
        <w:t>详见附表）</w:t>
      </w:r>
    </w:p>
    <w:p w14:paraId="2F352AA3">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8F5FA69">
      <w:pPr>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2025年度，单位政府采购支出总额95454.76元，其中：政府采购货物支出0.00元；政府采购工程支出0.00元；政府采购服务支出95454.76元。授予中小企业合同金额93600元，其中：授予小微企业合同金额</w:t>
      </w:r>
      <w:r>
        <w:rPr>
          <w:rFonts w:hint="eastAsia" w:ascii="仿宋" w:hAnsi="仿宋" w:eastAsia="仿宋" w:cs="仿宋"/>
          <w:color w:val="auto"/>
          <w:sz w:val="30"/>
          <w:highlight w:val="none"/>
          <w:lang w:val="en-US" w:eastAsia="zh-CN"/>
        </w:rPr>
        <w:t>93600.00</w:t>
      </w:r>
      <w:r>
        <w:rPr>
          <w:rFonts w:hint="eastAsia" w:ascii="仿宋" w:hAnsi="仿宋" w:eastAsia="仿宋" w:cs="仿宋"/>
          <w:sz w:val="30"/>
          <w:szCs w:val="30"/>
          <w:highlight w:val="none"/>
          <w:lang w:val="en-US" w:eastAsia="zh-CN"/>
        </w:rPr>
        <w:t>元。</w:t>
      </w:r>
    </w:p>
    <w:p w14:paraId="12FDC147">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45CAD68F">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 w:hAnsi="仿宋" w:eastAsia="仿宋" w:cs="仿宋"/>
          <w:sz w:val="30"/>
          <w:szCs w:val="30"/>
          <w:highlight w:val="none"/>
          <w:lang w:val="en-US" w:eastAsia="zh-CN"/>
        </w:rPr>
        <w:t>单位绩效自评情况详见附表。</w:t>
      </w:r>
    </w:p>
    <w:p w14:paraId="54D7CED3">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1C9FBEA5">
      <w:pPr>
        <w:widowControl/>
        <w:snapToGrid w:val="0"/>
        <w:spacing w:before="100" w:after="100" w:line="360" w:lineRule="auto"/>
        <w:ind w:firstLine="600"/>
        <w:jc w:val="left"/>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无其他重要事项情况说明。</w:t>
      </w:r>
    </w:p>
    <w:p w14:paraId="6E2F2AD4">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2825BF6">
      <w:pPr>
        <w:ind w:firstLine="600" w:firstLineChars="200"/>
        <w:jc w:val="left"/>
        <w:rPr>
          <w:rFonts w:hint="eastAsia" w:ascii="仿宋" w:hAnsi="仿宋" w:eastAsia="仿宋" w:cs="仿宋"/>
          <w:sz w:val="30"/>
          <w:szCs w:val="30"/>
          <w:highlight w:val="none"/>
        </w:rPr>
      </w:pPr>
      <w:r>
        <w:rPr>
          <w:rFonts w:hint="eastAsia" w:ascii="仿宋" w:hAnsi="仿宋" w:eastAsia="仿宋" w:cs="仿宋"/>
          <w:sz w:val="30"/>
          <w:szCs w:val="30"/>
          <w:highlight w:val="none"/>
          <w:lang w:eastAsia="zh-CN"/>
        </w:rPr>
        <w:t>（一）</w:t>
      </w:r>
      <w:r>
        <w:rPr>
          <w:rFonts w:hint="eastAsia" w:ascii="仿宋" w:hAnsi="仿宋" w:eastAsia="仿宋" w:cs="仿宋"/>
          <w:sz w:val="30"/>
          <w:szCs w:val="30"/>
          <w:highlight w:val="none"/>
        </w:rPr>
        <w:t>基本支出中人员经费包括工资福利支出和对个人和家庭的补助，公用</w:t>
      </w:r>
      <w:r>
        <w:rPr>
          <w:rFonts w:hint="eastAsia" w:ascii="仿宋" w:hAnsi="仿宋" w:eastAsia="仿宋" w:cs="仿宋"/>
          <w:sz w:val="30"/>
          <w:szCs w:val="30"/>
          <w:highlight w:val="none"/>
          <w:lang w:eastAsia="zh-CN"/>
        </w:rPr>
        <w:t>经费</w:t>
      </w:r>
      <w:r>
        <w:rPr>
          <w:rFonts w:hint="eastAsia" w:ascii="仿宋" w:hAnsi="仿宋" w:eastAsia="仿宋" w:cs="仿宋"/>
          <w:sz w:val="30"/>
          <w:szCs w:val="30"/>
          <w:highlight w:val="none"/>
        </w:rPr>
        <w:t>包括商品和服务支出、资本性支出等人员经费以外的支出。</w:t>
      </w:r>
    </w:p>
    <w:p w14:paraId="5904BACF">
      <w:pPr>
        <w:ind w:firstLine="600" w:firstLineChars="200"/>
        <w:jc w:val="left"/>
        <w:rPr>
          <w:rFonts w:hint="eastAsia" w:ascii="仿宋" w:hAnsi="仿宋" w:eastAsia="仿宋" w:cs="仿宋"/>
          <w:sz w:val="30"/>
          <w:szCs w:val="30"/>
          <w:highlight w:val="none"/>
        </w:rPr>
      </w:pPr>
      <w:r>
        <w:rPr>
          <w:rFonts w:hint="eastAsia" w:ascii="仿宋" w:hAnsi="仿宋" w:eastAsia="仿宋" w:cs="仿宋"/>
          <w:sz w:val="30"/>
          <w:szCs w:val="30"/>
          <w:highlight w:val="none"/>
          <w:lang w:eastAsia="zh-CN"/>
        </w:rPr>
        <w:t>（二）</w:t>
      </w:r>
      <w:r>
        <w:rPr>
          <w:rFonts w:hint="eastAsia" w:ascii="仿宋" w:hAnsi="仿宋" w:eastAsia="仿宋" w:cs="仿宋"/>
          <w:sz w:val="30"/>
          <w:szCs w:val="30"/>
          <w:highlight w:val="none"/>
        </w:rPr>
        <w:t>机关运行经费指行政单位和参照公务员法管理的事业单位使用一般公共预算财政拨款安排的基本支出中的公用经费支出</w:t>
      </w:r>
      <w:r>
        <w:rPr>
          <w:rFonts w:hint="eastAsia" w:ascii="仿宋" w:hAnsi="仿宋" w:eastAsia="仿宋" w:cs="仿宋"/>
          <w:sz w:val="30"/>
          <w:szCs w:val="30"/>
          <w:highlight w:val="none"/>
          <w:lang w:eastAsia="zh-CN"/>
        </w:rPr>
        <w:t>。</w:t>
      </w:r>
    </w:p>
    <w:p w14:paraId="3751C96D">
      <w:pPr>
        <w:ind w:firstLine="600" w:firstLineChars="200"/>
        <w:jc w:val="left"/>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（三）</w:t>
      </w:r>
      <w:r>
        <w:rPr>
          <w:rFonts w:hint="eastAsia" w:ascii="仿宋" w:hAnsi="仿宋" w:eastAsia="仿宋" w:cs="仿宋"/>
          <w:sz w:val="30"/>
          <w:szCs w:val="30"/>
          <w:highlight w:val="none"/>
        </w:rPr>
        <w:t>按照党中央、国务院有关文件及部门预算管理有关规定，“三公”经费包括</w:t>
      </w:r>
      <w:r>
        <w:rPr>
          <w:rFonts w:hint="eastAsia" w:ascii="仿宋" w:hAnsi="仿宋" w:eastAsia="仿宋" w:cs="仿宋"/>
          <w:sz w:val="30"/>
          <w:szCs w:val="30"/>
          <w:highlight w:val="none"/>
          <w:lang w:eastAsia="zh-CN"/>
        </w:rPr>
        <w:t>因公出国（境）费用</w:t>
      </w:r>
      <w:r>
        <w:rPr>
          <w:rFonts w:hint="eastAsia" w:ascii="仿宋" w:hAnsi="仿宋" w:eastAsia="仿宋" w:cs="仿宋"/>
          <w:sz w:val="30"/>
          <w:szCs w:val="30"/>
          <w:highlight w:val="none"/>
        </w:rPr>
        <w:t>、公务用车购置及运行维护费、公务接待费。其中：</w:t>
      </w:r>
      <w:r>
        <w:rPr>
          <w:rFonts w:hint="eastAsia" w:ascii="仿宋" w:hAnsi="仿宋" w:eastAsia="仿宋" w:cs="仿宋"/>
          <w:sz w:val="30"/>
          <w:szCs w:val="30"/>
          <w:highlight w:val="none"/>
          <w:lang w:eastAsia="zh-CN"/>
        </w:rPr>
        <w:t>因公出国（境）费用</w:t>
      </w:r>
      <w:r>
        <w:rPr>
          <w:rFonts w:hint="eastAsia" w:ascii="仿宋" w:hAnsi="仿宋" w:eastAsia="仿宋" w:cs="仿宋"/>
          <w:sz w:val="30"/>
          <w:szCs w:val="30"/>
          <w:highlight w:val="none"/>
        </w:rPr>
        <w:t>，指单位公务出国（境）的国际旅费、国外城市间交通费、住宿费、伙食费、培训费、公杂费等支出；公务用车购置费，指公务用车购置支出（含车辆购置税</w:t>
      </w:r>
      <w:r>
        <w:rPr>
          <w:rFonts w:hint="eastAsia" w:ascii="仿宋" w:hAnsi="仿宋" w:eastAsia="仿宋" w:cs="仿宋"/>
          <w:sz w:val="30"/>
          <w:szCs w:val="30"/>
          <w:highlight w:val="none"/>
          <w:lang w:eastAsia="zh-CN"/>
        </w:rPr>
        <w:t>、牌照费</w:t>
      </w:r>
      <w:r>
        <w:rPr>
          <w:rFonts w:hint="eastAsia" w:ascii="仿宋" w:hAnsi="仿宋" w:eastAsia="仿宋" w:cs="仿宋"/>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 w:hAnsi="仿宋" w:eastAsia="仿宋" w:cs="仿宋"/>
          <w:sz w:val="30"/>
          <w:szCs w:val="30"/>
          <w:highlight w:val="none"/>
          <w:lang w:eastAsia="zh-CN"/>
        </w:rPr>
        <w:t>本文中公开的财政拨款“三公”经费相关数据是一般公共预算、政府性基金及国有资本经营预算财政拨款支出的相关经费，不含非财政拨款部分。</w:t>
      </w:r>
    </w:p>
    <w:p w14:paraId="126E2D80">
      <w:pPr>
        <w:ind w:firstLine="600" w:firstLineChars="200"/>
        <w:jc w:val="left"/>
        <w:rPr>
          <w:rFonts w:hint="eastAsia" w:ascii="仿宋" w:hAnsi="仿宋" w:eastAsia="仿宋" w:cs="仿宋"/>
          <w:sz w:val="30"/>
          <w:szCs w:val="30"/>
          <w:highlight w:val="none"/>
        </w:rPr>
      </w:pPr>
      <w:r>
        <w:rPr>
          <w:rFonts w:hint="eastAsia" w:ascii="仿宋" w:hAnsi="仿宋" w:eastAsia="仿宋" w:cs="仿宋"/>
          <w:sz w:val="30"/>
          <w:szCs w:val="30"/>
          <w:highlight w:val="none"/>
          <w:lang w:eastAsia="zh-CN"/>
        </w:rPr>
        <w:t>（四）本文所称财政拨款</w:t>
      </w:r>
      <w:r>
        <w:rPr>
          <w:rFonts w:hint="eastAsia" w:ascii="仿宋" w:hAnsi="仿宋" w:eastAsia="仿宋" w:cs="仿宋"/>
          <w:sz w:val="30"/>
          <w:szCs w:val="30"/>
          <w:highlight w:val="none"/>
        </w:rPr>
        <w:t>“三公”经费决算数</w:t>
      </w:r>
      <w:r>
        <w:rPr>
          <w:rFonts w:hint="eastAsia" w:ascii="仿宋" w:hAnsi="仿宋" w:eastAsia="仿宋" w:cs="仿宋"/>
          <w:sz w:val="30"/>
          <w:szCs w:val="30"/>
          <w:highlight w:val="none"/>
          <w:lang w:eastAsia="zh-CN"/>
        </w:rPr>
        <w:t>是</w:t>
      </w:r>
      <w:r>
        <w:rPr>
          <w:rFonts w:hint="eastAsia" w:ascii="仿宋" w:hAnsi="仿宋" w:eastAsia="仿宋" w:cs="仿宋"/>
          <w:sz w:val="30"/>
          <w:szCs w:val="30"/>
          <w:highlight w:val="none"/>
        </w:rPr>
        <w:t>指各部门（含下属单位）</w:t>
      </w:r>
      <w:r>
        <w:rPr>
          <w:rFonts w:hint="eastAsia" w:ascii="仿宋" w:hAnsi="仿宋" w:eastAsia="仿宋" w:cs="仿宋"/>
          <w:sz w:val="30"/>
          <w:szCs w:val="30"/>
          <w:highlight w:val="none"/>
          <w:lang w:eastAsia="zh-CN"/>
        </w:rPr>
        <w:t>或单位</w:t>
      </w:r>
      <w:r>
        <w:rPr>
          <w:rFonts w:hint="eastAsia" w:ascii="仿宋" w:hAnsi="仿宋" w:eastAsia="仿宋" w:cs="仿宋"/>
          <w:sz w:val="30"/>
          <w:szCs w:val="30"/>
          <w:highlight w:val="none"/>
        </w:rPr>
        <w:t>当年通过本级财政拨款和以前年度财政拨款结转结余资金安排的</w:t>
      </w:r>
      <w:r>
        <w:rPr>
          <w:rFonts w:hint="eastAsia" w:ascii="仿宋" w:hAnsi="仿宋" w:eastAsia="仿宋" w:cs="仿宋"/>
          <w:sz w:val="30"/>
          <w:szCs w:val="30"/>
          <w:highlight w:val="none"/>
          <w:lang w:eastAsia="zh-CN"/>
        </w:rPr>
        <w:t>因公出国（境）费用</w:t>
      </w:r>
      <w:r>
        <w:rPr>
          <w:rFonts w:hint="eastAsia" w:ascii="仿宋" w:hAnsi="仿宋" w:eastAsia="仿宋" w:cs="仿宋"/>
          <w:sz w:val="30"/>
          <w:szCs w:val="30"/>
          <w:highlight w:val="none"/>
        </w:rPr>
        <w:t>、公务用车购置及运行维护费和公务接待费支出数（包括基本支出和项目支出）。</w:t>
      </w:r>
    </w:p>
    <w:p w14:paraId="16882E1E">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12ED8087">
      <w:pPr>
        <w:ind w:firstLine="600" w:firstLineChars="20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一、</w:t>
      </w:r>
      <w:r>
        <w:rPr>
          <w:rFonts w:hint="eastAsia" w:ascii="仿宋" w:hAnsi="仿宋" w:eastAsia="仿宋" w:cs="仿宋"/>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225DBBBA">
      <w:pPr>
        <w:keepNext w:val="0"/>
        <w:keepLines w:val="0"/>
        <w:pageBreakBefore w:val="0"/>
        <w:widowControl w:val="0"/>
        <w:kinsoku/>
        <w:overflowPunct/>
        <w:topLinePunct w:val="0"/>
        <w:autoSpaceDN/>
        <w:bidi w:val="0"/>
        <w:adjustRightInd/>
        <w:spacing w:before="0" w:beforeAutospacing="0" w:after="0" w:afterAutospacing="0" w:line="590" w:lineRule="exact"/>
        <w:ind w:left="0" w:right="0" w:firstLine="600" w:firstLineChars="200"/>
        <w:jc w:val="both"/>
        <w:textAlignment w:val="auto"/>
        <w:rPr>
          <w:rFonts w:hint="eastAsia" w:ascii="仿宋" w:hAnsi="仿宋" w:eastAsia="仿宋" w:cs="仿宋"/>
          <w:b w:val="0"/>
          <w:bCs w:val="0"/>
          <w:kern w:val="2"/>
          <w:sz w:val="30"/>
          <w:szCs w:val="30"/>
          <w:shd w:val="clear" w:color="auto" w:fill="auto"/>
          <w:lang w:eastAsia="zh-CN" w:bidi="ar-SA"/>
        </w:rPr>
      </w:pPr>
      <w:r>
        <w:rPr>
          <w:rFonts w:hint="eastAsia" w:ascii="仿宋" w:hAnsi="仿宋" w:eastAsia="仿宋" w:cs="仿宋"/>
          <w:b w:val="0"/>
          <w:bCs w:val="0"/>
          <w:kern w:val="2"/>
          <w:sz w:val="30"/>
          <w:szCs w:val="30"/>
          <w:shd w:val="clear" w:color="auto" w:fill="auto"/>
          <w:lang w:eastAsia="zh-CN" w:bidi="ar-SA"/>
        </w:rPr>
        <w:t>二、政府采购：是指各级国家机关、事业单位和团体组织，使用财政性资金采购依法制定的集中采购目录以内的或者采购限额标准以上的货物、工程和服务的行为。</w:t>
      </w:r>
    </w:p>
    <w:p w14:paraId="1BD96E3E">
      <w:pPr>
        <w:keepNext w:val="0"/>
        <w:keepLines w:val="0"/>
        <w:pageBreakBefore w:val="0"/>
        <w:widowControl w:val="0"/>
        <w:kinsoku/>
        <w:overflowPunct/>
        <w:topLinePunct w:val="0"/>
        <w:autoSpaceDN/>
        <w:bidi w:val="0"/>
        <w:adjustRightInd/>
        <w:spacing w:before="0" w:beforeAutospacing="0" w:after="0" w:afterAutospacing="0" w:line="590" w:lineRule="exact"/>
        <w:ind w:left="0" w:right="0" w:firstLine="600" w:firstLineChars="200"/>
        <w:jc w:val="both"/>
        <w:textAlignment w:val="auto"/>
        <w:rPr>
          <w:rFonts w:hint="eastAsia" w:ascii="仿宋" w:hAnsi="仿宋" w:eastAsia="仿宋" w:cs="仿宋"/>
          <w:b w:val="0"/>
          <w:bCs w:val="0"/>
          <w:kern w:val="2"/>
          <w:sz w:val="30"/>
          <w:szCs w:val="30"/>
          <w:shd w:val="clear" w:color="auto" w:fill="auto"/>
          <w:lang w:eastAsia="zh-CN" w:bidi="ar-SA"/>
        </w:rPr>
      </w:pPr>
      <w:r>
        <w:rPr>
          <w:rFonts w:hint="eastAsia" w:ascii="仿宋" w:hAnsi="仿宋" w:eastAsia="仿宋" w:cs="仿宋"/>
          <w:b w:val="0"/>
          <w:bCs w:val="0"/>
          <w:kern w:val="2"/>
          <w:sz w:val="30"/>
          <w:szCs w:val="30"/>
          <w:shd w:val="clear" w:color="auto" w:fill="auto"/>
          <w:lang w:eastAsia="zh-CN" w:bidi="ar-SA"/>
        </w:rPr>
        <w:t>三、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235131C7">
      <w:pPr>
        <w:keepNext w:val="0"/>
        <w:keepLines w:val="0"/>
        <w:pageBreakBefore w:val="0"/>
        <w:widowControl w:val="0"/>
        <w:kinsoku/>
        <w:overflowPunct/>
        <w:topLinePunct w:val="0"/>
        <w:autoSpaceDN/>
        <w:bidi w:val="0"/>
        <w:adjustRightInd/>
        <w:spacing w:before="0" w:beforeAutospacing="0" w:after="0" w:afterAutospacing="0" w:line="590" w:lineRule="exact"/>
        <w:ind w:left="0" w:right="0" w:firstLine="600" w:firstLineChars="200"/>
        <w:jc w:val="both"/>
        <w:textAlignment w:val="auto"/>
        <w:rPr>
          <w:rFonts w:hint="eastAsia" w:ascii="仿宋" w:hAnsi="仿宋" w:eastAsia="仿宋" w:cs="仿宋"/>
          <w:b w:val="0"/>
          <w:bCs w:val="0"/>
          <w:kern w:val="2"/>
          <w:sz w:val="30"/>
          <w:szCs w:val="30"/>
          <w:shd w:val="clear" w:color="auto" w:fill="auto"/>
          <w:lang w:eastAsia="zh-CN" w:bidi="ar-SA"/>
        </w:rPr>
      </w:pPr>
      <w:r>
        <w:rPr>
          <w:rFonts w:hint="eastAsia" w:ascii="仿宋" w:hAnsi="仿宋" w:eastAsia="仿宋" w:cs="仿宋"/>
          <w:b w:val="0"/>
          <w:bCs w:val="0"/>
          <w:kern w:val="2"/>
          <w:sz w:val="30"/>
          <w:szCs w:val="30"/>
          <w:shd w:val="clear" w:color="auto" w:fill="auto"/>
          <w:lang w:eastAsia="zh-CN" w:bidi="ar-SA"/>
        </w:rPr>
        <w:t>四、一般公共预算支出：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务、住房保障支出等。</w:t>
      </w:r>
    </w:p>
    <w:p w14:paraId="767FFA7C">
      <w:pPr>
        <w:keepNext w:val="0"/>
        <w:keepLines w:val="0"/>
        <w:pageBreakBefore w:val="0"/>
        <w:widowControl w:val="0"/>
        <w:kinsoku/>
        <w:overflowPunct/>
        <w:topLinePunct w:val="0"/>
        <w:autoSpaceDN/>
        <w:bidi w:val="0"/>
        <w:adjustRightInd/>
        <w:spacing w:before="0" w:beforeAutospacing="0" w:after="0" w:afterAutospacing="0" w:line="590" w:lineRule="exact"/>
        <w:ind w:left="0" w:right="0" w:firstLine="600" w:firstLineChars="200"/>
        <w:jc w:val="both"/>
        <w:textAlignment w:val="auto"/>
        <w:rPr>
          <w:rFonts w:hint="eastAsia" w:ascii="仿宋" w:hAnsi="仿宋" w:eastAsia="仿宋" w:cs="仿宋"/>
          <w:b w:val="0"/>
          <w:bCs w:val="0"/>
          <w:kern w:val="2"/>
          <w:sz w:val="30"/>
          <w:szCs w:val="30"/>
          <w:shd w:val="clear" w:color="auto" w:fill="auto"/>
          <w:lang w:eastAsia="zh-CN" w:bidi="ar-SA"/>
        </w:rPr>
      </w:pPr>
      <w:r>
        <w:rPr>
          <w:rFonts w:hint="eastAsia" w:ascii="仿宋" w:hAnsi="仿宋" w:eastAsia="仿宋" w:cs="仿宋"/>
          <w:b w:val="0"/>
          <w:bCs w:val="0"/>
          <w:kern w:val="2"/>
          <w:sz w:val="30"/>
          <w:szCs w:val="30"/>
          <w:shd w:val="clear" w:color="auto" w:fill="auto"/>
          <w:lang w:eastAsia="zh-CN" w:bidi="ar-SA"/>
        </w:rPr>
        <w:t>五、“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100549A8">
      <w:pPr>
        <w:ind w:firstLine="420" w:firstLineChars="200"/>
        <w:jc w:val="left"/>
        <w:rPr>
          <w:rFonts w:hint="eastAsia" w:ascii="仿宋" w:hAnsi="仿宋" w:eastAsia="仿宋" w:cs="仿宋"/>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0002A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FAFE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1EC3D8E">
                          <w:pPr>
                            <w:pStyle w:val="3"/>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1EC3D8E">
                    <w:pPr>
                      <w:pStyle w:val="3"/>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C0A6D">
    <w:pPr>
      <w:pStyle w:val="3"/>
      <w:framePr w:wrap="around" w:vAnchor="text" w:hAnchor="margin" w:xAlign="center" w:y="1"/>
      <w:rPr>
        <w:rStyle w:val="8"/>
      </w:rPr>
    </w:pPr>
    <w:r>
      <w:fldChar w:fldCharType="begin"/>
    </w:r>
    <w:r>
      <w:rPr>
        <w:rStyle w:val="8"/>
      </w:rPr>
      <w:instrText xml:space="preserve">PAGE  </w:instrText>
    </w:r>
    <w:r>
      <w:fldChar w:fldCharType="separate"/>
    </w:r>
    <w:r>
      <w:fldChar w:fldCharType="end"/>
    </w:r>
  </w:p>
  <w:p w14:paraId="18F57BE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874FE">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abstractNum w:abstractNumId="1">
    <w:nsid w:val="C9FF5D93"/>
    <w:multiLevelType w:val="singleLevel"/>
    <w:tmpl w:val="C9FF5D9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5B44"/>
    <w:rsid w:val="00295221"/>
    <w:rsid w:val="004428D7"/>
    <w:rsid w:val="007769FD"/>
    <w:rsid w:val="009D25BF"/>
    <w:rsid w:val="011A52DC"/>
    <w:rsid w:val="01207E49"/>
    <w:rsid w:val="01ED26C2"/>
    <w:rsid w:val="025811C6"/>
    <w:rsid w:val="02896555"/>
    <w:rsid w:val="029B292C"/>
    <w:rsid w:val="02B75F93"/>
    <w:rsid w:val="02B871BB"/>
    <w:rsid w:val="02E24634"/>
    <w:rsid w:val="02FB33E1"/>
    <w:rsid w:val="03305DE9"/>
    <w:rsid w:val="034D0487"/>
    <w:rsid w:val="03855958"/>
    <w:rsid w:val="03B11286"/>
    <w:rsid w:val="03CA58FE"/>
    <w:rsid w:val="03DA2C61"/>
    <w:rsid w:val="041A7827"/>
    <w:rsid w:val="04271BFA"/>
    <w:rsid w:val="047475DC"/>
    <w:rsid w:val="04BC11CE"/>
    <w:rsid w:val="04C10576"/>
    <w:rsid w:val="04E17CD9"/>
    <w:rsid w:val="05174717"/>
    <w:rsid w:val="056F0AF9"/>
    <w:rsid w:val="0574646B"/>
    <w:rsid w:val="058F13D8"/>
    <w:rsid w:val="059C5753"/>
    <w:rsid w:val="05DC7F46"/>
    <w:rsid w:val="05E97883"/>
    <w:rsid w:val="060B1C24"/>
    <w:rsid w:val="062A0404"/>
    <w:rsid w:val="06444EBA"/>
    <w:rsid w:val="065D0EEB"/>
    <w:rsid w:val="067D4F13"/>
    <w:rsid w:val="07266B66"/>
    <w:rsid w:val="07405F45"/>
    <w:rsid w:val="074E4226"/>
    <w:rsid w:val="075C4FC8"/>
    <w:rsid w:val="07B029A5"/>
    <w:rsid w:val="07BB3ECB"/>
    <w:rsid w:val="089E4E3D"/>
    <w:rsid w:val="08D05336"/>
    <w:rsid w:val="08D44158"/>
    <w:rsid w:val="08D73239"/>
    <w:rsid w:val="08F51F25"/>
    <w:rsid w:val="0944019E"/>
    <w:rsid w:val="095E4341"/>
    <w:rsid w:val="09EF4584"/>
    <w:rsid w:val="0A095F75"/>
    <w:rsid w:val="0A3177B0"/>
    <w:rsid w:val="0A51772C"/>
    <w:rsid w:val="0A5C0B70"/>
    <w:rsid w:val="0A7469B7"/>
    <w:rsid w:val="0A96061B"/>
    <w:rsid w:val="0B1D5AA5"/>
    <w:rsid w:val="0B2129CD"/>
    <w:rsid w:val="0B6111D7"/>
    <w:rsid w:val="0B870169"/>
    <w:rsid w:val="0BC33A5C"/>
    <w:rsid w:val="0C16119B"/>
    <w:rsid w:val="0C3A499F"/>
    <w:rsid w:val="0C3F033D"/>
    <w:rsid w:val="0C4678C8"/>
    <w:rsid w:val="0C9678DC"/>
    <w:rsid w:val="0D11231B"/>
    <w:rsid w:val="0D805349"/>
    <w:rsid w:val="0D974C37"/>
    <w:rsid w:val="0DAD6122"/>
    <w:rsid w:val="0DE011E3"/>
    <w:rsid w:val="0DF15108"/>
    <w:rsid w:val="0E260B59"/>
    <w:rsid w:val="0E36301F"/>
    <w:rsid w:val="0E522B37"/>
    <w:rsid w:val="0E9E11F2"/>
    <w:rsid w:val="0ED33725"/>
    <w:rsid w:val="0EEE1C8C"/>
    <w:rsid w:val="0EFC2B02"/>
    <w:rsid w:val="0EFF905A"/>
    <w:rsid w:val="0F1A3753"/>
    <w:rsid w:val="0F567CC7"/>
    <w:rsid w:val="0F912D77"/>
    <w:rsid w:val="0FA0503D"/>
    <w:rsid w:val="0FAA4025"/>
    <w:rsid w:val="10896582"/>
    <w:rsid w:val="10A96308"/>
    <w:rsid w:val="10C74EB5"/>
    <w:rsid w:val="10CC4F4C"/>
    <w:rsid w:val="10D57F53"/>
    <w:rsid w:val="10F92FC2"/>
    <w:rsid w:val="11A074A9"/>
    <w:rsid w:val="11AC4B81"/>
    <w:rsid w:val="11B85B08"/>
    <w:rsid w:val="11C25C30"/>
    <w:rsid w:val="12192820"/>
    <w:rsid w:val="12B37192"/>
    <w:rsid w:val="12C754DE"/>
    <w:rsid w:val="12CA3600"/>
    <w:rsid w:val="13174A9C"/>
    <w:rsid w:val="133D1BD6"/>
    <w:rsid w:val="13DF292F"/>
    <w:rsid w:val="141806CE"/>
    <w:rsid w:val="14AE268B"/>
    <w:rsid w:val="14BB338F"/>
    <w:rsid w:val="14E6571C"/>
    <w:rsid w:val="15081CAF"/>
    <w:rsid w:val="154214E8"/>
    <w:rsid w:val="15A54214"/>
    <w:rsid w:val="15E37E25"/>
    <w:rsid w:val="16007566"/>
    <w:rsid w:val="16020FCA"/>
    <w:rsid w:val="1658184C"/>
    <w:rsid w:val="16637CF7"/>
    <w:rsid w:val="16662B77"/>
    <w:rsid w:val="167105AF"/>
    <w:rsid w:val="16875E24"/>
    <w:rsid w:val="16E55708"/>
    <w:rsid w:val="16F67E8F"/>
    <w:rsid w:val="16FE2070"/>
    <w:rsid w:val="173F6E5A"/>
    <w:rsid w:val="174519BC"/>
    <w:rsid w:val="175A544A"/>
    <w:rsid w:val="17604AD5"/>
    <w:rsid w:val="179F3E05"/>
    <w:rsid w:val="17CB7119"/>
    <w:rsid w:val="17DC2136"/>
    <w:rsid w:val="17DF1149"/>
    <w:rsid w:val="18002766"/>
    <w:rsid w:val="18212C19"/>
    <w:rsid w:val="187F0C51"/>
    <w:rsid w:val="18B03A11"/>
    <w:rsid w:val="18EB5F6F"/>
    <w:rsid w:val="18F42ED9"/>
    <w:rsid w:val="19024D8D"/>
    <w:rsid w:val="191028B7"/>
    <w:rsid w:val="19326BF6"/>
    <w:rsid w:val="196F58D1"/>
    <w:rsid w:val="19A32DE5"/>
    <w:rsid w:val="19EF2C27"/>
    <w:rsid w:val="1A150658"/>
    <w:rsid w:val="1A2B1B6F"/>
    <w:rsid w:val="1A473E5F"/>
    <w:rsid w:val="1A4B77A0"/>
    <w:rsid w:val="1A555294"/>
    <w:rsid w:val="1AB64312"/>
    <w:rsid w:val="1ADD6866"/>
    <w:rsid w:val="1AE314CA"/>
    <w:rsid w:val="1AEB2A75"/>
    <w:rsid w:val="1AEC1322"/>
    <w:rsid w:val="1AF03547"/>
    <w:rsid w:val="1AF570FB"/>
    <w:rsid w:val="1B291FC1"/>
    <w:rsid w:val="1B512D88"/>
    <w:rsid w:val="1BC4501D"/>
    <w:rsid w:val="1C060756"/>
    <w:rsid w:val="1C0C2D11"/>
    <w:rsid w:val="1C951110"/>
    <w:rsid w:val="1C982A4B"/>
    <w:rsid w:val="1CA001A1"/>
    <w:rsid w:val="1CA2700A"/>
    <w:rsid w:val="1D2C0DC3"/>
    <w:rsid w:val="1D4D5A3F"/>
    <w:rsid w:val="1DB86B36"/>
    <w:rsid w:val="1E1A4F9E"/>
    <w:rsid w:val="1E842C65"/>
    <w:rsid w:val="1E8C1E71"/>
    <w:rsid w:val="1E912C74"/>
    <w:rsid w:val="1ECE177D"/>
    <w:rsid w:val="1EE05F70"/>
    <w:rsid w:val="1EE76EF1"/>
    <w:rsid w:val="1F174475"/>
    <w:rsid w:val="1F1D5657"/>
    <w:rsid w:val="1F8D7EC2"/>
    <w:rsid w:val="1F987AB5"/>
    <w:rsid w:val="1FC508AF"/>
    <w:rsid w:val="2005391D"/>
    <w:rsid w:val="20404643"/>
    <w:rsid w:val="205F017A"/>
    <w:rsid w:val="208C5FC9"/>
    <w:rsid w:val="20A55634"/>
    <w:rsid w:val="20AC638C"/>
    <w:rsid w:val="20BA7ED4"/>
    <w:rsid w:val="20D7044D"/>
    <w:rsid w:val="20E47C64"/>
    <w:rsid w:val="20FC2BAF"/>
    <w:rsid w:val="210F22C5"/>
    <w:rsid w:val="21211468"/>
    <w:rsid w:val="21231873"/>
    <w:rsid w:val="21485CA7"/>
    <w:rsid w:val="21494BAA"/>
    <w:rsid w:val="217B5541"/>
    <w:rsid w:val="21880939"/>
    <w:rsid w:val="218B504F"/>
    <w:rsid w:val="218E7681"/>
    <w:rsid w:val="2194487E"/>
    <w:rsid w:val="21975F35"/>
    <w:rsid w:val="21B519F4"/>
    <w:rsid w:val="21CB04C7"/>
    <w:rsid w:val="21E01D62"/>
    <w:rsid w:val="21F3287C"/>
    <w:rsid w:val="2222656A"/>
    <w:rsid w:val="224D4924"/>
    <w:rsid w:val="224F1F1F"/>
    <w:rsid w:val="225F006D"/>
    <w:rsid w:val="22736EC0"/>
    <w:rsid w:val="22904445"/>
    <w:rsid w:val="22AC4A6F"/>
    <w:rsid w:val="22BE7196"/>
    <w:rsid w:val="22FE172B"/>
    <w:rsid w:val="22FF1FBE"/>
    <w:rsid w:val="22FF4B33"/>
    <w:rsid w:val="23090C44"/>
    <w:rsid w:val="231D41B2"/>
    <w:rsid w:val="236F7A9C"/>
    <w:rsid w:val="2372573E"/>
    <w:rsid w:val="23731D80"/>
    <w:rsid w:val="239422C2"/>
    <w:rsid w:val="23CB718F"/>
    <w:rsid w:val="23E06206"/>
    <w:rsid w:val="23EA4C89"/>
    <w:rsid w:val="23FC6838"/>
    <w:rsid w:val="2406257A"/>
    <w:rsid w:val="24067402"/>
    <w:rsid w:val="24883467"/>
    <w:rsid w:val="24C1257F"/>
    <w:rsid w:val="253936BF"/>
    <w:rsid w:val="25893AEF"/>
    <w:rsid w:val="25A131FF"/>
    <w:rsid w:val="25AF2274"/>
    <w:rsid w:val="25BD0873"/>
    <w:rsid w:val="25C828BD"/>
    <w:rsid w:val="25E028CE"/>
    <w:rsid w:val="261B19B5"/>
    <w:rsid w:val="262B61F3"/>
    <w:rsid w:val="26551548"/>
    <w:rsid w:val="26A32E80"/>
    <w:rsid w:val="26C9124A"/>
    <w:rsid w:val="26E302AC"/>
    <w:rsid w:val="26E716EB"/>
    <w:rsid w:val="26E821F4"/>
    <w:rsid w:val="26F32549"/>
    <w:rsid w:val="273F5F9F"/>
    <w:rsid w:val="27811B2D"/>
    <w:rsid w:val="27F85AB9"/>
    <w:rsid w:val="28007168"/>
    <w:rsid w:val="28032F29"/>
    <w:rsid w:val="282C268F"/>
    <w:rsid w:val="28732C56"/>
    <w:rsid w:val="28EF77AE"/>
    <w:rsid w:val="290465B4"/>
    <w:rsid w:val="291A1CD0"/>
    <w:rsid w:val="292345FF"/>
    <w:rsid w:val="29713E9A"/>
    <w:rsid w:val="2988177C"/>
    <w:rsid w:val="29AF2EC1"/>
    <w:rsid w:val="29F379FC"/>
    <w:rsid w:val="29F75FB8"/>
    <w:rsid w:val="2A1B2E51"/>
    <w:rsid w:val="2A4250E7"/>
    <w:rsid w:val="2A470D3B"/>
    <w:rsid w:val="2A63427A"/>
    <w:rsid w:val="2A9A2652"/>
    <w:rsid w:val="2ADD0968"/>
    <w:rsid w:val="2B1B7108"/>
    <w:rsid w:val="2B87285B"/>
    <w:rsid w:val="2BA25686"/>
    <w:rsid w:val="2BB7676D"/>
    <w:rsid w:val="2BBB79B6"/>
    <w:rsid w:val="2BC801D3"/>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B458A"/>
    <w:rsid w:val="2EEC20C5"/>
    <w:rsid w:val="2F070B32"/>
    <w:rsid w:val="2F5319D5"/>
    <w:rsid w:val="2F6F68DF"/>
    <w:rsid w:val="30006F3F"/>
    <w:rsid w:val="30170C37"/>
    <w:rsid w:val="30283C97"/>
    <w:rsid w:val="307E00A8"/>
    <w:rsid w:val="30987FD3"/>
    <w:rsid w:val="309D69CA"/>
    <w:rsid w:val="30A211A3"/>
    <w:rsid w:val="30B90B35"/>
    <w:rsid w:val="30F10F6B"/>
    <w:rsid w:val="31290D56"/>
    <w:rsid w:val="315844AE"/>
    <w:rsid w:val="31A07D10"/>
    <w:rsid w:val="32353CF2"/>
    <w:rsid w:val="32367BE1"/>
    <w:rsid w:val="329747D7"/>
    <w:rsid w:val="32A34D83"/>
    <w:rsid w:val="339B40BE"/>
    <w:rsid w:val="33EF767C"/>
    <w:rsid w:val="33FA5A7F"/>
    <w:rsid w:val="33FD2D0F"/>
    <w:rsid w:val="34031CD9"/>
    <w:rsid w:val="34164660"/>
    <w:rsid w:val="3420011D"/>
    <w:rsid w:val="3484654D"/>
    <w:rsid w:val="34C358E4"/>
    <w:rsid w:val="34ED2FD4"/>
    <w:rsid w:val="35193A9B"/>
    <w:rsid w:val="359B67E6"/>
    <w:rsid w:val="35B6712B"/>
    <w:rsid w:val="35E72C38"/>
    <w:rsid w:val="360B4DA5"/>
    <w:rsid w:val="364F30EB"/>
    <w:rsid w:val="369F7346"/>
    <w:rsid w:val="36A645FC"/>
    <w:rsid w:val="36AF3590"/>
    <w:rsid w:val="36DE447A"/>
    <w:rsid w:val="36F315F4"/>
    <w:rsid w:val="37282ED2"/>
    <w:rsid w:val="37E93BC8"/>
    <w:rsid w:val="38264F95"/>
    <w:rsid w:val="38892B9F"/>
    <w:rsid w:val="388C1B47"/>
    <w:rsid w:val="38D163E1"/>
    <w:rsid w:val="38DE5FCC"/>
    <w:rsid w:val="39431FB5"/>
    <w:rsid w:val="394E1A4D"/>
    <w:rsid w:val="395D7B12"/>
    <w:rsid w:val="3987236F"/>
    <w:rsid w:val="398B6BF8"/>
    <w:rsid w:val="39D407FB"/>
    <w:rsid w:val="39E061C4"/>
    <w:rsid w:val="3AC20DED"/>
    <w:rsid w:val="3AF04F3A"/>
    <w:rsid w:val="3AF962CD"/>
    <w:rsid w:val="3AFA7487"/>
    <w:rsid w:val="3B072224"/>
    <w:rsid w:val="3B1F4126"/>
    <w:rsid w:val="3B4A1EE5"/>
    <w:rsid w:val="3B5E105A"/>
    <w:rsid w:val="3B667025"/>
    <w:rsid w:val="3B8F5FC8"/>
    <w:rsid w:val="3B954C1E"/>
    <w:rsid w:val="3B990744"/>
    <w:rsid w:val="3B9D7FB8"/>
    <w:rsid w:val="3C111A19"/>
    <w:rsid w:val="3C776E08"/>
    <w:rsid w:val="3D5A33CC"/>
    <w:rsid w:val="3D62570E"/>
    <w:rsid w:val="3DDC13D5"/>
    <w:rsid w:val="3DDF50EC"/>
    <w:rsid w:val="3DE37522"/>
    <w:rsid w:val="3E106008"/>
    <w:rsid w:val="3E444804"/>
    <w:rsid w:val="3E623312"/>
    <w:rsid w:val="3E907212"/>
    <w:rsid w:val="3EB014F1"/>
    <w:rsid w:val="3FCD7387"/>
    <w:rsid w:val="3FE6211E"/>
    <w:rsid w:val="3FE8782C"/>
    <w:rsid w:val="40F03BB3"/>
    <w:rsid w:val="40F811B0"/>
    <w:rsid w:val="41940F8A"/>
    <w:rsid w:val="41B01923"/>
    <w:rsid w:val="41C9127A"/>
    <w:rsid w:val="41F16AFC"/>
    <w:rsid w:val="42055244"/>
    <w:rsid w:val="420A7EBF"/>
    <w:rsid w:val="4218487C"/>
    <w:rsid w:val="424B7853"/>
    <w:rsid w:val="42800DA9"/>
    <w:rsid w:val="42AC4D2D"/>
    <w:rsid w:val="42AE60B2"/>
    <w:rsid w:val="42C65DB9"/>
    <w:rsid w:val="42CB3B33"/>
    <w:rsid w:val="43182221"/>
    <w:rsid w:val="4331430B"/>
    <w:rsid w:val="434B1318"/>
    <w:rsid w:val="435E72D5"/>
    <w:rsid w:val="437E3642"/>
    <w:rsid w:val="438415F8"/>
    <w:rsid w:val="43885EFC"/>
    <w:rsid w:val="43A2314C"/>
    <w:rsid w:val="43B832ED"/>
    <w:rsid w:val="43E4284F"/>
    <w:rsid w:val="43EC5A7C"/>
    <w:rsid w:val="43F5418D"/>
    <w:rsid w:val="4409139E"/>
    <w:rsid w:val="44235D2F"/>
    <w:rsid w:val="443A35FD"/>
    <w:rsid w:val="443F0DBF"/>
    <w:rsid w:val="44907E93"/>
    <w:rsid w:val="44AB71BA"/>
    <w:rsid w:val="44BC401A"/>
    <w:rsid w:val="44E53468"/>
    <w:rsid w:val="44E91DF6"/>
    <w:rsid w:val="45203683"/>
    <w:rsid w:val="453244B9"/>
    <w:rsid w:val="45A4152D"/>
    <w:rsid w:val="45A867F1"/>
    <w:rsid w:val="45CA720B"/>
    <w:rsid w:val="45ED4C8D"/>
    <w:rsid w:val="462F27B3"/>
    <w:rsid w:val="466729D6"/>
    <w:rsid w:val="4683443C"/>
    <w:rsid w:val="468B162E"/>
    <w:rsid w:val="46AC5600"/>
    <w:rsid w:val="46D7608B"/>
    <w:rsid w:val="46ED2DB6"/>
    <w:rsid w:val="46FF3CB8"/>
    <w:rsid w:val="47D42FF0"/>
    <w:rsid w:val="48E1676A"/>
    <w:rsid w:val="48E40429"/>
    <w:rsid w:val="49181F09"/>
    <w:rsid w:val="49247934"/>
    <w:rsid w:val="49723E09"/>
    <w:rsid w:val="49B23FF4"/>
    <w:rsid w:val="49B2744B"/>
    <w:rsid w:val="49C155BF"/>
    <w:rsid w:val="4A81167B"/>
    <w:rsid w:val="4AAC7FF4"/>
    <w:rsid w:val="4ACC74A7"/>
    <w:rsid w:val="4B3C05BE"/>
    <w:rsid w:val="4BA86912"/>
    <w:rsid w:val="4BE5547B"/>
    <w:rsid w:val="4BEA0B1C"/>
    <w:rsid w:val="4C2F3911"/>
    <w:rsid w:val="4C9A6C67"/>
    <w:rsid w:val="4CB51270"/>
    <w:rsid w:val="4CC672B1"/>
    <w:rsid w:val="4D3B1B78"/>
    <w:rsid w:val="4DE00542"/>
    <w:rsid w:val="4E321376"/>
    <w:rsid w:val="4E776A0A"/>
    <w:rsid w:val="4EAA7777"/>
    <w:rsid w:val="4EBD7EDB"/>
    <w:rsid w:val="4ECC0D58"/>
    <w:rsid w:val="4EF76621"/>
    <w:rsid w:val="4F17581D"/>
    <w:rsid w:val="4F2F2D76"/>
    <w:rsid w:val="4FA84E49"/>
    <w:rsid w:val="4FE20970"/>
    <w:rsid w:val="50066E8B"/>
    <w:rsid w:val="504A4293"/>
    <w:rsid w:val="50500969"/>
    <w:rsid w:val="505638FA"/>
    <w:rsid w:val="508F7B4A"/>
    <w:rsid w:val="509A082B"/>
    <w:rsid w:val="50E847AB"/>
    <w:rsid w:val="51CD169C"/>
    <w:rsid w:val="51CD4EE8"/>
    <w:rsid w:val="525E5D62"/>
    <w:rsid w:val="527B1241"/>
    <w:rsid w:val="529F347E"/>
    <w:rsid w:val="52CB24B4"/>
    <w:rsid w:val="53F542FC"/>
    <w:rsid w:val="53FC1D2A"/>
    <w:rsid w:val="544F51F8"/>
    <w:rsid w:val="54683F4C"/>
    <w:rsid w:val="546911CC"/>
    <w:rsid w:val="54DD506F"/>
    <w:rsid w:val="54FF40F9"/>
    <w:rsid w:val="55293A5A"/>
    <w:rsid w:val="553158A2"/>
    <w:rsid w:val="554B2170"/>
    <w:rsid w:val="5550572B"/>
    <w:rsid w:val="55544AF4"/>
    <w:rsid w:val="5595621E"/>
    <w:rsid w:val="55E45084"/>
    <w:rsid w:val="563E1B84"/>
    <w:rsid w:val="567E52FA"/>
    <w:rsid w:val="57005521"/>
    <w:rsid w:val="573B7525"/>
    <w:rsid w:val="57AB0622"/>
    <w:rsid w:val="57BC6DB9"/>
    <w:rsid w:val="57C54229"/>
    <w:rsid w:val="586645BB"/>
    <w:rsid w:val="588751F0"/>
    <w:rsid w:val="58E11859"/>
    <w:rsid w:val="591F00FC"/>
    <w:rsid w:val="593B754E"/>
    <w:rsid w:val="597F68B1"/>
    <w:rsid w:val="598658E0"/>
    <w:rsid w:val="59B359C0"/>
    <w:rsid w:val="5A352E07"/>
    <w:rsid w:val="5A3B05F6"/>
    <w:rsid w:val="5A70538B"/>
    <w:rsid w:val="5A9666AC"/>
    <w:rsid w:val="5AD00A3C"/>
    <w:rsid w:val="5ADB39B5"/>
    <w:rsid w:val="5AFA4609"/>
    <w:rsid w:val="5B5D5515"/>
    <w:rsid w:val="5BB524B0"/>
    <w:rsid w:val="5BDF6159"/>
    <w:rsid w:val="5C0D5C7B"/>
    <w:rsid w:val="5C1F4663"/>
    <w:rsid w:val="5C2C10F5"/>
    <w:rsid w:val="5C9D5C13"/>
    <w:rsid w:val="5CBE484A"/>
    <w:rsid w:val="5CCD6C15"/>
    <w:rsid w:val="5CDC559C"/>
    <w:rsid w:val="5CFB2A97"/>
    <w:rsid w:val="5D11570E"/>
    <w:rsid w:val="5DA058C2"/>
    <w:rsid w:val="5DC9252F"/>
    <w:rsid w:val="5DE073F8"/>
    <w:rsid w:val="5E102C77"/>
    <w:rsid w:val="5E181AE8"/>
    <w:rsid w:val="5E200FB4"/>
    <w:rsid w:val="5E286A5D"/>
    <w:rsid w:val="5E2F3B9E"/>
    <w:rsid w:val="5E59742F"/>
    <w:rsid w:val="5E715CB3"/>
    <w:rsid w:val="5E7721E8"/>
    <w:rsid w:val="5EA13392"/>
    <w:rsid w:val="5F400E00"/>
    <w:rsid w:val="5F585DDC"/>
    <w:rsid w:val="5FCD49D0"/>
    <w:rsid w:val="5FE961D6"/>
    <w:rsid w:val="5FEE67D5"/>
    <w:rsid w:val="600606E1"/>
    <w:rsid w:val="60A25007"/>
    <w:rsid w:val="60DC08A3"/>
    <w:rsid w:val="60F53242"/>
    <w:rsid w:val="61063D04"/>
    <w:rsid w:val="61372C6A"/>
    <w:rsid w:val="61507D62"/>
    <w:rsid w:val="616A29DB"/>
    <w:rsid w:val="6182198A"/>
    <w:rsid w:val="61B374F7"/>
    <w:rsid w:val="61CA6AF3"/>
    <w:rsid w:val="61CD3BE8"/>
    <w:rsid w:val="61E7692D"/>
    <w:rsid w:val="620165C0"/>
    <w:rsid w:val="62196213"/>
    <w:rsid w:val="62662701"/>
    <w:rsid w:val="627A3650"/>
    <w:rsid w:val="62A1560C"/>
    <w:rsid w:val="62A4517E"/>
    <w:rsid w:val="62E005A6"/>
    <w:rsid w:val="62F656EA"/>
    <w:rsid w:val="630A3753"/>
    <w:rsid w:val="63232B02"/>
    <w:rsid w:val="636A1AC0"/>
    <w:rsid w:val="638E2EFC"/>
    <w:rsid w:val="63CD6E9B"/>
    <w:rsid w:val="63DE34EA"/>
    <w:rsid w:val="63FD3D96"/>
    <w:rsid w:val="640E26EA"/>
    <w:rsid w:val="643C1380"/>
    <w:rsid w:val="6471083B"/>
    <w:rsid w:val="65656982"/>
    <w:rsid w:val="656808BF"/>
    <w:rsid w:val="657B0DDB"/>
    <w:rsid w:val="658E12F0"/>
    <w:rsid w:val="65940D5E"/>
    <w:rsid w:val="65B77098"/>
    <w:rsid w:val="65C62867"/>
    <w:rsid w:val="65C7004B"/>
    <w:rsid w:val="65D87EA7"/>
    <w:rsid w:val="661D12A7"/>
    <w:rsid w:val="661E3D1F"/>
    <w:rsid w:val="66624235"/>
    <w:rsid w:val="66857217"/>
    <w:rsid w:val="676A39DE"/>
    <w:rsid w:val="67FD5BCA"/>
    <w:rsid w:val="68401F2D"/>
    <w:rsid w:val="68425B60"/>
    <w:rsid w:val="684A5B2A"/>
    <w:rsid w:val="687E16C8"/>
    <w:rsid w:val="689C104D"/>
    <w:rsid w:val="68B77D10"/>
    <w:rsid w:val="68C0397C"/>
    <w:rsid w:val="68C63733"/>
    <w:rsid w:val="69022D41"/>
    <w:rsid w:val="69425B67"/>
    <w:rsid w:val="695176FB"/>
    <w:rsid w:val="69B61240"/>
    <w:rsid w:val="69FB41BB"/>
    <w:rsid w:val="6A340551"/>
    <w:rsid w:val="6A3938D4"/>
    <w:rsid w:val="6A4709B8"/>
    <w:rsid w:val="6A806C9E"/>
    <w:rsid w:val="6AFC751A"/>
    <w:rsid w:val="6B0C3CD1"/>
    <w:rsid w:val="6B1462EA"/>
    <w:rsid w:val="6B1D2257"/>
    <w:rsid w:val="6B9F6057"/>
    <w:rsid w:val="6BAF510F"/>
    <w:rsid w:val="6BE78CA3"/>
    <w:rsid w:val="6BED4E02"/>
    <w:rsid w:val="6BFA28A1"/>
    <w:rsid w:val="6C0758A4"/>
    <w:rsid w:val="6C6D5B44"/>
    <w:rsid w:val="6C746E90"/>
    <w:rsid w:val="6C9F5465"/>
    <w:rsid w:val="6CA506FA"/>
    <w:rsid w:val="6D126704"/>
    <w:rsid w:val="6D3A5A3C"/>
    <w:rsid w:val="6D6D49D5"/>
    <w:rsid w:val="6DF631FC"/>
    <w:rsid w:val="6E2A40BA"/>
    <w:rsid w:val="6E78248F"/>
    <w:rsid w:val="6E7C42BF"/>
    <w:rsid w:val="6E9470E2"/>
    <w:rsid w:val="6EB646C6"/>
    <w:rsid w:val="6ED1053F"/>
    <w:rsid w:val="6EFF5E89"/>
    <w:rsid w:val="6F2830B0"/>
    <w:rsid w:val="6F330BF1"/>
    <w:rsid w:val="6F3E51E3"/>
    <w:rsid w:val="6F44559A"/>
    <w:rsid w:val="6F507BFB"/>
    <w:rsid w:val="6F614322"/>
    <w:rsid w:val="6FA21EBF"/>
    <w:rsid w:val="6FBDCC2D"/>
    <w:rsid w:val="6FCE1C7C"/>
    <w:rsid w:val="6FD54146"/>
    <w:rsid w:val="6FE770FD"/>
    <w:rsid w:val="7016782F"/>
    <w:rsid w:val="701A6502"/>
    <w:rsid w:val="704163FD"/>
    <w:rsid w:val="70644DB9"/>
    <w:rsid w:val="708616B2"/>
    <w:rsid w:val="708C3518"/>
    <w:rsid w:val="70A161DA"/>
    <w:rsid w:val="70AC5C45"/>
    <w:rsid w:val="70C9768C"/>
    <w:rsid w:val="711A53E2"/>
    <w:rsid w:val="7122697F"/>
    <w:rsid w:val="712A376B"/>
    <w:rsid w:val="71446C65"/>
    <w:rsid w:val="71A84B94"/>
    <w:rsid w:val="71D46217"/>
    <w:rsid w:val="71EF717B"/>
    <w:rsid w:val="723C678F"/>
    <w:rsid w:val="723E21E1"/>
    <w:rsid w:val="72760386"/>
    <w:rsid w:val="72C725F2"/>
    <w:rsid w:val="72D7692B"/>
    <w:rsid w:val="737F124C"/>
    <w:rsid w:val="738D3291"/>
    <w:rsid w:val="73D78A0C"/>
    <w:rsid w:val="740C2AB5"/>
    <w:rsid w:val="745510E8"/>
    <w:rsid w:val="747157DD"/>
    <w:rsid w:val="74746803"/>
    <w:rsid w:val="74855269"/>
    <w:rsid w:val="74FE13D7"/>
    <w:rsid w:val="7590055C"/>
    <w:rsid w:val="75E675A1"/>
    <w:rsid w:val="75F25C45"/>
    <w:rsid w:val="7682521B"/>
    <w:rsid w:val="76DA4A35"/>
    <w:rsid w:val="775942E7"/>
    <w:rsid w:val="77786669"/>
    <w:rsid w:val="77D77E74"/>
    <w:rsid w:val="77EFDA2F"/>
    <w:rsid w:val="780E06BE"/>
    <w:rsid w:val="782A5A14"/>
    <w:rsid w:val="78423926"/>
    <w:rsid w:val="78501970"/>
    <w:rsid w:val="787B7330"/>
    <w:rsid w:val="787F460C"/>
    <w:rsid w:val="78E43650"/>
    <w:rsid w:val="78F1359A"/>
    <w:rsid w:val="790C6195"/>
    <w:rsid w:val="79197BA3"/>
    <w:rsid w:val="79486D64"/>
    <w:rsid w:val="796C2A54"/>
    <w:rsid w:val="797F9E17"/>
    <w:rsid w:val="79F94C6D"/>
    <w:rsid w:val="79FD4EE1"/>
    <w:rsid w:val="7A0207AA"/>
    <w:rsid w:val="7A1E467C"/>
    <w:rsid w:val="7A840A52"/>
    <w:rsid w:val="7A8D4744"/>
    <w:rsid w:val="7A8D5499"/>
    <w:rsid w:val="7AA028C5"/>
    <w:rsid w:val="7AD95CEC"/>
    <w:rsid w:val="7B482360"/>
    <w:rsid w:val="7B5423EC"/>
    <w:rsid w:val="7B68382E"/>
    <w:rsid w:val="7B886F65"/>
    <w:rsid w:val="7B991389"/>
    <w:rsid w:val="7CA01B71"/>
    <w:rsid w:val="7CF52723"/>
    <w:rsid w:val="7CF93F8F"/>
    <w:rsid w:val="7CFE370D"/>
    <w:rsid w:val="7D3455C0"/>
    <w:rsid w:val="7D5216BB"/>
    <w:rsid w:val="7DC123FB"/>
    <w:rsid w:val="7DCA4966"/>
    <w:rsid w:val="7DD6636F"/>
    <w:rsid w:val="7E21732F"/>
    <w:rsid w:val="7E2D78E3"/>
    <w:rsid w:val="7E2E406D"/>
    <w:rsid w:val="7E391E44"/>
    <w:rsid w:val="7E637FA1"/>
    <w:rsid w:val="7E7F5290"/>
    <w:rsid w:val="7E9D3A96"/>
    <w:rsid w:val="7E9F516C"/>
    <w:rsid w:val="7EB47670"/>
    <w:rsid w:val="7EBC5951"/>
    <w:rsid w:val="7EBF0D00"/>
    <w:rsid w:val="7EC85AD8"/>
    <w:rsid w:val="7EDE5857"/>
    <w:rsid w:val="7F2A6FBC"/>
    <w:rsid w:val="7F4E0757"/>
    <w:rsid w:val="7F567F7A"/>
    <w:rsid w:val="7F6C1599"/>
    <w:rsid w:val="7F6E7B17"/>
    <w:rsid w:val="7F9F8FD7"/>
    <w:rsid w:val="BFFB94F9"/>
    <w:rsid w:val="CBEF7D62"/>
    <w:rsid w:val="DFFEEDAC"/>
    <w:rsid w:val="E67A7A9C"/>
    <w:rsid w:val="EBF53932"/>
    <w:rsid w:val="FD8F9265"/>
    <w:rsid w:val="FFF79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paragraph" w:customStyle="1" w:styleId="9">
    <w:name w:val="CMcontent"/>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27</Pages>
  <Words>9327</Words>
  <Characters>9972</Characters>
  <Lines>0</Lines>
  <Paragraphs>0</Paragraphs>
  <TotalTime>14</TotalTime>
  <ScaleCrop>false</ScaleCrop>
  <LinksUpToDate>false</LinksUpToDate>
  <CharactersWithSpaces>9994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Administrator</cp:lastModifiedBy>
  <cp:lastPrinted>2024-08-01T06:24:00Z</cp:lastPrinted>
  <dcterms:modified xsi:type="dcterms:W3CDTF">2026-10-12T03:34:26Z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eyJoZGlkIjoiZGU1NDE2OTJiMjk2M2MzMzE3OTQwNDVhNjAyMjBkODkiLCJ1c2VySWQiOiIxOTg1MjA0ODgifQ==</vt:lpwstr>
  </property>
  <property fmtid="{D5CDD505-2E9C-101B-9397-08002B2CF9AE}" pid="4" name="ICV">
    <vt:lpwstr>8412DD7C93B343DAA4E756544EC629C4_12</vt:lpwstr>
  </property>
</Properties>
</file>