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C35D1">
      <w:pPr>
        <w:jc w:val="center"/>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olor w:val="auto"/>
          <w:sz w:val="36"/>
          <w:lang w:val="zh-CN"/>
        </w:rPr>
        <w:t>华宁县教育体育局（本级）</w:t>
      </w:r>
      <w:r>
        <w:rPr>
          <w:rFonts w:hint="eastAsia" w:ascii="方正小标宋简体" w:hAnsi="方正小标宋简体" w:eastAsia="方正小标宋简体" w:cs="方正小标宋简体"/>
          <w:color w:val="auto"/>
          <w:sz w:val="36"/>
          <w:szCs w:val="36"/>
          <w:highlight w:val="none"/>
          <w:lang w:val="en-US" w:eastAsia="zh-CN"/>
        </w:rPr>
        <w:t>2025年度</w:t>
      </w:r>
      <w:r>
        <w:rPr>
          <w:rFonts w:hint="eastAsia" w:ascii="方正小标宋简体" w:hAnsi="方正小标宋简体" w:eastAsia="方正小标宋简体" w:cs="方正小标宋简体"/>
          <w:color w:val="auto"/>
          <w:sz w:val="36"/>
          <w:szCs w:val="36"/>
          <w:highlight w:val="none"/>
        </w:rPr>
        <w:t>部门决算</w:t>
      </w:r>
    </w:p>
    <w:p w14:paraId="5BE47091">
      <w:pPr>
        <w:jc w:val="center"/>
        <w:rPr>
          <w:rFonts w:hint="eastAsia" w:ascii="方正小标宋简体" w:hAnsi="方正小标宋简体" w:eastAsia="方正小标宋简体" w:cs="方正小标宋简体"/>
          <w:color w:val="auto"/>
          <w:sz w:val="36"/>
          <w:szCs w:val="36"/>
          <w:highlight w:val="none"/>
        </w:rPr>
      </w:pPr>
    </w:p>
    <w:p w14:paraId="718E06DD">
      <w:pPr>
        <w:jc w:val="center"/>
        <w:outlineLvl w:val="0"/>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目录</w:t>
      </w:r>
    </w:p>
    <w:p w14:paraId="4248F60F">
      <w:pPr>
        <w:jc w:val="left"/>
        <w:rPr>
          <w:rFonts w:hint="eastAsia" w:ascii="黑体" w:hAnsi="黑体" w:eastAsia="黑体"/>
          <w:color w:val="auto"/>
          <w:sz w:val="30"/>
          <w:szCs w:val="30"/>
          <w:highlight w:val="none"/>
        </w:rPr>
      </w:pPr>
    </w:p>
    <w:p w14:paraId="33D54416">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第一部分  </w:t>
      </w:r>
      <w:r>
        <w:rPr>
          <w:rFonts w:hint="eastAsia" w:ascii="黑体" w:hAnsi="黑体" w:eastAsia="黑体"/>
          <w:color w:val="auto"/>
          <w:sz w:val="30"/>
          <w:szCs w:val="30"/>
          <w:highlight w:val="none"/>
          <w:lang w:eastAsia="zh-CN"/>
        </w:rPr>
        <w:t>单位</w:t>
      </w:r>
      <w:r>
        <w:rPr>
          <w:rFonts w:hint="eastAsia" w:ascii="黑体" w:hAnsi="黑体" w:eastAsia="黑体"/>
          <w:color w:val="auto"/>
          <w:sz w:val="30"/>
          <w:szCs w:val="30"/>
          <w:highlight w:val="none"/>
        </w:rPr>
        <w:t>概况</w:t>
      </w:r>
    </w:p>
    <w:p w14:paraId="546B28B3">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一、主要职</w:t>
      </w:r>
      <w:r>
        <w:rPr>
          <w:rFonts w:hint="eastAsia" w:ascii="楷体" w:hAnsi="楷体" w:eastAsia="楷体"/>
          <w:color w:val="auto"/>
          <w:sz w:val="30"/>
          <w:szCs w:val="30"/>
          <w:highlight w:val="none"/>
          <w:lang w:eastAsia="zh-CN"/>
        </w:rPr>
        <w:t>责</w:t>
      </w:r>
    </w:p>
    <w:p w14:paraId="69DA0D5B">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二、</w:t>
      </w:r>
      <w:r>
        <w:rPr>
          <w:rFonts w:hint="eastAsia" w:ascii="楷体" w:hAnsi="楷体" w:eastAsia="楷体"/>
          <w:color w:val="auto"/>
          <w:sz w:val="30"/>
          <w:szCs w:val="30"/>
          <w:highlight w:val="none"/>
          <w:lang w:eastAsia="zh-CN"/>
        </w:rPr>
        <w:t>基本情况</w:t>
      </w:r>
    </w:p>
    <w:p w14:paraId="54CDF52F">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三、重点工作概述</w:t>
      </w:r>
    </w:p>
    <w:p w14:paraId="0E10BCDD">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第二部分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部门决算表</w:t>
      </w:r>
    </w:p>
    <w:p w14:paraId="20D9E49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一、收入支出决算表</w:t>
      </w:r>
    </w:p>
    <w:p w14:paraId="7C564D61">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二、收入决算表</w:t>
      </w:r>
    </w:p>
    <w:p w14:paraId="51EEA864">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三、支出决算表</w:t>
      </w:r>
    </w:p>
    <w:p w14:paraId="1ADECB5A">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四、财政拨款收入支出决算表</w:t>
      </w:r>
    </w:p>
    <w:p w14:paraId="3BC40705">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五、一般公共预算财政拨款收入支出决算表</w:t>
      </w:r>
    </w:p>
    <w:p w14:paraId="0847BA71">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六、一般公共预算财政拨款基本支出决算表</w:t>
      </w:r>
    </w:p>
    <w:p w14:paraId="06747C5E">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七、</w:t>
      </w:r>
      <w:r>
        <w:rPr>
          <w:rFonts w:hint="eastAsia" w:ascii="楷体" w:hAnsi="楷体" w:eastAsia="楷体"/>
          <w:color w:val="auto"/>
          <w:sz w:val="30"/>
          <w:szCs w:val="30"/>
          <w:highlight w:val="none"/>
          <w:lang w:eastAsia="zh-CN"/>
        </w:rPr>
        <w:t>一般公共预算财政拨款项目支出决算表</w:t>
      </w:r>
    </w:p>
    <w:p w14:paraId="5E6F75B5">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八</w:t>
      </w:r>
      <w:r>
        <w:rPr>
          <w:rFonts w:hint="eastAsia" w:ascii="楷体" w:hAnsi="楷体" w:eastAsia="楷体"/>
          <w:color w:val="auto"/>
          <w:sz w:val="30"/>
          <w:szCs w:val="30"/>
          <w:highlight w:val="none"/>
        </w:rPr>
        <w:t>、政府性基金预算财政拨款收入支出决算表</w:t>
      </w:r>
    </w:p>
    <w:p w14:paraId="4053F11C">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九、国有资本经营预算财政拨款收入支出决算表</w:t>
      </w:r>
    </w:p>
    <w:p w14:paraId="25093130">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十</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财政拨款</w:t>
      </w:r>
      <w:r>
        <w:rPr>
          <w:rFonts w:hint="eastAsia" w:ascii="楷体" w:hAnsi="楷体" w:eastAsia="楷体"/>
          <w:color w:val="auto"/>
          <w:sz w:val="30"/>
          <w:szCs w:val="30"/>
          <w:highlight w:val="none"/>
        </w:rPr>
        <w:t>“三公”经费、行政参公单位机关运行经费情况表</w:t>
      </w:r>
    </w:p>
    <w:p w14:paraId="1165A4A1">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val="en-US" w:eastAsia="zh-CN"/>
        </w:rPr>
        <w:t>十一、一般公共预算财政拨款“三公”经费情况表</w:t>
      </w:r>
    </w:p>
    <w:p w14:paraId="7FE595AE">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第三部</w:t>
      </w:r>
      <w:r>
        <w:rPr>
          <w:rFonts w:hint="eastAsia" w:ascii="黑体" w:hAnsi="黑体" w:eastAsia="黑体"/>
          <w:color w:val="auto"/>
          <w:sz w:val="30"/>
          <w:szCs w:val="30"/>
          <w:highlight w:val="none"/>
          <w:lang w:eastAsia="zh-CN"/>
        </w:rPr>
        <w:t>分</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部门决算情况说明</w:t>
      </w:r>
    </w:p>
    <w:p w14:paraId="689B5EB4">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一、收入决算情况说明</w:t>
      </w:r>
    </w:p>
    <w:p w14:paraId="4F30A688">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二、支出决算情况说明</w:t>
      </w:r>
    </w:p>
    <w:p w14:paraId="5B852E9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三、一般公共预算财政拨款支出决算情况说明</w:t>
      </w:r>
    </w:p>
    <w:p w14:paraId="2C26DAA5">
      <w:pPr>
        <w:widowControl/>
        <w:snapToGrid w:val="0"/>
        <w:spacing w:before="100" w:after="100" w:line="360" w:lineRule="auto"/>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四、财政拨款“三公”经费支出决算情况说明</w:t>
      </w:r>
    </w:p>
    <w:p w14:paraId="7FD35DE0">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lang w:eastAsia="zh-CN"/>
        </w:rPr>
        <w:t>第四部分</w:t>
      </w:r>
      <w:r>
        <w:rPr>
          <w:rFonts w:hint="eastAsia" w:ascii="楷体" w:hAnsi="楷体" w:eastAsia="楷体"/>
          <w:color w:val="auto"/>
          <w:sz w:val="30"/>
          <w:szCs w:val="30"/>
          <w:highlight w:val="none"/>
          <w:lang w:val="en-US" w:eastAsia="zh-CN"/>
        </w:rPr>
        <w:t xml:space="preserve">  </w:t>
      </w:r>
      <w:r>
        <w:rPr>
          <w:rFonts w:hint="eastAsia" w:ascii="黑体" w:hAnsi="黑体" w:eastAsia="黑体"/>
          <w:color w:val="auto"/>
          <w:sz w:val="30"/>
          <w:szCs w:val="30"/>
          <w:highlight w:val="none"/>
        </w:rPr>
        <w:t>其他重要事项及相关口径情况说明</w:t>
      </w:r>
    </w:p>
    <w:p w14:paraId="2CA30FE0">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一、</w:t>
      </w:r>
      <w:r>
        <w:rPr>
          <w:rFonts w:hint="eastAsia" w:ascii="楷体" w:hAnsi="楷体" w:eastAsia="楷体"/>
          <w:color w:val="auto"/>
          <w:sz w:val="30"/>
          <w:szCs w:val="30"/>
          <w:highlight w:val="none"/>
        </w:rPr>
        <w:t>机关运行经费支出情况</w:t>
      </w:r>
    </w:p>
    <w:p w14:paraId="361C5F54">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国有资产占用情况</w:t>
      </w:r>
    </w:p>
    <w:p w14:paraId="0CF81A4E">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政府采购支出情况</w:t>
      </w:r>
    </w:p>
    <w:p w14:paraId="718C77DB">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四、</w:t>
      </w:r>
      <w:r>
        <w:rPr>
          <w:rFonts w:hint="eastAsia" w:ascii="楷体" w:hAnsi="楷体" w:eastAsia="楷体"/>
          <w:color w:val="auto"/>
          <w:sz w:val="30"/>
          <w:szCs w:val="30"/>
          <w:highlight w:val="none"/>
          <w:lang w:val="en-US" w:eastAsia="zh-CN"/>
        </w:rPr>
        <w:t>单位绩效自评情况</w:t>
      </w:r>
    </w:p>
    <w:p w14:paraId="54529081">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五、</w:t>
      </w:r>
      <w:r>
        <w:rPr>
          <w:rFonts w:hint="eastAsia" w:ascii="楷体" w:hAnsi="楷体" w:eastAsia="楷体"/>
          <w:color w:val="auto"/>
          <w:sz w:val="30"/>
          <w:szCs w:val="30"/>
          <w:highlight w:val="none"/>
          <w:lang w:val="en-US" w:eastAsia="zh-CN"/>
        </w:rPr>
        <w:t>其他重要事项情况说明</w:t>
      </w:r>
    </w:p>
    <w:p w14:paraId="5D95210E">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六、相关口径说明</w:t>
      </w:r>
    </w:p>
    <w:p w14:paraId="1966DB64">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第</w:t>
      </w:r>
      <w:r>
        <w:rPr>
          <w:rFonts w:hint="eastAsia" w:ascii="黑体" w:hAnsi="黑体" w:eastAsia="黑体"/>
          <w:color w:val="auto"/>
          <w:sz w:val="30"/>
          <w:szCs w:val="30"/>
          <w:highlight w:val="none"/>
          <w:lang w:eastAsia="zh-CN"/>
        </w:rPr>
        <w:t>五</w:t>
      </w:r>
      <w:r>
        <w:rPr>
          <w:rFonts w:hint="eastAsia" w:ascii="黑体" w:hAnsi="黑体" w:eastAsia="黑体"/>
          <w:color w:val="auto"/>
          <w:sz w:val="30"/>
          <w:szCs w:val="30"/>
          <w:highlight w:val="none"/>
        </w:rPr>
        <w:t>部分  名词解释</w:t>
      </w:r>
    </w:p>
    <w:p w14:paraId="3DB16152">
      <w:pPr>
        <w:jc w:val="center"/>
        <w:rPr>
          <w:rFonts w:hint="eastAsia" w:ascii="黑体" w:hAnsi="黑体" w:eastAsia="黑体"/>
          <w:color w:val="auto"/>
          <w:sz w:val="32"/>
          <w:szCs w:val="32"/>
          <w:highlight w:val="none"/>
        </w:rPr>
      </w:pPr>
    </w:p>
    <w:p w14:paraId="5E6F601A">
      <w:pPr>
        <w:jc w:val="center"/>
        <w:rPr>
          <w:rFonts w:hint="eastAsia" w:ascii="黑体" w:hAnsi="黑体" w:eastAsia="黑体"/>
          <w:color w:val="auto"/>
          <w:sz w:val="32"/>
          <w:szCs w:val="32"/>
          <w:highlight w:val="none"/>
        </w:rPr>
      </w:pPr>
    </w:p>
    <w:p w14:paraId="2F23419B">
      <w:pPr>
        <w:jc w:val="center"/>
        <w:rPr>
          <w:rFonts w:hint="eastAsia" w:ascii="黑体" w:hAnsi="黑体" w:eastAsia="黑体"/>
          <w:color w:val="auto"/>
          <w:sz w:val="32"/>
          <w:szCs w:val="32"/>
          <w:highlight w:val="none"/>
        </w:rPr>
      </w:pPr>
    </w:p>
    <w:p w14:paraId="70EE1B09">
      <w:pPr>
        <w:jc w:val="center"/>
        <w:rPr>
          <w:rFonts w:hint="eastAsia" w:ascii="黑体" w:hAnsi="黑体" w:eastAsia="黑体"/>
          <w:color w:val="auto"/>
          <w:sz w:val="32"/>
          <w:szCs w:val="32"/>
          <w:highlight w:val="none"/>
        </w:rPr>
      </w:pPr>
    </w:p>
    <w:p w14:paraId="451254E0">
      <w:pPr>
        <w:jc w:val="center"/>
        <w:rPr>
          <w:rFonts w:hint="eastAsia" w:ascii="黑体" w:hAnsi="黑体" w:eastAsia="黑体"/>
          <w:color w:val="auto"/>
          <w:sz w:val="32"/>
          <w:szCs w:val="32"/>
          <w:highlight w:val="none"/>
        </w:rPr>
      </w:pPr>
    </w:p>
    <w:p w14:paraId="4E94C25D">
      <w:pPr>
        <w:jc w:val="center"/>
        <w:rPr>
          <w:rFonts w:hint="eastAsia" w:ascii="黑体" w:hAnsi="黑体" w:eastAsia="黑体"/>
          <w:color w:val="auto"/>
          <w:sz w:val="32"/>
          <w:szCs w:val="32"/>
          <w:highlight w:val="none"/>
        </w:rPr>
      </w:pPr>
    </w:p>
    <w:p w14:paraId="3DE29EFB">
      <w:pPr>
        <w:jc w:val="center"/>
        <w:rPr>
          <w:rFonts w:hint="eastAsia" w:ascii="黑体" w:hAnsi="黑体" w:eastAsia="黑体"/>
          <w:color w:val="auto"/>
          <w:sz w:val="32"/>
          <w:szCs w:val="32"/>
          <w:highlight w:val="none"/>
        </w:rPr>
      </w:pPr>
    </w:p>
    <w:p w14:paraId="7609E730">
      <w:pPr>
        <w:jc w:val="both"/>
        <w:rPr>
          <w:rFonts w:hint="eastAsia" w:ascii="黑体" w:hAnsi="黑体" w:eastAsia="黑体"/>
          <w:color w:val="auto"/>
          <w:sz w:val="32"/>
          <w:szCs w:val="32"/>
          <w:highlight w:val="none"/>
        </w:rPr>
      </w:pPr>
    </w:p>
    <w:p w14:paraId="0335F1F1">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第一部分  </w:t>
      </w:r>
      <w:r>
        <w:rPr>
          <w:rFonts w:hint="eastAsia" w:ascii="黑体" w:hAnsi="黑体" w:eastAsia="黑体"/>
          <w:color w:val="auto"/>
          <w:sz w:val="32"/>
          <w:szCs w:val="32"/>
          <w:highlight w:val="none"/>
          <w:lang w:eastAsia="zh-CN"/>
        </w:rPr>
        <w:t>单位</w:t>
      </w:r>
      <w:r>
        <w:rPr>
          <w:rFonts w:hint="eastAsia" w:ascii="黑体" w:hAnsi="黑体" w:eastAsia="黑体"/>
          <w:color w:val="auto"/>
          <w:sz w:val="32"/>
          <w:szCs w:val="32"/>
          <w:highlight w:val="none"/>
        </w:rPr>
        <w:t>概况</w:t>
      </w:r>
    </w:p>
    <w:p w14:paraId="4ECBEF69">
      <w:pPr>
        <w:spacing w:line="600" w:lineRule="exact"/>
        <w:ind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rPr>
        <w:t>一、主要</w:t>
      </w:r>
      <w:r>
        <w:rPr>
          <w:rFonts w:hint="eastAsia" w:ascii="黑体" w:hAnsi="黑体" w:eastAsia="黑体"/>
          <w:color w:val="auto"/>
          <w:sz w:val="30"/>
          <w:szCs w:val="30"/>
          <w:highlight w:val="none"/>
          <w:lang w:eastAsia="zh-CN"/>
        </w:rPr>
        <w:t>职责</w:t>
      </w:r>
    </w:p>
    <w:p w14:paraId="5092B2C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w:t>
      </w:r>
      <w:r>
        <w:rPr>
          <w:rFonts w:hint="eastAsia" w:ascii="仿宋_GB2312" w:hAnsi="仿宋" w:eastAsia="仿宋_GB2312" w:cs="Times New Roman"/>
          <w:b w:val="0"/>
          <w:bCs w:val="0"/>
          <w:color w:val="auto"/>
          <w:sz w:val="30"/>
          <w:szCs w:val="30"/>
          <w:lang w:val="en-US" w:eastAsia="zh-CN"/>
        </w:rPr>
        <w:t>）贯彻执行国家、省、市有关教育体育工作方针政策和法律法规；拟订教育体育工作的规范性文件，并组织实施。</w:t>
      </w:r>
    </w:p>
    <w:p w14:paraId="2A27F41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2</w:t>
      </w:r>
      <w:r>
        <w:rPr>
          <w:rFonts w:hint="eastAsia" w:ascii="仿宋_GB2312" w:hAnsi="仿宋" w:eastAsia="仿宋_GB2312" w:cs="Times New Roman"/>
          <w:b w:val="0"/>
          <w:bCs w:val="0"/>
          <w:color w:val="auto"/>
          <w:sz w:val="30"/>
          <w:szCs w:val="30"/>
          <w:lang w:val="en-US" w:eastAsia="zh-CN"/>
        </w:rPr>
        <w:t>）拟订全县教育体育体制改革政策、中长期发展规划和年度计划；指导全县各级各类学校布局建设规划；指导和管理教育体育系统基本建设工作；指导全县体育场馆等大型体育基础设施的布局建设规划；统筹全县群众体育、竞技体育、青少年体育和教育体育产业发展规划；拟订全县教育体育系统人才队伍建设规划；统筹规划和指导全县各级各类学校校长、教师培训和继续教育工作。</w:t>
      </w:r>
    </w:p>
    <w:p w14:paraId="0D6BC4D2">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3</w:t>
      </w:r>
      <w:r>
        <w:rPr>
          <w:rFonts w:hint="eastAsia" w:ascii="仿宋_GB2312" w:hAnsi="仿宋" w:eastAsia="仿宋_GB2312" w:cs="Times New Roman"/>
          <w:b w:val="0"/>
          <w:bCs w:val="0"/>
          <w:color w:val="auto"/>
          <w:sz w:val="30"/>
          <w:szCs w:val="30"/>
          <w:lang w:val="en-US" w:eastAsia="zh-CN"/>
        </w:rPr>
        <w:t>）管理县本级教育体育经费，会同有关部门拟定教育体育经费筹措、拨款、基建投资的意见；加强体育彩票公益金使用管理；负责编制全县教育体育事业及经费统计分析；监测全县教育体育经费的筹措和义务教育保障经费、资助经费等专项经费的使用情况；指导和监督县教育体育系统内部审计工作；负责系统内的国有资产的管理，会同有关部门监督教育收费标准的执行。</w:t>
      </w:r>
    </w:p>
    <w:p w14:paraId="4605C40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4</w:t>
      </w:r>
      <w:r>
        <w:rPr>
          <w:rFonts w:hint="eastAsia" w:ascii="仿宋_GB2312" w:hAnsi="仿宋" w:eastAsia="仿宋_GB2312" w:cs="Times New Roman"/>
          <w:b w:val="0"/>
          <w:bCs w:val="0"/>
          <w:color w:val="auto"/>
          <w:sz w:val="30"/>
          <w:szCs w:val="30"/>
          <w:lang w:val="en-US" w:eastAsia="zh-CN"/>
        </w:rPr>
        <w:t>）管理和指导全县学前教育、义务教育、普通高中教育、特殊教育、职业教育和成人教育工作；统筹管理民办教育和社会培训机构，拟订民办教育发展规划和政策；指导、协调少数民族教育工作；指导各级各类学校开展教育教学、办学体制、激励机制改革；负责全县各级各类学校的建立、调整、撤销及其发展规模、学制、专业设置等审核、报批、审批工作。</w:t>
      </w:r>
    </w:p>
    <w:p w14:paraId="0626C6BA">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5</w:t>
      </w:r>
      <w:r>
        <w:rPr>
          <w:rFonts w:hint="eastAsia" w:ascii="仿宋_GB2312" w:hAnsi="仿宋" w:eastAsia="仿宋_GB2312" w:cs="Times New Roman"/>
          <w:b w:val="0"/>
          <w:bCs w:val="0"/>
          <w:color w:val="auto"/>
          <w:sz w:val="30"/>
          <w:szCs w:val="30"/>
          <w:lang w:val="en-US" w:eastAsia="zh-CN"/>
        </w:rPr>
        <w:t>）贯彻《全民健身条例》，负责推行全民健身计划，广泛开展全民健身活动；指导全民健身基础设施建设；开展国民体质监测。</w:t>
      </w:r>
    </w:p>
    <w:p w14:paraId="6BDBF46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6</w:t>
      </w:r>
      <w:r>
        <w:rPr>
          <w:rFonts w:hint="eastAsia" w:ascii="仿宋_GB2312" w:hAnsi="仿宋" w:eastAsia="仿宋_GB2312" w:cs="Times New Roman"/>
          <w:b w:val="0"/>
          <w:bCs w:val="0"/>
          <w:color w:val="auto"/>
          <w:sz w:val="30"/>
          <w:szCs w:val="30"/>
          <w:lang w:val="en-US" w:eastAsia="zh-CN"/>
        </w:rPr>
        <w:t>）统筹全县竞技体育改革发展，管理业余训练和设置竞技运动项目；指导运动队伍建设，协调运动员社会保障工作；统筹全县青少年体育改革发展，指导和推进青少年体育工作；负责全县体育竞赛管理，组织参加和举办（承办）县级、市级、省级、全国及国际体育赛事。</w:t>
      </w:r>
    </w:p>
    <w:p w14:paraId="44BEC56D">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7</w:t>
      </w:r>
      <w:r>
        <w:rPr>
          <w:rFonts w:hint="eastAsia" w:ascii="仿宋_GB2312" w:hAnsi="仿宋" w:eastAsia="仿宋_GB2312" w:cs="Times New Roman"/>
          <w:b w:val="0"/>
          <w:bCs w:val="0"/>
          <w:color w:val="auto"/>
          <w:sz w:val="30"/>
          <w:szCs w:val="30"/>
          <w:lang w:val="en-US" w:eastAsia="zh-CN"/>
        </w:rPr>
        <w:t>）拟定全县普通高中教育、中等职业教育招生计划和招生政策；负责各类高等学历教育招生考试，高、初中学业水平考试以及教师资格等其它社会考试工作；指导和管理全县中小学生学籍。</w:t>
      </w:r>
    </w:p>
    <w:p w14:paraId="532888F7">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8</w:t>
      </w:r>
      <w:r>
        <w:rPr>
          <w:rFonts w:hint="eastAsia" w:ascii="仿宋_GB2312" w:hAnsi="仿宋" w:eastAsia="仿宋_GB2312" w:cs="Times New Roman"/>
          <w:b w:val="0"/>
          <w:bCs w:val="0"/>
          <w:color w:val="auto"/>
          <w:sz w:val="30"/>
          <w:szCs w:val="30"/>
          <w:lang w:val="en-US" w:eastAsia="zh-CN"/>
        </w:rPr>
        <w:t>）指导和协调全县教育体育系统的科研、科普工作；组织和指导教研机构和学校开展教育教学研究；负责教育体育领域科技研究、技术攻关和成果推广工作。</w:t>
      </w:r>
    </w:p>
    <w:p w14:paraId="740FC961">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9</w:t>
      </w:r>
      <w:r>
        <w:rPr>
          <w:rFonts w:hint="eastAsia" w:ascii="仿宋_GB2312" w:hAnsi="仿宋" w:eastAsia="仿宋_GB2312" w:cs="Times New Roman"/>
          <w:b w:val="0"/>
          <w:bCs w:val="0"/>
          <w:color w:val="auto"/>
          <w:sz w:val="30"/>
          <w:szCs w:val="30"/>
          <w:lang w:val="en-US" w:eastAsia="zh-CN"/>
        </w:rPr>
        <w:t>）指导教育督导和评估，强化督导职能，加大督政、督学力度，对乡镇（街道）人民政府（办事处）的教育职责和学校的工作进行监督、检查、评估。</w:t>
      </w:r>
    </w:p>
    <w:p w14:paraId="210A328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10</w:t>
      </w:r>
      <w:r>
        <w:rPr>
          <w:rFonts w:hint="eastAsia" w:ascii="仿宋_GB2312" w:hAnsi="仿宋" w:eastAsia="仿宋_GB2312" w:cs="Times New Roman"/>
          <w:b w:val="0"/>
          <w:bCs w:val="0"/>
          <w:color w:val="auto"/>
          <w:sz w:val="30"/>
          <w:szCs w:val="30"/>
          <w:lang w:val="en-US" w:eastAsia="zh-CN"/>
        </w:rPr>
        <w:t>）指导全县各级各类学校的思想政治工作、德育工作、精神文明建设工作；统筹管理和指导学校体育、卫生健康、艺术教育、法治教育、安全教育、国防教育和禁毒防艾教育；指导全县青少年科技活动和校外教育工作。</w:t>
      </w:r>
    </w:p>
    <w:p w14:paraId="1D5ADB0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11</w:t>
      </w:r>
      <w:r>
        <w:rPr>
          <w:rFonts w:hint="eastAsia" w:ascii="仿宋_GB2312" w:hAnsi="仿宋" w:eastAsia="仿宋_GB2312" w:cs="Times New Roman"/>
          <w:b w:val="0"/>
          <w:bCs w:val="0"/>
          <w:color w:val="auto"/>
          <w:sz w:val="30"/>
          <w:szCs w:val="30"/>
          <w:lang w:val="en-US" w:eastAsia="zh-CN"/>
        </w:rPr>
        <w:t>）统筹全县教育体育系统安全稳定工作；负责协调全县教育体育系统治安综合治理和安全管理工作；指导并做好各类应急预案及安全演练工作；指导、检查、督促全县教育体育系统信访稳定工作。</w:t>
      </w:r>
    </w:p>
    <w:p w14:paraId="4D6405B4">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12</w:t>
      </w:r>
      <w:r>
        <w:rPr>
          <w:rFonts w:hint="eastAsia" w:ascii="仿宋_GB2312" w:hAnsi="仿宋" w:eastAsia="仿宋_GB2312" w:cs="Times New Roman"/>
          <w:b w:val="0"/>
          <w:bCs w:val="0"/>
          <w:color w:val="auto"/>
          <w:sz w:val="30"/>
          <w:szCs w:val="30"/>
          <w:lang w:val="en-US" w:eastAsia="zh-CN"/>
        </w:rPr>
        <w:t>）负责教育体育人才队伍建设工作，指导学校加强师德师风建设和教职工管理；负责教师资格认定和教师、教练员专业技术职务评审工作；指导县内学校校长教师交流轮岗工作，推进教师“县管校用”管理体制改革；负责全县教练员、裁判员及社会体育指导员的培训工作；配合编制部门落实各级各类学校教师编制标准。</w:t>
      </w:r>
    </w:p>
    <w:p w14:paraId="584D34E0">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13</w:t>
      </w:r>
      <w:r>
        <w:rPr>
          <w:rFonts w:hint="eastAsia" w:ascii="仿宋_GB2312" w:hAnsi="仿宋" w:eastAsia="仿宋_GB2312" w:cs="Times New Roman"/>
          <w:b w:val="0"/>
          <w:bCs w:val="0"/>
          <w:color w:val="auto"/>
          <w:sz w:val="30"/>
          <w:szCs w:val="30"/>
          <w:lang w:val="en-US" w:eastAsia="zh-CN"/>
        </w:rPr>
        <w:t>）管理全县教育体育系统对外交流与合作；管理全县语言文字规范化工作，负责和指导推广普通话、普通话师资培训和普通话水平测试工作；管理和指导本系统社团、协会组织。</w:t>
      </w:r>
    </w:p>
    <w:p w14:paraId="36273409">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仿宋_GB2312" w:hAnsi="仿宋" w:eastAsia="仿宋_GB2312" w:cs="Times New Roman"/>
          <w:b w:val="0"/>
          <w:bCs w:val="0"/>
          <w:color w:val="auto"/>
          <w:sz w:val="30"/>
          <w:szCs w:val="30"/>
          <w:lang w:val="en-US" w:eastAsia="zh-CN"/>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14</w:t>
      </w:r>
      <w:r>
        <w:rPr>
          <w:rFonts w:hint="eastAsia" w:ascii="仿宋_GB2312" w:hAnsi="仿宋" w:eastAsia="仿宋_GB2312" w:cs="Times New Roman"/>
          <w:b w:val="0"/>
          <w:bCs w:val="0"/>
          <w:color w:val="auto"/>
          <w:sz w:val="30"/>
          <w:szCs w:val="30"/>
          <w:lang w:val="en-US" w:eastAsia="zh-CN"/>
        </w:rPr>
        <w:t>）发展体育产业，促进体育消费；监督管理公共体育设施使用；推进体育公共服务体系建设；负责管理监督体育运动中的赛风赛纪和反兴奋剂工作。</w:t>
      </w:r>
    </w:p>
    <w:p w14:paraId="683DFD68">
      <w:pPr>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bCs/>
          <w:color w:val="auto"/>
          <w:szCs w:val="30"/>
          <w:highlight w:val="none"/>
        </w:rPr>
      </w:pPr>
      <w:r>
        <w:rPr>
          <w:rFonts w:hint="eastAsia" w:ascii="仿宋_GB2312" w:hAnsi="仿宋" w:eastAsia="仿宋_GB2312" w:cs="Times New Roman"/>
          <w:b w:val="0"/>
          <w:bCs w:val="0"/>
          <w:color w:val="auto"/>
          <w:sz w:val="30"/>
          <w:szCs w:val="30"/>
          <w:lang w:val="en-US" w:eastAsia="zh-CN"/>
        </w:rPr>
        <w:t>（</w:t>
      </w:r>
      <w:r>
        <w:rPr>
          <w:rFonts w:hint="eastAsia" w:ascii="Times New Roman" w:hAnsi="Times New Roman" w:eastAsia="仿宋_GB2312" w:cs="Times New Roman"/>
          <w:b w:val="0"/>
          <w:bCs w:val="0"/>
          <w:color w:val="auto"/>
          <w:sz w:val="30"/>
          <w:szCs w:val="30"/>
          <w:lang w:val="en-US" w:eastAsia="zh-CN"/>
        </w:rPr>
        <w:t>15</w:t>
      </w:r>
      <w:r>
        <w:rPr>
          <w:rFonts w:hint="eastAsia" w:ascii="仿宋_GB2312" w:hAnsi="仿宋" w:eastAsia="仿宋_GB2312" w:cs="Times New Roman"/>
          <w:b w:val="0"/>
          <w:bCs w:val="0"/>
          <w:color w:val="auto"/>
          <w:sz w:val="30"/>
          <w:szCs w:val="30"/>
          <w:lang w:val="en-US" w:eastAsia="zh-CN"/>
        </w:rPr>
        <w:t>）完成县委、县政府交办的其他任务。</w:t>
      </w:r>
    </w:p>
    <w:p w14:paraId="21C5351A">
      <w:pPr>
        <w:spacing w:line="600" w:lineRule="exact"/>
        <w:ind w:firstLine="600" w:firstLineChars="200"/>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二、基本情况</w:t>
      </w:r>
    </w:p>
    <w:p w14:paraId="616CFAE5">
      <w:pPr>
        <w:spacing w:line="600" w:lineRule="exact"/>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（一）机构设置情况</w:t>
      </w:r>
    </w:p>
    <w:p w14:paraId="752BF3F5">
      <w:pPr>
        <w:keepNext w:val="0"/>
        <w:keepLines w:val="0"/>
        <w:pageBreakBefore w:val="0"/>
        <w:widowControl w:val="0"/>
        <w:suppressLineNumbers w:val="0"/>
        <w:kinsoku/>
        <w:wordWrap/>
        <w:overflowPunct/>
        <w:topLinePunct w:val="0"/>
        <w:autoSpaceDE w:val="0"/>
        <w:autoSpaceDN w:val="0"/>
        <w:bidi w:val="0"/>
        <w:adjustRightInd/>
        <w:spacing w:before="0" w:beforeAutospacing="0" w:after="0" w:afterAutospacing="0" w:line="360" w:lineRule="auto"/>
        <w:ind w:left="0" w:right="0" w:firstLine="600"/>
        <w:textAlignment w:val="auto"/>
        <w:rPr>
          <w:rFonts w:hint="default" w:ascii="Times New Roman" w:hAnsi="Times New Roman" w:eastAsia="方正仿宋_GBK" w:cs="Times New Roman"/>
          <w:b w:val="0"/>
          <w:bCs w:val="0"/>
          <w:color w:val="auto"/>
          <w:kern w:val="0"/>
          <w:sz w:val="32"/>
          <w:szCs w:val="32"/>
        </w:rPr>
      </w:pPr>
      <w:r>
        <w:rPr>
          <w:rFonts w:hint="eastAsia" w:ascii="仿宋_GB2312" w:eastAsia="仿宋_GB2312"/>
          <w:b w:val="0"/>
          <w:bCs w:val="0"/>
          <w:color w:val="auto"/>
          <w:sz w:val="30"/>
          <w:szCs w:val="30"/>
          <w:highlight w:val="none"/>
          <w:lang w:val="en-US" w:eastAsia="zh-CN"/>
        </w:rPr>
        <w:t>我部门共设置</w:t>
      </w:r>
      <w:r>
        <w:rPr>
          <w:rFonts w:hint="eastAsia" w:ascii="Times New Roman" w:hAnsi="Times New Roman" w:eastAsia="仿宋"/>
          <w:b w:val="0"/>
          <w:bCs w:val="0"/>
          <w:color w:val="auto"/>
          <w:sz w:val="30"/>
          <w:lang w:val="en-US" w:eastAsia="zh-CN"/>
        </w:rPr>
        <w:t>5</w:t>
      </w:r>
      <w:r>
        <w:rPr>
          <w:rFonts w:hint="eastAsia" w:ascii="仿宋" w:hAnsi="仿宋" w:eastAsia="仿宋"/>
          <w:b w:val="0"/>
          <w:bCs w:val="0"/>
          <w:color w:val="auto"/>
          <w:sz w:val="30"/>
          <w:lang w:val="en-US"/>
        </w:rPr>
        <w:t>个内设机构</w:t>
      </w:r>
      <w:r>
        <w:rPr>
          <w:rFonts w:hint="eastAsia" w:ascii="方正仿宋_GBK" w:hAnsi="方正仿宋_GBK" w:eastAsia="方正仿宋_GBK" w:cs="方正仿宋_GBK"/>
          <w:b w:val="0"/>
          <w:bCs w:val="0"/>
          <w:color w:val="auto"/>
          <w:kern w:val="0"/>
          <w:sz w:val="32"/>
          <w:szCs w:val="32"/>
        </w:rPr>
        <w:t>和党工委办公室，内设机构包括：行政办公室、人事师训股、计划财务股、教育体育股、教育督导室。</w:t>
      </w:r>
    </w:p>
    <w:p w14:paraId="40E76AEE">
      <w:pPr>
        <w:spacing w:line="600" w:lineRule="exact"/>
        <w:ind w:firstLine="600" w:firstLineChars="200"/>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我单位为基层预算单位，无下属单位。</w:t>
      </w:r>
    </w:p>
    <w:p w14:paraId="4F6EF251">
      <w:pPr>
        <w:spacing w:line="600" w:lineRule="exact"/>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决算单位构成</w:t>
      </w:r>
    </w:p>
    <w:p w14:paraId="503EA657">
      <w:pPr>
        <w:spacing w:line="600" w:lineRule="exact"/>
        <w:ind w:firstLine="600" w:firstLineChars="200"/>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eastAsia="zh-CN"/>
        </w:rPr>
        <w:t>我单位作为二级预算单位</w:t>
      </w:r>
      <w:r>
        <w:rPr>
          <w:rFonts w:hint="eastAsia" w:ascii="仿宋_GB2312" w:eastAsia="仿宋_GB2312"/>
          <w:color w:val="auto"/>
          <w:sz w:val="30"/>
          <w:szCs w:val="30"/>
          <w:highlight w:val="none"/>
        </w:rPr>
        <w:t>纳入</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部门决算编报</w:t>
      </w:r>
      <w:r>
        <w:rPr>
          <w:rFonts w:hint="eastAsia" w:ascii="仿宋_GB2312" w:eastAsia="仿宋_GB2312"/>
          <w:color w:val="auto"/>
          <w:sz w:val="30"/>
          <w:szCs w:val="30"/>
          <w:highlight w:val="none"/>
          <w:lang w:eastAsia="zh-CN"/>
        </w:rPr>
        <w:t>范围</w:t>
      </w:r>
      <w:r>
        <w:rPr>
          <w:rFonts w:hint="eastAsia" w:ascii="仿宋_GB2312" w:eastAsia="仿宋_GB2312"/>
          <w:color w:val="auto"/>
          <w:sz w:val="30"/>
          <w:szCs w:val="30"/>
          <w:highlight w:val="none"/>
        </w:rPr>
        <w:t>。</w:t>
      </w:r>
    </w:p>
    <w:p w14:paraId="11A6B7DB">
      <w:pPr>
        <w:ind w:firstLine="600" w:firstLineChars="200"/>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单位</w:t>
      </w:r>
      <w:r>
        <w:rPr>
          <w:rFonts w:hint="eastAsia" w:ascii="楷体" w:hAnsi="楷体" w:eastAsia="楷体"/>
          <w:color w:val="auto"/>
          <w:sz w:val="30"/>
          <w:szCs w:val="30"/>
          <w:highlight w:val="none"/>
        </w:rPr>
        <w:t xml:space="preserve">人员和车辆的编制及实有情况 </w:t>
      </w:r>
    </w:p>
    <w:p w14:paraId="389EA613">
      <w:pPr>
        <w:spacing w:line="600" w:lineRule="exact"/>
        <w:ind w:firstLine="600" w:firstLineChars="200"/>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编制内</w:t>
      </w:r>
      <w:r>
        <w:rPr>
          <w:rFonts w:hint="eastAsia" w:ascii="仿宋_GB2312" w:eastAsia="仿宋_GB2312"/>
          <w:color w:val="auto"/>
          <w:sz w:val="30"/>
          <w:szCs w:val="30"/>
          <w:highlight w:val="none"/>
        </w:rPr>
        <w:t>实有人员</w:t>
      </w:r>
      <w:r>
        <w:rPr>
          <w:rFonts w:hint="eastAsia" w:ascii="仿宋_GB2312" w:hAnsi="仿宋_GB2312" w:eastAsia="仿宋_GB2312" w:cs="仿宋_GB2312"/>
          <w:color w:val="auto"/>
          <w:sz w:val="30"/>
          <w:szCs w:val="30"/>
          <w:lang w:val="en-US" w:eastAsia="zh-CN"/>
        </w:rPr>
        <w:t>43</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b w:val="0"/>
          <w:bCs w:val="0"/>
          <w:color w:val="auto"/>
          <w:kern w:val="0"/>
          <w:sz w:val="30"/>
          <w:szCs w:val="30"/>
          <w:highlight w:val="none"/>
          <w:lang w:eastAsia="zh-CN"/>
        </w:rPr>
        <w:t>包括</w:t>
      </w:r>
      <w:r>
        <w:rPr>
          <w:rFonts w:hint="eastAsia" w:ascii="仿宋_GB2312" w:hAnsi="宋体" w:eastAsia="仿宋_GB2312" w:cs="Arial"/>
          <w:color w:val="auto"/>
          <w:kern w:val="0"/>
          <w:sz w:val="30"/>
          <w:szCs w:val="30"/>
          <w:highlight w:val="none"/>
          <w:lang w:eastAsia="zh-CN"/>
        </w:rPr>
        <w:t>财政拨款开支经费的</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12</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30</w:t>
      </w:r>
      <w:r>
        <w:rPr>
          <w:rFonts w:hint="eastAsia" w:ascii="仿宋_GB2312" w:hAnsi="宋体" w:eastAsia="仿宋_GB2312" w:cs="Arial"/>
          <w:color w:val="auto"/>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p>
    <w:p w14:paraId="229FC309">
      <w:pPr>
        <w:spacing w:line="600" w:lineRule="exact"/>
        <w:ind w:firstLine="600" w:firstLineChars="200"/>
        <w:rPr>
          <w:rFonts w:hint="eastAsia" w:ascii="仿宋_GB2312" w:hAnsi="宋体" w:eastAsia="仿宋_GB2312" w:cs="Arial"/>
          <w:color w:val="auto"/>
          <w:kern w:val="0"/>
          <w:sz w:val="30"/>
          <w:szCs w:val="30"/>
          <w:highlight w:val="none"/>
          <w:lang w:val="en-US" w:eastAsia="zh-CN"/>
        </w:rPr>
      </w:pPr>
      <w:r>
        <w:rPr>
          <w:rFonts w:hint="eastAsia" w:ascii="仿宋_GB2312" w:eastAsia="仿宋_GB2312"/>
          <w:color w:val="auto"/>
          <w:sz w:val="30"/>
          <w:szCs w:val="30"/>
          <w:highlight w:val="none"/>
          <w:lang w:eastAsia="zh-CN"/>
        </w:rPr>
        <w:t>我单位</w:t>
      </w:r>
      <w:r>
        <w:rPr>
          <w:rFonts w:hint="eastAsia" w:ascii="仿宋_GB2312" w:eastAsia="仿宋_GB2312"/>
          <w:color w:val="auto"/>
          <w:sz w:val="30"/>
          <w:szCs w:val="30"/>
          <w:highlight w:val="none"/>
          <w:lang w:val="en-US" w:eastAsia="zh-CN"/>
        </w:rPr>
        <w:t>2025</w:t>
      </w:r>
      <w:r>
        <w:rPr>
          <w:rFonts w:hint="eastAsia" w:ascii="仿宋_GB2312" w:eastAsia="仿宋_GB2312"/>
          <w:color w:val="auto"/>
          <w:sz w:val="30"/>
          <w:szCs w:val="30"/>
          <w:highlight w:val="none"/>
        </w:rPr>
        <w:t>年末</w:t>
      </w:r>
      <w:r>
        <w:rPr>
          <w:rFonts w:hint="eastAsia" w:ascii="仿宋_GB2312" w:eastAsia="仿宋_GB2312"/>
          <w:color w:val="auto"/>
          <w:sz w:val="30"/>
          <w:szCs w:val="30"/>
          <w:highlight w:val="none"/>
          <w:lang w:eastAsia="zh-CN"/>
        </w:rPr>
        <w:t>其他人员</w:t>
      </w:r>
      <w:r>
        <w:rPr>
          <w:rFonts w:hint="eastAsia" w:ascii="仿宋_GB2312" w:hAnsi="仿宋_GB2312" w:eastAsia="仿宋_GB2312" w:cs="仿宋_GB2312"/>
          <w:color w:val="auto"/>
          <w:sz w:val="30"/>
          <w:szCs w:val="30"/>
          <w:lang w:val="en-US" w:eastAsia="zh-CN"/>
        </w:rPr>
        <w:t>9</w:t>
      </w:r>
      <w:r>
        <w:rPr>
          <w:rFonts w:hint="eastAsia" w:ascii="仿宋_GB2312" w:eastAsia="仿宋_GB2312"/>
          <w:color w:val="auto"/>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8</w:t>
      </w:r>
      <w:r>
        <w:rPr>
          <w:rFonts w:hint="eastAsia" w:ascii="仿宋_GB2312" w:eastAsia="仿宋_GB2312"/>
          <w:color w:val="auto"/>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1</w:t>
      </w:r>
      <w:r>
        <w:rPr>
          <w:rFonts w:hint="eastAsia" w:ascii="仿宋_GB2312" w:eastAsia="仿宋_GB2312"/>
          <w:color w:val="auto"/>
          <w:sz w:val="30"/>
          <w:szCs w:val="30"/>
          <w:highlight w:val="none"/>
          <w:lang w:eastAsia="zh-CN"/>
        </w:rPr>
        <w:t>人。</w:t>
      </w:r>
    </w:p>
    <w:p w14:paraId="7CD42D96">
      <w:pPr>
        <w:spacing w:line="600" w:lineRule="exact"/>
        <w:ind w:firstLine="600" w:firstLineChars="200"/>
        <w:rPr>
          <w:rFonts w:hint="eastAsia" w:ascii="仿宋_GB2312" w:hAnsi="宋体" w:eastAsia="仿宋_GB2312" w:cs="Arial"/>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color w:val="auto"/>
          <w:kern w:val="0"/>
          <w:sz w:val="30"/>
          <w:szCs w:val="30"/>
          <w:highlight w:val="none"/>
        </w:rPr>
        <w:t>退休人员</w:t>
      </w:r>
      <w:r>
        <w:rPr>
          <w:rFonts w:hint="eastAsia" w:ascii="仿宋_GB2312" w:hAnsi="宋体" w:eastAsia="仿宋_GB2312" w:cs="Arial"/>
          <w:i w:val="0"/>
          <w:iCs w:val="0"/>
          <w:color w:val="auto"/>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）。年末</w:t>
      </w:r>
      <w:r>
        <w:rPr>
          <w:rFonts w:hint="eastAsia" w:ascii="仿宋_GB2312" w:hAnsi="宋体" w:eastAsia="仿宋_GB2312" w:cs="Arial"/>
          <w:color w:val="auto"/>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9</w:t>
      </w:r>
      <w:r>
        <w:rPr>
          <w:rFonts w:hint="eastAsia" w:ascii="仿宋_GB2312" w:hAnsi="宋体" w:eastAsia="仿宋_GB2312" w:cs="Arial"/>
          <w:color w:val="auto"/>
          <w:kern w:val="0"/>
          <w:sz w:val="30"/>
          <w:szCs w:val="30"/>
          <w:highlight w:val="none"/>
          <w:lang w:val="en-US" w:eastAsia="zh-CN"/>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rPr>
        <w:t>人，退休</w:t>
      </w:r>
      <w:r>
        <w:rPr>
          <w:rFonts w:hint="eastAsia" w:ascii="仿宋_GB2312" w:hAnsi="仿宋_GB2312" w:eastAsia="仿宋_GB2312" w:cs="仿宋_GB2312"/>
          <w:color w:val="auto"/>
          <w:sz w:val="30"/>
          <w:szCs w:val="30"/>
          <w:lang w:val="en-US" w:eastAsia="zh-CN"/>
        </w:rPr>
        <w:t>9</w:t>
      </w:r>
      <w:r>
        <w:rPr>
          <w:rFonts w:hint="eastAsia" w:ascii="仿宋_GB2312" w:hAnsi="宋体" w:eastAsia="仿宋_GB2312" w:cs="Arial"/>
          <w:color w:val="auto"/>
          <w:kern w:val="0"/>
          <w:sz w:val="30"/>
          <w:szCs w:val="30"/>
          <w:highlight w:val="none"/>
        </w:rPr>
        <w:t>人</w:t>
      </w:r>
      <w:r>
        <w:rPr>
          <w:rFonts w:hint="eastAsia" w:ascii="仿宋_GB2312" w:hAnsi="宋体" w:eastAsia="仿宋_GB2312" w:cs="Arial"/>
          <w:color w:val="auto"/>
          <w:kern w:val="0"/>
          <w:sz w:val="30"/>
          <w:szCs w:val="30"/>
          <w:highlight w:val="none"/>
          <w:lang w:eastAsia="zh-CN"/>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color w:val="auto"/>
          <w:kern w:val="0"/>
          <w:sz w:val="30"/>
          <w:szCs w:val="30"/>
          <w:highlight w:val="none"/>
          <w:lang w:val="en-US" w:eastAsia="zh-CN"/>
        </w:rPr>
        <w:t>人。</w:t>
      </w:r>
    </w:p>
    <w:p w14:paraId="6E54922A">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b w:val="0"/>
          <w:bCs w:val="0"/>
          <w:color w:val="auto"/>
          <w:sz w:val="30"/>
          <w:szCs w:val="30"/>
          <w:highlight w:val="none"/>
          <w:u w:val="none"/>
          <w:lang w:val="en-US" w:eastAsia="zh-CN"/>
        </w:rPr>
        <w:t>车辆编制1辆，在编实有车辆1辆，超编0辆。</w:t>
      </w:r>
    </w:p>
    <w:p w14:paraId="3201B4FF">
      <w:pPr>
        <w:spacing w:line="600" w:lineRule="exact"/>
        <w:ind w:firstLine="600" w:firstLineChars="200"/>
        <w:outlineLvl w:val="1"/>
        <w:rPr>
          <w:rFonts w:hint="eastAsia" w:ascii="黑体" w:hAnsi="黑体" w:eastAsia="黑体"/>
          <w:color w:val="auto"/>
          <w:sz w:val="30"/>
          <w:szCs w:val="30"/>
          <w:highlight w:val="none"/>
          <w:lang w:eastAsia="zh-CN"/>
        </w:rPr>
      </w:pPr>
      <w:r>
        <w:rPr>
          <w:rFonts w:hint="eastAsia" w:ascii="黑体" w:hAnsi="黑体" w:eastAsia="黑体"/>
          <w:color w:val="auto"/>
          <w:sz w:val="30"/>
          <w:szCs w:val="30"/>
          <w:highlight w:val="none"/>
          <w:lang w:eastAsia="zh-CN"/>
        </w:rPr>
        <w:t>三、重点工作概述</w:t>
      </w:r>
    </w:p>
    <w:p w14:paraId="6CC1601A">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（一）聚焦政治引领，全面提升教育体育系统党建质量</w:t>
      </w:r>
    </w:p>
    <w:p w14:paraId="1BD2EAE2">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一是严格落实“第一议题”学习制度，通过党组织会议、理论学习中心组集中学习、“三会一课”等形式，</w:t>
      </w:r>
      <w:r>
        <w:rPr>
          <w:rFonts w:hint="eastAsia" w:ascii="仿宋_GB2312" w:hAnsi="宋体" w:eastAsia="仿宋_GB2312" w:cs="Arial"/>
          <w:i w:val="0"/>
          <w:iCs w:val="0"/>
          <w:color w:val="auto"/>
          <w:kern w:val="0"/>
          <w:sz w:val="30"/>
          <w:szCs w:val="30"/>
          <w:highlight w:val="none"/>
          <w:lang w:eastAsia="zh-CN"/>
        </w:rPr>
        <w:t>深入学习贯彻习近平新时代中国特色社会主义思想。召开党组</w:t>
      </w:r>
      <w:r>
        <w:rPr>
          <w:rFonts w:hint="eastAsia" w:ascii="仿宋_GB2312" w:hAnsi="宋体" w:eastAsia="仿宋_GB2312" w:cs="Arial"/>
          <w:i w:val="0"/>
          <w:iCs w:val="0"/>
          <w:color w:val="auto"/>
          <w:kern w:val="0"/>
          <w:sz w:val="30"/>
          <w:szCs w:val="30"/>
          <w:highlight w:val="none"/>
          <w:lang w:val="en-US" w:eastAsia="zh-CN"/>
        </w:rPr>
        <w:t>理论学习</w:t>
      </w:r>
      <w:r>
        <w:rPr>
          <w:rFonts w:hint="eastAsia" w:ascii="仿宋_GB2312" w:hAnsi="宋体" w:eastAsia="仿宋_GB2312" w:cs="Arial"/>
          <w:i w:val="0"/>
          <w:iCs w:val="0"/>
          <w:color w:val="auto"/>
          <w:kern w:val="0"/>
          <w:sz w:val="30"/>
          <w:szCs w:val="30"/>
          <w:highlight w:val="none"/>
          <w:lang w:eastAsia="zh-CN"/>
        </w:rPr>
        <w:t>中心组集中学习</w:t>
      </w:r>
      <w:r>
        <w:rPr>
          <w:rFonts w:hint="eastAsia" w:ascii="仿宋_GB2312" w:hAnsi="宋体" w:eastAsia="仿宋_GB2312" w:cs="Arial"/>
          <w:i w:val="0"/>
          <w:iCs w:val="0"/>
          <w:color w:val="auto"/>
          <w:kern w:val="0"/>
          <w:sz w:val="30"/>
          <w:szCs w:val="30"/>
          <w:highlight w:val="none"/>
          <w:lang w:val="en-US" w:eastAsia="zh-CN"/>
        </w:rPr>
        <w:t>8</w:t>
      </w:r>
      <w:r>
        <w:rPr>
          <w:rFonts w:hint="eastAsia" w:ascii="仿宋_GB2312" w:hAnsi="宋体" w:eastAsia="仿宋_GB2312" w:cs="Arial"/>
          <w:i w:val="0"/>
          <w:iCs w:val="0"/>
          <w:color w:val="auto"/>
          <w:kern w:val="0"/>
          <w:sz w:val="30"/>
          <w:szCs w:val="30"/>
          <w:highlight w:val="none"/>
          <w:lang w:eastAsia="zh-CN"/>
        </w:rPr>
        <w:t>次，党组会议</w:t>
      </w:r>
      <w:r>
        <w:rPr>
          <w:rFonts w:hint="eastAsia" w:ascii="仿宋_GB2312" w:hAnsi="宋体" w:eastAsia="仿宋_GB2312" w:cs="Arial"/>
          <w:i w:val="0"/>
          <w:iCs w:val="0"/>
          <w:color w:val="auto"/>
          <w:kern w:val="0"/>
          <w:sz w:val="30"/>
          <w:szCs w:val="30"/>
          <w:highlight w:val="none"/>
          <w:lang w:val="en-US" w:eastAsia="zh-CN"/>
        </w:rPr>
        <w:t>学习29</w:t>
      </w:r>
      <w:r>
        <w:rPr>
          <w:rFonts w:hint="eastAsia" w:ascii="仿宋_GB2312" w:hAnsi="宋体" w:eastAsia="仿宋_GB2312" w:cs="Arial"/>
          <w:i w:val="0"/>
          <w:iCs w:val="0"/>
          <w:color w:val="auto"/>
          <w:kern w:val="0"/>
          <w:sz w:val="30"/>
          <w:szCs w:val="30"/>
          <w:highlight w:val="none"/>
          <w:lang w:eastAsia="zh-CN"/>
        </w:rPr>
        <w:t>次。二</w:t>
      </w:r>
      <w:r>
        <w:rPr>
          <w:rFonts w:hint="eastAsia" w:ascii="仿宋_GB2312" w:hAnsi="宋体" w:eastAsia="仿宋_GB2312" w:cs="Arial"/>
          <w:i w:val="0"/>
          <w:iCs w:val="0"/>
          <w:color w:val="auto"/>
          <w:kern w:val="0"/>
          <w:sz w:val="30"/>
          <w:szCs w:val="30"/>
          <w:highlight w:val="none"/>
          <w:lang w:val="en-US" w:eastAsia="zh-CN"/>
        </w:rPr>
        <w:t>是开展深入贯彻中央八项规定精神学习教育，有力推进“学查改”工作。开展警示教育和典型案例通报7场次，聚焦班子成员、年轻干部、关键岗位干部和新提拔干部，组织集中学习4次，学习研讨2次，讲授专题党课3次，参观华宁县廉洁文化中心3次。</w:t>
      </w:r>
      <w:r>
        <w:rPr>
          <w:rFonts w:hint="eastAsia" w:ascii="仿宋_GB2312" w:hAnsi="宋体" w:eastAsia="仿宋_GB2312" w:cs="Arial"/>
          <w:i w:val="0"/>
          <w:iCs w:val="0"/>
          <w:color w:val="auto"/>
          <w:kern w:val="0"/>
          <w:sz w:val="30"/>
          <w:szCs w:val="30"/>
          <w:highlight w:val="none"/>
          <w:lang w:eastAsia="zh-CN"/>
        </w:rPr>
        <w:t>三是完善中小学校党组织领导的校长负责制，积极推进“双培双带双引领”</w:t>
      </w:r>
      <w:r>
        <w:rPr>
          <w:rFonts w:hint="eastAsia" w:ascii="仿宋_GB2312" w:hAnsi="宋体" w:eastAsia="仿宋_GB2312" w:cs="Arial"/>
          <w:i w:val="0"/>
          <w:iCs w:val="0"/>
          <w:color w:val="auto"/>
          <w:kern w:val="0"/>
          <w:sz w:val="30"/>
          <w:szCs w:val="30"/>
          <w:highlight w:val="none"/>
          <w:lang w:val="en-US" w:eastAsia="zh-CN"/>
        </w:rPr>
        <w:t>和党员名师助力中高考</w:t>
      </w:r>
      <w:r>
        <w:rPr>
          <w:rFonts w:hint="eastAsia" w:ascii="仿宋_GB2312" w:hAnsi="宋体" w:eastAsia="仿宋_GB2312" w:cs="Arial"/>
          <w:i w:val="0"/>
          <w:iCs w:val="0"/>
          <w:color w:val="auto"/>
          <w:kern w:val="0"/>
          <w:sz w:val="30"/>
          <w:szCs w:val="30"/>
          <w:highlight w:val="none"/>
          <w:lang w:eastAsia="zh-CN"/>
        </w:rPr>
        <w:t>工作，</w:t>
      </w:r>
      <w:r>
        <w:rPr>
          <w:rFonts w:hint="eastAsia" w:ascii="仿宋_GB2312" w:hAnsi="宋体" w:eastAsia="仿宋_GB2312" w:cs="Arial"/>
          <w:i w:val="0"/>
          <w:iCs w:val="0"/>
          <w:color w:val="auto"/>
          <w:kern w:val="0"/>
          <w:sz w:val="30"/>
          <w:szCs w:val="30"/>
          <w:highlight w:val="none"/>
          <w:lang w:val="en-US" w:eastAsia="zh-CN"/>
        </w:rPr>
        <w:t>着力打造党建示范校2所、党团队一体化示范校6所，持续推进“清廉学校”创建，做强“一校一特色”。</w:t>
      </w:r>
    </w:p>
    <w:p w14:paraId="098A1474">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二</w:t>
      </w: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聚焦铸魂育人，着力构建立德树人新格局</w:t>
      </w:r>
    </w:p>
    <w:p w14:paraId="34E41185">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明确以立德树人为方向，强化党对思政工作的领导，健全教职工及思政课工作机制，加强思政教师队伍建设，专任思政课教师占比97%；开展“思政大讲堂”等多样主题活动，推进“行走的思政课”，以文化育人打造“一校一品”。二是实施中小学生“壮苗行动”，确保中小学生每天综合体育活动时间不低于2小时；成功举办全县中小学生运动会，引导学生热爱体育运动。落实“双减”背景下的德育活动，实施劳动教育综合评价。三是提高专职心理教师比例，培训选拔87名专兼职教师，推进阵地建设，依标准建设17个心理辅导室。四是健全完善家校社协同育人机制，建立家庭、学校、政府、社会“四级”防控体系。用好“家长学校”，通过家庭教育讲师团、家长开放日等，提升家校社合作育人水平。</w:t>
      </w:r>
    </w:p>
    <w:p w14:paraId="41D885F1">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三</w:t>
      </w:r>
      <w:r>
        <w:rPr>
          <w:rFonts w:hint="eastAsia" w:ascii="仿宋_GB2312" w:hAnsi="宋体" w:eastAsia="仿宋_GB2312" w:cs="Arial"/>
          <w:i w:val="0"/>
          <w:iCs w:val="0"/>
          <w:color w:val="auto"/>
          <w:kern w:val="0"/>
          <w:sz w:val="30"/>
          <w:szCs w:val="30"/>
          <w:highlight w:val="none"/>
          <w:lang w:eastAsia="zh-CN"/>
        </w:rPr>
        <w:t>）</w:t>
      </w:r>
      <w:r>
        <w:rPr>
          <w:rFonts w:hint="eastAsia" w:ascii="仿宋_GB2312" w:hAnsi="宋体" w:eastAsia="仿宋_GB2312" w:cs="Arial"/>
          <w:i w:val="0"/>
          <w:iCs w:val="0"/>
          <w:color w:val="auto"/>
          <w:kern w:val="0"/>
          <w:sz w:val="30"/>
          <w:szCs w:val="30"/>
          <w:highlight w:val="none"/>
          <w:lang w:val="en-US" w:eastAsia="zh-CN"/>
        </w:rPr>
        <w:t>聚焦人民满意，着力提升教育整体质量</w:t>
      </w:r>
    </w:p>
    <w:p w14:paraId="237DE1D1">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eastAsia="zh-CN"/>
        </w:rPr>
        <w:t>一是加快推进</w:t>
      </w:r>
      <w:r>
        <w:rPr>
          <w:rFonts w:hint="eastAsia" w:ascii="仿宋_GB2312" w:hAnsi="宋体" w:eastAsia="仿宋_GB2312" w:cs="Arial"/>
          <w:i w:val="0"/>
          <w:iCs w:val="0"/>
          <w:color w:val="auto"/>
          <w:kern w:val="0"/>
          <w:sz w:val="30"/>
          <w:szCs w:val="30"/>
          <w:highlight w:val="none"/>
          <w:lang w:val="en-US" w:eastAsia="zh-CN"/>
        </w:rPr>
        <w:t>学前教育普惠创建和特殊教育工作，推广“1+5+N”集团化办园模式，加强资源中心和资源教室建设管理，保障137名残疾学生就学；二是对标对表，全力推进</w:t>
      </w:r>
      <w:r>
        <w:rPr>
          <w:rFonts w:hint="eastAsia" w:ascii="仿宋_GB2312" w:hAnsi="宋体" w:eastAsia="仿宋_GB2312" w:cs="Arial"/>
          <w:i w:val="0"/>
          <w:iCs w:val="0"/>
          <w:color w:val="auto"/>
          <w:kern w:val="0"/>
          <w:sz w:val="30"/>
          <w:szCs w:val="30"/>
          <w:highlight w:val="none"/>
          <w:lang w:eastAsia="zh-CN"/>
        </w:rPr>
        <w:t>义务教育优质均衡发展示范县创建补短板工作，截至</w:t>
      </w:r>
      <w:r>
        <w:rPr>
          <w:rFonts w:hint="eastAsia" w:ascii="仿宋_GB2312" w:hAnsi="宋体" w:eastAsia="仿宋_GB2312" w:cs="Arial"/>
          <w:i w:val="0"/>
          <w:iCs w:val="0"/>
          <w:color w:val="auto"/>
          <w:kern w:val="0"/>
          <w:sz w:val="30"/>
          <w:szCs w:val="30"/>
          <w:highlight w:val="none"/>
          <w:lang w:val="en-US" w:eastAsia="zh-CN"/>
        </w:rPr>
        <w:t>目前</w:t>
      </w:r>
      <w:r>
        <w:rPr>
          <w:rFonts w:hint="eastAsia" w:ascii="仿宋_GB2312" w:hAnsi="宋体" w:eastAsia="仿宋_GB2312" w:cs="Arial"/>
          <w:i w:val="0"/>
          <w:iCs w:val="0"/>
          <w:color w:val="auto"/>
          <w:kern w:val="0"/>
          <w:sz w:val="30"/>
          <w:szCs w:val="30"/>
          <w:highlight w:val="none"/>
          <w:lang w:eastAsia="zh-CN"/>
        </w:rPr>
        <w:t>，全县各义务教育学校31项指标自评达标</w:t>
      </w:r>
      <w:r>
        <w:rPr>
          <w:rFonts w:hint="eastAsia" w:ascii="仿宋_GB2312" w:hAnsi="宋体" w:eastAsia="仿宋_GB2312" w:cs="Arial"/>
          <w:i w:val="0"/>
          <w:iCs w:val="0"/>
          <w:color w:val="auto"/>
          <w:kern w:val="0"/>
          <w:sz w:val="30"/>
          <w:szCs w:val="30"/>
          <w:highlight w:val="none"/>
          <w:lang w:val="en-US" w:eastAsia="zh-CN"/>
        </w:rPr>
        <w:t>21</w:t>
      </w:r>
      <w:r>
        <w:rPr>
          <w:rFonts w:hint="eastAsia" w:ascii="仿宋_GB2312" w:hAnsi="宋体" w:eastAsia="仿宋_GB2312" w:cs="Arial"/>
          <w:i w:val="0"/>
          <w:iCs w:val="0"/>
          <w:color w:val="auto"/>
          <w:kern w:val="0"/>
          <w:sz w:val="30"/>
          <w:szCs w:val="30"/>
          <w:highlight w:val="none"/>
          <w:lang w:eastAsia="zh-CN"/>
        </w:rPr>
        <w:t>项，达标率</w:t>
      </w:r>
      <w:r>
        <w:rPr>
          <w:rFonts w:hint="eastAsia" w:ascii="仿宋_GB2312" w:hAnsi="宋体" w:eastAsia="仿宋_GB2312" w:cs="Arial"/>
          <w:i w:val="0"/>
          <w:iCs w:val="0"/>
          <w:color w:val="auto"/>
          <w:kern w:val="0"/>
          <w:sz w:val="30"/>
          <w:szCs w:val="30"/>
          <w:highlight w:val="none"/>
          <w:lang w:val="en-US" w:eastAsia="zh-CN"/>
        </w:rPr>
        <w:t>67.7</w:t>
      </w:r>
      <w:r>
        <w:rPr>
          <w:rFonts w:hint="eastAsia" w:ascii="仿宋_GB2312" w:hAnsi="宋体" w:eastAsia="仿宋_GB2312" w:cs="Arial"/>
          <w:i w:val="0"/>
          <w:iCs w:val="0"/>
          <w:color w:val="auto"/>
          <w:kern w:val="0"/>
          <w:sz w:val="30"/>
          <w:szCs w:val="30"/>
          <w:highlight w:val="none"/>
          <w:lang w:eastAsia="zh-CN"/>
        </w:rPr>
        <w:t>%。投入</w:t>
      </w:r>
      <w:r>
        <w:rPr>
          <w:rFonts w:hint="eastAsia" w:ascii="仿宋_GB2312" w:hAnsi="宋体" w:eastAsia="仿宋_GB2312" w:cs="Arial"/>
          <w:i w:val="0"/>
          <w:iCs w:val="0"/>
          <w:color w:val="auto"/>
          <w:kern w:val="0"/>
          <w:sz w:val="30"/>
          <w:szCs w:val="30"/>
          <w:highlight w:val="none"/>
          <w:lang w:val="en-US" w:eastAsia="zh-CN"/>
        </w:rPr>
        <w:t>458万元</w:t>
      </w:r>
      <w:r>
        <w:rPr>
          <w:rFonts w:hint="eastAsia" w:ascii="仿宋_GB2312" w:hAnsi="宋体" w:eastAsia="仿宋_GB2312" w:cs="Arial"/>
          <w:i w:val="0"/>
          <w:iCs w:val="0"/>
          <w:color w:val="auto"/>
          <w:kern w:val="0"/>
          <w:sz w:val="30"/>
          <w:szCs w:val="30"/>
          <w:highlight w:val="none"/>
          <w:lang w:eastAsia="zh-CN"/>
        </w:rPr>
        <w:t>实施</w:t>
      </w:r>
      <w:r>
        <w:rPr>
          <w:rFonts w:hint="eastAsia" w:ascii="仿宋_GB2312" w:hAnsi="宋体" w:eastAsia="仿宋_GB2312" w:cs="Arial"/>
          <w:i w:val="0"/>
          <w:iCs w:val="0"/>
          <w:color w:val="auto"/>
          <w:kern w:val="0"/>
          <w:sz w:val="30"/>
          <w:szCs w:val="30"/>
          <w:highlight w:val="none"/>
          <w:lang w:val="en-US" w:eastAsia="zh-CN"/>
        </w:rPr>
        <w:t>义务教育</w:t>
      </w:r>
      <w:r>
        <w:rPr>
          <w:rFonts w:hint="eastAsia" w:ascii="仿宋_GB2312" w:hAnsi="宋体" w:eastAsia="仿宋_GB2312" w:cs="Arial"/>
          <w:i w:val="0"/>
          <w:iCs w:val="0"/>
          <w:color w:val="auto"/>
          <w:kern w:val="0"/>
          <w:sz w:val="30"/>
          <w:szCs w:val="30"/>
          <w:highlight w:val="none"/>
          <w:lang w:eastAsia="zh-CN"/>
        </w:rPr>
        <w:t>补短板项目，改造薄弱学校</w:t>
      </w:r>
      <w:r>
        <w:rPr>
          <w:rFonts w:hint="eastAsia" w:ascii="仿宋_GB2312" w:hAnsi="宋体" w:eastAsia="仿宋_GB2312" w:cs="Arial"/>
          <w:i w:val="0"/>
          <w:iCs w:val="0"/>
          <w:color w:val="auto"/>
          <w:kern w:val="0"/>
          <w:sz w:val="30"/>
          <w:szCs w:val="30"/>
          <w:highlight w:val="none"/>
          <w:lang w:val="en-US" w:eastAsia="zh-CN"/>
        </w:rPr>
        <w:t>12</w:t>
      </w:r>
      <w:r>
        <w:rPr>
          <w:rFonts w:hint="eastAsia" w:ascii="仿宋_GB2312" w:hAnsi="宋体" w:eastAsia="仿宋_GB2312" w:cs="Arial"/>
          <w:i w:val="0"/>
          <w:iCs w:val="0"/>
          <w:color w:val="auto"/>
          <w:kern w:val="0"/>
          <w:sz w:val="30"/>
          <w:szCs w:val="30"/>
          <w:highlight w:val="none"/>
          <w:lang w:eastAsia="zh-CN"/>
        </w:rPr>
        <w:t>所，</w:t>
      </w:r>
      <w:r>
        <w:rPr>
          <w:rFonts w:hint="eastAsia" w:ascii="仿宋_GB2312" w:hAnsi="宋体" w:eastAsia="仿宋_GB2312" w:cs="Arial"/>
          <w:i w:val="0"/>
          <w:iCs w:val="0"/>
          <w:color w:val="auto"/>
          <w:kern w:val="0"/>
          <w:sz w:val="30"/>
          <w:szCs w:val="30"/>
          <w:highlight w:val="none"/>
          <w:lang w:val="en-US" w:eastAsia="zh-CN"/>
        </w:rPr>
        <w:t>持续改善学校办学条件。三是职业教育质量再提升，玉溪职业技术学院提级管理县职业中学，职业教育产教融合、职普融通不断深化。2025年，职教高考再创佳绩，57人被本科院校录取，本科上线人数居全市第2；187人上专科线，上线率97.17%。四是中高考实现新突破。2025年春季高考，225名考生均被大学录取；普通高考600分以上2人，特控线上线人数40人，上线率12.38%；本科上线318人，上线率66.81%；中考平均分501.92，较2024年全市排名上升1个名次。</w:t>
      </w:r>
    </w:p>
    <w:p w14:paraId="0D87E7F2">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（四）聚焦铸魂强师，着力构建素质精良的教师队伍体系</w:t>
      </w:r>
    </w:p>
    <w:p w14:paraId="1533ABFE">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持续深化师德师风建设三年行动计划，全覆盖开展“玉师清风”专项行动工作，开展警示教育8次，受众人数908人次，全覆盖对有苗头性干部、教职工开展提醒谈话，系统内违纪违法行为明显减少。二是加强“四名”队伍建设，累计评审认定、培养县级骨干教师和学科带头人506名、名班主任100名、骨干班主任200名、名校长9名、青骨校长29名、名教师100名、名教研员17名。积极拓宽人才引进渠道，吸引了优秀人才加入教师队伍，2025年，共补充新教师17名。</w:t>
      </w:r>
    </w:p>
    <w:p w14:paraId="3CC94C5C">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（五）聚焦风险防控，着力守牢高质量发展安全底线</w:t>
      </w:r>
    </w:p>
    <w:p w14:paraId="596D629D">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一是抓实“1530”安全教育工作机制，采取“线上线下”“体验式”等方式开展各类安全宣传教育4570场次、应急演练241次、法治讲座256场次。二是强化校园安防能力建设，校园安防4个100%已达标，校园安全视频巡查系统建设正加速推进，“平安校园”创建率达100%。三是推动多部门联动建立“一生一策”特殊学生排查帮扶机制，对512名特殊学生开展针对性跟踪帮扶，</w:t>
      </w:r>
      <w:r>
        <w:rPr>
          <w:rFonts w:hint="eastAsia" w:ascii="仿宋_GB2312" w:hAnsi="宋体" w:eastAsia="仿宋_GB2312" w:cs="Arial"/>
          <w:i w:val="0"/>
          <w:iCs w:val="0"/>
          <w:color w:val="auto"/>
          <w:kern w:val="0"/>
          <w:sz w:val="30"/>
          <w:szCs w:val="30"/>
          <w:highlight w:val="none"/>
          <w:lang w:eastAsia="zh-CN"/>
        </w:rPr>
        <w:t>成立专门教育指导委员会，对</w:t>
      </w:r>
      <w:r>
        <w:rPr>
          <w:rFonts w:hint="eastAsia" w:ascii="仿宋_GB2312" w:hAnsi="宋体" w:eastAsia="仿宋_GB2312" w:cs="Arial"/>
          <w:i w:val="0"/>
          <w:iCs w:val="0"/>
          <w:color w:val="auto"/>
          <w:kern w:val="0"/>
          <w:sz w:val="30"/>
          <w:szCs w:val="30"/>
          <w:highlight w:val="none"/>
          <w:lang w:val="en-US" w:eastAsia="zh-CN"/>
        </w:rPr>
        <w:t>299</w:t>
      </w:r>
      <w:r>
        <w:rPr>
          <w:rFonts w:hint="eastAsia" w:ascii="仿宋_GB2312" w:hAnsi="宋体" w:eastAsia="仿宋_GB2312" w:cs="Arial"/>
          <w:i w:val="0"/>
          <w:iCs w:val="0"/>
          <w:color w:val="auto"/>
          <w:kern w:val="0"/>
          <w:sz w:val="30"/>
          <w:szCs w:val="30"/>
          <w:highlight w:val="none"/>
          <w:lang w:eastAsia="zh-CN"/>
        </w:rPr>
        <w:t>名风险学生进行干预帮扶，</w:t>
      </w:r>
      <w:r>
        <w:rPr>
          <w:rFonts w:hint="eastAsia" w:ascii="仿宋_GB2312" w:hAnsi="宋体" w:eastAsia="仿宋_GB2312" w:cs="Arial"/>
          <w:i w:val="0"/>
          <w:iCs w:val="0"/>
          <w:color w:val="auto"/>
          <w:kern w:val="0"/>
          <w:sz w:val="30"/>
          <w:szCs w:val="30"/>
          <w:highlight w:val="none"/>
          <w:lang w:val="en-US" w:eastAsia="zh-CN"/>
        </w:rPr>
        <w:t>送读专门学校11人，未成年人违法、犯罪案件同比去年分别下降66.67%、42.31%。</w:t>
      </w:r>
    </w:p>
    <w:p w14:paraId="1386D85A">
      <w:pPr>
        <w:spacing w:line="600" w:lineRule="exact"/>
        <w:ind w:firstLine="600" w:firstLineChars="200"/>
        <w:rPr>
          <w:rFonts w:hint="eastAsia" w:ascii="仿宋_GB2312" w:hAnsi="宋体" w:eastAsia="仿宋_GB2312" w:cs="Arial"/>
          <w:i w:val="0"/>
          <w:iCs w:val="0"/>
          <w:color w:val="auto"/>
          <w:kern w:val="0"/>
          <w:sz w:val="30"/>
          <w:szCs w:val="30"/>
          <w:highlight w:val="none"/>
          <w:lang w:val="en-US" w:eastAsia="zh-CN"/>
        </w:rPr>
      </w:pPr>
      <w:r>
        <w:rPr>
          <w:rFonts w:hint="eastAsia" w:ascii="仿宋_GB2312" w:hAnsi="宋体" w:eastAsia="仿宋_GB2312" w:cs="Arial"/>
          <w:i w:val="0"/>
          <w:iCs w:val="0"/>
          <w:color w:val="auto"/>
          <w:kern w:val="0"/>
          <w:sz w:val="30"/>
          <w:szCs w:val="30"/>
          <w:highlight w:val="none"/>
          <w:lang w:val="en-US" w:eastAsia="zh-CN"/>
        </w:rPr>
        <w:t>（六）聚焦以体促旅，文体旅融合发展呈现新前景</w:t>
      </w:r>
    </w:p>
    <w:p w14:paraId="4B4366F6">
      <w:pPr>
        <w:spacing w:line="600" w:lineRule="exact"/>
        <w:ind w:firstLine="600" w:firstLineChars="200"/>
        <w:rPr>
          <w:rFonts w:hint="eastAsia" w:ascii="仿宋_GB2312" w:hAnsi="宋体" w:eastAsia="仿宋_GB2312" w:cs="Arial"/>
          <w:i w:val="0"/>
          <w:iCs w:val="0"/>
          <w:color w:val="auto"/>
          <w:kern w:val="0"/>
          <w:sz w:val="30"/>
          <w:szCs w:val="30"/>
          <w:highlight w:val="none"/>
          <w:lang w:eastAsia="zh-CN"/>
        </w:rPr>
      </w:pPr>
      <w:r>
        <w:rPr>
          <w:rFonts w:hint="eastAsia" w:ascii="仿宋_GB2312" w:hAnsi="宋体" w:eastAsia="仿宋_GB2312" w:cs="Arial"/>
          <w:i w:val="0"/>
          <w:iCs w:val="0"/>
          <w:color w:val="auto"/>
          <w:kern w:val="0"/>
          <w:sz w:val="30"/>
          <w:szCs w:val="30"/>
          <w:highlight w:val="none"/>
          <w:lang w:val="en-US" w:eastAsia="zh-CN"/>
        </w:rPr>
        <w:t>主动融入文体旅整合发展大局，大力推进“以赛为媒，以体兴旅”的发展模式，成功举办春节和五一足球邀请赛、全县干部职工运动会以及半程马拉松等比赛，承办2025年玉溪市青少年（学生）体育2个项目比赛（中学组足球、游泳）等赛事，争取引入省内外高水平专业队伍入驻华宁训练，为全县体育发展注入新活力，助力全县经济发展。</w:t>
      </w:r>
    </w:p>
    <w:p w14:paraId="6D04702D">
      <w:pPr>
        <w:spacing w:line="600" w:lineRule="exact"/>
        <w:ind w:firstLine="600" w:firstLineChars="200"/>
        <w:jc w:val="left"/>
        <w:rPr>
          <w:rFonts w:hint="eastAsia" w:ascii="仿宋_GB2312" w:hAnsi="宋体" w:eastAsia="仿宋_GB2312" w:cs="Arial"/>
          <w:color w:val="auto"/>
          <w:kern w:val="0"/>
          <w:sz w:val="30"/>
          <w:szCs w:val="30"/>
          <w:highlight w:val="none"/>
        </w:rPr>
      </w:pPr>
    </w:p>
    <w:p w14:paraId="19C811D3">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 xml:space="preserve">第二部分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部门决算表</w:t>
      </w:r>
    </w:p>
    <w:p w14:paraId="066AC9E7">
      <w:pPr>
        <w:spacing w:line="600" w:lineRule="exact"/>
        <w:ind w:firstLine="600" w:firstLineChars="200"/>
        <w:jc w:val="center"/>
        <w:outlineLvl w:val="1"/>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（详见附件）</w:t>
      </w:r>
    </w:p>
    <w:p w14:paraId="0A1D0C2E">
      <w:pPr>
        <w:pStyle w:val="2"/>
        <w:keepNext w:val="0"/>
        <w:keepLines w:val="0"/>
        <w:pageBreakBefore w:val="0"/>
        <w:widowControl w:val="0"/>
        <w:suppressLineNumbers w:val="0"/>
        <w:kinsoku/>
        <w:wordWrap/>
        <w:overflowPunct/>
        <w:topLinePunct w:val="0"/>
        <w:bidi w:val="0"/>
        <w:adjustRightInd/>
        <w:spacing w:before="0" w:beforeAutospacing="0" w:after="0" w:afterAutospacing="0" w:line="360" w:lineRule="auto"/>
        <w:ind w:left="0" w:right="0" w:rightChars="0" w:firstLine="640" w:firstLineChars="200"/>
        <w:jc w:val="left"/>
        <w:textAlignment w:val="auto"/>
        <w:rPr>
          <w:rFonts w:hint="eastAsia" w:ascii="方正仿宋_GBK" w:hAnsi="方正仿宋_GBK" w:eastAsia="方正仿宋_GBK" w:cs="方正仿宋_GBK"/>
          <w:b w:val="0"/>
          <w:bCs w:val="0"/>
          <w:color w:val="auto"/>
          <w:kern w:val="0"/>
          <w:sz w:val="32"/>
          <w:szCs w:val="32"/>
        </w:rPr>
      </w:pPr>
      <w:r>
        <w:rPr>
          <w:rFonts w:hint="eastAsia" w:ascii="Times New Roman" w:hAnsi="Times New Roman" w:eastAsia="方正仿宋_GBK" w:cs="Times New Roman"/>
          <w:b w:val="0"/>
          <w:bCs w:val="0"/>
          <w:color w:val="auto"/>
          <w:kern w:val="0"/>
          <w:sz w:val="32"/>
          <w:szCs w:val="32"/>
          <w:lang w:eastAsia="zh-CN"/>
        </w:rPr>
        <w:t>华宁县教育体育局</w:t>
      </w:r>
      <w:r>
        <w:rPr>
          <w:rFonts w:hint="default" w:ascii="Times New Roman" w:hAnsi="Times New Roman" w:eastAsia="方正仿宋_GBK" w:cs="Times New Roman"/>
          <w:b w:val="0"/>
          <w:bCs w:val="0"/>
          <w:color w:val="auto"/>
          <w:kern w:val="0"/>
          <w:sz w:val="30"/>
          <w:szCs w:val="32"/>
        </w:rPr>
        <w:t>202</w:t>
      </w:r>
      <w:r>
        <w:rPr>
          <w:rFonts w:hint="eastAsia" w:ascii="Times New Roman" w:eastAsia="方正仿宋_GBK" w:cs="Times New Roman"/>
          <w:b w:val="0"/>
          <w:bCs w:val="0"/>
          <w:color w:val="auto"/>
          <w:kern w:val="0"/>
          <w:sz w:val="30"/>
          <w:szCs w:val="32"/>
          <w:lang w:val="en-US" w:eastAsia="zh-CN"/>
        </w:rPr>
        <w:t>5</w:t>
      </w:r>
      <w:r>
        <w:rPr>
          <w:rFonts w:hint="eastAsia" w:ascii="方正仿宋_GBK" w:hAnsi="方正仿宋_GBK" w:eastAsia="方正仿宋_GBK" w:cs="方正仿宋_GBK"/>
          <w:b w:val="0"/>
          <w:bCs w:val="0"/>
          <w:color w:val="auto"/>
          <w:kern w:val="0"/>
          <w:sz w:val="32"/>
          <w:szCs w:val="32"/>
        </w:rPr>
        <w:t>年无国有资本经营预算财政拨款收入，也无国有资本经营预算财政拨款安排的支出，故《国有资本经营预算财政拨款收入支出决算表》为空表。</w:t>
      </w:r>
    </w:p>
    <w:p w14:paraId="5A6C54A7">
      <w:pPr>
        <w:spacing w:line="600" w:lineRule="exact"/>
        <w:ind w:firstLine="600" w:firstLineChars="200"/>
        <w:jc w:val="left"/>
        <w:rPr>
          <w:rFonts w:hint="eastAsia" w:ascii="仿宋_GB2312" w:eastAsia="仿宋_GB2312"/>
          <w:color w:val="auto"/>
          <w:sz w:val="30"/>
          <w:szCs w:val="30"/>
          <w:highlight w:val="none"/>
          <w:lang w:eastAsia="zh-CN"/>
        </w:rPr>
      </w:pPr>
    </w:p>
    <w:p w14:paraId="4144B0A8">
      <w:pPr>
        <w:jc w:val="center"/>
        <w:outlineLvl w:val="0"/>
        <w:rPr>
          <w:rFonts w:hint="eastAsia" w:ascii="黑体" w:hAnsi="黑体" w:eastAsia="黑体"/>
          <w:color w:val="auto"/>
          <w:sz w:val="32"/>
          <w:szCs w:val="32"/>
          <w:highlight w:val="none"/>
        </w:rPr>
      </w:pPr>
      <w:r>
        <w:rPr>
          <w:rFonts w:hint="eastAsia" w:ascii="黑体" w:hAnsi="黑体" w:eastAsia="黑体"/>
          <w:color w:val="auto"/>
          <w:sz w:val="32"/>
          <w:szCs w:val="32"/>
          <w:highlight w:val="none"/>
        </w:rPr>
        <w:t>第三部</w:t>
      </w:r>
      <w:r>
        <w:rPr>
          <w:rFonts w:hint="eastAsia" w:ascii="黑体" w:hAnsi="黑体" w:eastAsia="黑体"/>
          <w:color w:val="auto"/>
          <w:sz w:val="32"/>
          <w:szCs w:val="32"/>
          <w:highlight w:val="none"/>
          <w:lang w:eastAsia="zh-CN"/>
        </w:rPr>
        <w:t>分</w:t>
      </w:r>
      <w:r>
        <w:rPr>
          <w:rFonts w:hint="eastAsia" w:ascii="黑体" w:hAnsi="黑体" w:eastAsia="黑体"/>
          <w:color w:val="auto"/>
          <w:sz w:val="32"/>
          <w:szCs w:val="32"/>
          <w:highlight w:val="none"/>
        </w:rPr>
        <w:t xml:space="preserve">  </w:t>
      </w:r>
      <w:r>
        <w:rPr>
          <w:rFonts w:hint="eastAsia" w:ascii="黑体" w:hAnsi="黑体" w:eastAsia="黑体"/>
          <w:color w:val="auto"/>
          <w:sz w:val="32"/>
          <w:szCs w:val="32"/>
          <w:highlight w:val="none"/>
          <w:lang w:val="en-US" w:eastAsia="zh-CN"/>
        </w:rPr>
        <w:t>2025年度</w:t>
      </w:r>
      <w:r>
        <w:rPr>
          <w:rFonts w:hint="eastAsia" w:ascii="黑体" w:hAnsi="黑体" w:eastAsia="黑体"/>
          <w:color w:val="auto"/>
          <w:sz w:val="32"/>
          <w:szCs w:val="32"/>
          <w:highlight w:val="none"/>
        </w:rPr>
        <w:t>部门决算情况说明</w:t>
      </w:r>
    </w:p>
    <w:p w14:paraId="1C20A4F9">
      <w:pPr>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一、收入决算情况说明</w:t>
      </w:r>
    </w:p>
    <w:p w14:paraId="767A9F7B">
      <w:pPr>
        <w:widowControl/>
        <w:snapToGrid w:val="0"/>
        <w:spacing w:before="100" w:after="100" w:line="600" w:lineRule="exact"/>
        <w:ind w:firstLine="538"/>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sz w:val="30"/>
          <w:lang w:val="zh-CN"/>
        </w:rPr>
        <w:t>华宁县教育体育局（本级）</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收入合计</w:t>
      </w:r>
      <w:r>
        <w:rPr>
          <w:rFonts w:hint="eastAsia" w:ascii="仿宋_GB2312" w:hAnsi="仿宋_GB2312" w:eastAsia="仿宋_GB2312" w:cs="仿宋_GB2312"/>
          <w:color w:val="auto"/>
          <w:sz w:val="30"/>
          <w:lang w:val="zh-CN"/>
        </w:rPr>
        <w:t>30501955.18</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。其中：财政拨款收入</w:t>
      </w:r>
      <w:r>
        <w:rPr>
          <w:rFonts w:hint="eastAsia" w:ascii="仿宋_GB2312" w:hAnsi="仿宋_GB2312" w:eastAsia="仿宋_GB2312" w:cs="仿宋_GB2312"/>
          <w:color w:val="auto"/>
          <w:sz w:val="30"/>
          <w:lang w:val="zh-CN"/>
        </w:rPr>
        <w:t>28339767.47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92.91</w:t>
      </w:r>
      <w:r>
        <w:rPr>
          <w:rFonts w:hint="eastAsia" w:ascii="仿宋_GB2312" w:eastAsia="仿宋_GB2312"/>
          <w:color w:val="auto"/>
          <w:sz w:val="30"/>
          <w:szCs w:val="30"/>
          <w:highlight w:val="none"/>
        </w:rPr>
        <w:t>%；上级补助收入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%；事业收入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元（含教育收费</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%；经营收入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%；附属单位</w:t>
      </w:r>
      <w:r>
        <w:rPr>
          <w:rFonts w:hint="eastAsia" w:ascii="仿宋_GB2312" w:eastAsia="仿宋_GB2312"/>
          <w:color w:val="auto"/>
          <w:sz w:val="30"/>
          <w:szCs w:val="30"/>
          <w:highlight w:val="none"/>
          <w:lang w:eastAsia="zh-CN"/>
        </w:rPr>
        <w:t>上缴</w:t>
      </w:r>
      <w:r>
        <w:rPr>
          <w:rFonts w:hint="eastAsia" w:ascii="仿宋_GB2312" w:eastAsia="仿宋_GB2312"/>
          <w:color w:val="auto"/>
          <w:sz w:val="30"/>
          <w:szCs w:val="30"/>
          <w:highlight w:val="none"/>
        </w:rPr>
        <w:t>收入</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rPr>
        <w:t>%；其他收入</w:t>
      </w:r>
      <w:r>
        <w:rPr>
          <w:rFonts w:hint="eastAsia" w:ascii="仿宋_GB2312" w:hAnsi="仿宋_GB2312" w:eastAsia="仿宋_GB2312" w:cs="仿宋_GB2312"/>
          <w:color w:val="auto"/>
          <w:sz w:val="30"/>
          <w:lang w:val="zh-CN"/>
        </w:rPr>
        <w:t>2162187.71</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，占总收入的</w:t>
      </w:r>
      <w:r>
        <w:rPr>
          <w:rFonts w:hint="eastAsia" w:ascii="仿宋_GB2312" w:hAnsi="仿宋_GB2312" w:eastAsia="仿宋_GB2312" w:cs="仿宋_GB2312"/>
          <w:color w:val="auto"/>
          <w:sz w:val="30"/>
          <w:lang w:val="zh-CN"/>
        </w:rPr>
        <w:t>7.09</w:t>
      </w:r>
      <w:r>
        <w:rPr>
          <w:rFonts w:hint="eastAsia" w:ascii="仿宋_GB2312" w:eastAsia="仿宋_GB2312"/>
          <w:color w:val="auto"/>
          <w:sz w:val="30"/>
          <w:szCs w:val="30"/>
          <w:highlight w:val="none"/>
        </w:rPr>
        <w:t>%。</w:t>
      </w:r>
    </w:p>
    <w:p w14:paraId="651EDC04">
      <w:pPr>
        <w:widowControl/>
        <w:snapToGrid w:val="0"/>
        <w:spacing w:before="100" w:after="100" w:line="600" w:lineRule="exact"/>
        <w:ind w:firstLine="538"/>
        <w:jc w:val="left"/>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w:t>
      </w:r>
      <w:r>
        <w:rPr>
          <w:rFonts w:hint="eastAsia" w:ascii="仿宋_GB2312" w:eastAsia="仿宋_GB2312"/>
          <w:color w:val="auto"/>
          <w:sz w:val="30"/>
          <w:szCs w:val="30"/>
          <w:highlight w:val="none"/>
        </w:rPr>
        <w:t>收入合计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19860446.20</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186.63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eastAsia="仿宋_GB2312"/>
          <w:color w:val="auto"/>
          <w:sz w:val="30"/>
          <w:szCs w:val="30"/>
          <w:highlight w:val="none"/>
        </w:rPr>
        <w:t>财政拨款收入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18997518.03</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203.35</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上级补助收入</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元；事业收入增加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元；附属单位上缴收入增加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元；其他收入增加</w:t>
      </w:r>
      <w:r>
        <w:rPr>
          <w:rFonts w:hint="eastAsia" w:ascii="仿宋_GB2312" w:hAnsi="仿宋_GB2312" w:eastAsia="仿宋_GB2312" w:cs="仿宋_GB2312"/>
          <w:color w:val="auto"/>
          <w:sz w:val="30"/>
          <w:lang w:val="zh-CN"/>
        </w:rPr>
        <w:t>862928.17</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66.42</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w:t>
      </w:r>
      <w:r>
        <w:rPr>
          <w:rFonts w:hint="eastAsia" w:ascii="仿宋_GB2312" w:eastAsia="仿宋_GB2312"/>
          <w:color w:val="auto"/>
          <w:sz w:val="30"/>
          <w:szCs w:val="30"/>
          <w:highlight w:val="none"/>
          <w:lang w:val="en-US" w:eastAsia="zh-CN"/>
        </w:rPr>
        <w:t>2</w:t>
      </w:r>
      <w:r>
        <w:rPr>
          <w:rFonts w:hint="eastAsia" w:ascii="仿宋_GB2312" w:eastAsia="仿宋_GB2312"/>
          <w:color w:val="auto"/>
          <w:sz w:val="30"/>
          <w:szCs w:val="30"/>
          <w:highlight w:val="none"/>
          <w:lang w:eastAsia="zh-CN"/>
        </w:rPr>
        <w:t>025年华宁县职业高级中学、华宁县通红甸乡彝族苗族中心小学由于账户冻结，经费收支纳入华宁县教育体育局（本级）核算</w:t>
      </w:r>
      <w:r>
        <w:rPr>
          <w:rFonts w:hint="eastAsia" w:ascii="仿宋_GB2312" w:eastAsia="仿宋_GB2312"/>
          <w:color w:val="auto"/>
          <w:sz w:val="30"/>
          <w:szCs w:val="30"/>
          <w:highlight w:val="none"/>
        </w:rPr>
        <w:t>。</w:t>
      </w:r>
    </w:p>
    <w:p w14:paraId="12C3521C">
      <w:pPr>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二、支出决算情况说明</w:t>
      </w:r>
    </w:p>
    <w:p w14:paraId="4CB6EAF1">
      <w:pPr>
        <w:spacing w:line="600" w:lineRule="exact"/>
        <w:ind w:firstLine="600" w:firstLineChars="200"/>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华宁县教育体育局（本级）</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支出合计</w:t>
      </w:r>
      <w:r>
        <w:rPr>
          <w:rFonts w:hint="eastAsia" w:ascii="仿宋_GB2312" w:hAnsi="仿宋_GB2312" w:eastAsia="仿宋_GB2312" w:cs="仿宋_GB2312"/>
          <w:color w:val="auto"/>
          <w:sz w:val="30"/>
          <w:lang w:val="zh-CN"/>
        </w:rPr>
        <w:t>29896688.93</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。其中：</w:t>
      </w:r>
      <w:r>
        <w:rPr>
          <w:rFonts w:hint="eastAsia" w:ascii="仿宋_GB2312" w:hAnsi="宋体" w:eastAsia="仿宋_GB2312" w:cs="Arial"/>
          <w:color w:val="auto"/>
          <w:kern w:val="0"/>
          <w:sz w:val="30"/>
          <w:szCs w:val="30"/>
          <w:highlight w:val="none"/>
        </w:rPr>
        <w:t>基本支出</w:t>
      </w:r>
      <w:r>
        <w:rPr>
          <w:rFonts w:hint="eastAsia" w:ascii="仿宋_GB2312" w:hAnsi="仿宋_GB2312" w:eastAsia="仿宋_GB2312" w:cs="仿宋_GB2312"/>
          <w:color w:val="auto"/>
          <w:sz w:val="30"/>
          <w:lang w:val="zh-CN"/>
        </w:rPr>
        <w:t>14758603.68</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49.37</w:t>
      </w:r>
      <w:r>
        <w:rPr>
          <w:rFonts w:hint="eastAsia" w:ascii="仿宋_GB2312" w:hAnsi="宋体" w:eastAsia="仿宋_GB2312" w:cs="Arial"/>
          <w:color w:val="auto"/>
          <w:kern w:val="0"/>
          <w:sz w:val="30"/>
          <w:szCs w:val="30"/>
          <w:highlight w:val="none"/>
        </w:rPr>
        <w:t>％；项目支出</w:t>
      </w:r>
      <w:r>
        <w:rPr>
          <w:rFonts w:hint="eastAsia" w:ascii="仿宋_GB2312" w:hAnsi="仿宋_GB2312" w:eastAsia="仿宋_GB2312" w:cs="仿宋_GB2312"/>
          <w:color w:val="auto"/>
          <w:sz w:val="30"/>
          <w:lang w:val="zh-CN"/>
        </w:rPr>
        <w:t>15138085.25</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50.63</w:t>
      </w:r>
      <w:r>
        <w:rPr>
          <w:rFonts w:hint="eastAsia" w:ascii="仿宋_GB2312" w:hAnsi="宋体" w:eastAsia="仿宋_GB2312" w:cs="Arial"/>
          <w:color w:val="auto"/>
          <w:kern w:val="0"/>
          <w:sz w:val="30"/>
          <w:szCs w:val="30"/>
          <w:highlight w:val="none"/>
        </w:rPr>
        <w:t>％；上缴上级支出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％；经营支出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％；对附属单位补助支出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，占总支出的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w:t>
      </w:r>
    </w:p>
    <w:p w14:paraId="3ACD5FA6">
      <w:pPr>
        <w:widowControl/>
        <w:snapToGrid w:val="0"/>
        <w:spacing w:before="100" w:after="100" w:line="600" w:lineRule="exact"/>
        <w:ind w:firstLine="538"/>
        <w:jc w:val="left"/>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与上年</w:t>
      </w:r>
      <w:r>
        <w:rPr>
          <w:rFonts w:hint="eastAsia" w:ascii="仿宋_GB2312" w:eastAsia="仿宋_GB2312"/>
          <w:color w:val="auto"/>
          <w:sz w:val="30"/>
          <w:szCs w:val="30"/>
          <w:highlight w:val="none"/>
          <w:lang w:eastAsia="zh-CN"/>
        </w:rPr>
        <w:t>相比，支出</w:t>
      </w:r>
      <w:r>
        <w:rPr>
          <w:rFonts w:hint="eastAsia" w:ascii="仿宋_GB2312" w:eastAsia="仿宋_GB2312"/>
          <w:color w:val="auto"/>
          <w:sz w:val="30"/>
          <w:szCs w:val="30"/>
          <w:highlight w:val="none"/>
        </w:rPr>
        <w:t>合计</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19292025.97</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181.92</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w:t>
      </w:r>
      <w:r>
        <w:rPr>
          <w:rFonts w:hint="eastAsia" w:ascii="仿宋_GB2312" w:hAnsi="宋体" w:eastAsia="仿宋_GB2312" w:cs="Arial"/>
          <w:color w:val="auto"/>
          <w:kern w:val="0"/>
          <w:sz w:val="30"/>
          <w:szCs w:val="30"/>
          <w:highlight w:val="none"/>
        </w:rPr>
        <w:t>基本支出</w:t>
      </w:r>
      <w:r>
        <w:rPr>
          <w:rFonts w:hint="eastAsia" w:ascii="仿宋_GB2312" w:eastAsia="仿宋_GB2312"/>
          <w:color w:val="auto"/>
          <w:sz w:val="30"/>
          <w:szCs w:val="30"/>
          <w:highlight w:val="none"/>
          <w:lang w:eastAsia="zh-CN"/>
        </w:rPr>
        <w:t>增加</w:t>
      </w:r>
      <w:r>
        <w:rPr>
          <w:rFonts w:hint="eastAsia" w:ascii="仿宋_GB2312" w:hAnsi="仿宋_GB2312" w:eastAsia="仿宋_GB2312" w:cs="仿宋_GB2312"/>
          <w:color w:val="auto"/>
          <w:sz w:val="30"/>
          <w:lang w:val="zh-CN"/>
        </w:rPr>
        <w:t>7591641.47</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105.93</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；项目支出增加</w:t>
      </w:r>
      <w:r>
        <w:rPr>
          <w:rFonts w:hint="eastAsia" w:ascii="仿宋_GB2312" w:hAnsi="仿宋_GB2312" w:eastAsia="仿宋_GB2312" w:cs="仿宋_GB2312"/>
          <w:color w:val="auto"/>
          <w:sz w:val="30"/>
          <w:lang w:val="zh-CN"/>
        </w:rPr>
        <w:t>11700384.50</w:t>
      </w:r>
      <w:r>
        <w:rPr>
          <w:rFonts w:hint="eastAsia" w:ascii="仿宋_GB2312" w:eastAsia="仿宋_GB2312"/>
          <w:color w:val="auto"/>
          <w:sz w:val="30"/>
          <w:szCs w:val="30"/>
          <w:highlight w:val="none"/>
          <w:lang w:eastAsia="zh-CN"/>
        </w:rPr>
        <w:t>元，增长</w:t>
      </w:r>
      <w:r>
        <w:rPr>
          <w:rFonts w:hint="eastAsia" w:ascii="仿宋_GB2312" w:hAnsi="仿宋_GB2312" w:eastAsia="仿宋_GB2312" w:cs="仿宋_GB2312"/>
          <w:color w:val="auto"/>
          <w:sz w:val="30"/>
          <w:lang w:val="zh-CN"/>
        </w:rPr>
        <w:t>340.35</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；上缴上级支出增加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元；经营支出增加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元；对附属单位补助支出增加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主要原因</w:t>
      </w:r>
      <w:r>
        <w:rPr>
          <w:rFonts w:hint="eastAsia" w:ascii="仿宋_GB2312" w:eastAsia="仿宋_GB2312"/>
          <w:color w:val="auto"/>
          <w:sz w:val="30"/>
          <w:szCs w:val="30"/>
          <w:highlight w:val="none"/>
          <w:lang w:eastAsia="zh-CN"/>
        </w:rPr>
        <w:t>是</w:t>
      </w:r>
      <w:r>
        <w:rPr>
          <w:rFonts w:hint="eastAsia" w:ascii="仿宋_GB2312" w:eastAsia="仿宋_GB2312"/>
          <w:color w:val="auto"/>
          <w:sz w:val="30"/>
          <w:szCs w:val="30"/>
          <w:highlight w:val="none"/>
          <w:lang w:val="en-US" w:eastAsia="zh-CN"/>
        </w:rPr>
        <w:t>2</w:t>
      </w:r>
      <w:r>
        <w:rPr>
          <w:rFonts w:hint="eastAsia" w:ascii="仿宋_GB2312" w:eastAsia="仿宋_GB2312"/>
          <w:color w:val="auto"/>
          <w:sz w:val="30"/>
          <w:szCs w:val="30"/>
          <w:highlight w:val="none"/>
          <w:lang w:eastAsia="zh-CN"/>
        </w:rPr>
        <w:t>025年华宁县职业高级中学、华宁县通红甸乡彝族苗族中心小学由于账户冻结，经费收支纳入华宁县教育体育局（本级）核算</w:t>
      </w:r>
      <w:r>
        <w:rPr>
          <w:rFonts w:hint="eastAsia" w:ascii="仿宋_GB2312" w:eastAsia="仿宋_GB2312"/>
          <w:color w:val="auto"/>
          <w:sz w:val="30"/>
          <w:szCs w:val="30"/>
          <w:highlight w:val="none"/>
        </w:rPr>
        <w:t>。</w:t>
      </w:r>
    </w:p>
    <w:p w14:paraId="7DA42D3E">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（一）基本支出情况</w:t>
      </w:r>
    </w:p>
    <w:p w14:paraId="4F37F888">
      <w:pPr>
        <w:widowControl/>
        <w:snapToGrid w:val="0"/>
        <w:spacing w:before="100" w:after="100" w:line="600" w:lineRule="exact"/>
        <w:ind w:firstLine="538"/>
        <w:jc w:val="left"/>
        <w:rPr>
          <w:rFonts w:hint="eastAsia" w:ascii="仿宋_GB2312" w:eastAsia="仿宋_GB2312"/>
          <w:color w:val="auto"/>
          <w:sz w:val="30"/>
          <w:szCs w:val="30"/>
          <w:highlight w:val="none"/>
        </w:rPr>
      </w:pPr>
      <w:r>
        <w:rPr>
          <w:rFonts w:hint="eastAsia" w:ascii="仿宋_GB2312" w:hAnsi="仿宋_GB2312" w:eastAsia="仿宋_GB2312" w:cs="仿宋_GB2312"/>
          <w:color w:val="auto"/>
          <w:sz w:val="30"/>
          <w:szCs w:val="30"/>
          <w:highlight w:val="none"/>
          <w:lang w:val="en-US" w:eastAsia="zh-CN"/>
        </w:rPr>
        <w:t>2025年度</w:t>
      </w:r>
      <w:r>
        <w:rPr>
          <w:rFonts w:hint="eastAsia" w:ascii="仿宋_GB2312" w:hAnsi="仿宋_GB2312" w:eastAsia="仿宋_GB2312" w:cs="仿宋_GB2312"/>
          <w:color w:val="auto"/>
          <w:sz w:val="30"/>
          <w:szCs w:val="30"/>
          <w:highlight w:val="none"/>
        </w:rPr>
        <w:t>用于保障</w:t>
      </w:r>
      <w:r>
        <w:rPr>
          <w:rFonts w:hint="eastAsia" w:ascii="仿宋_GB2312" w:hAnsi="仿宋_GB2312" w:eastAsia="仿宋_GB2312" w:cs="仿宋_GB2312"/>
          <w:color w:val="auto"/>
          <w:sz w:val="30"/>
          <w:lang w:val="zh-CN"/>
        </w:rPr>
        <w:t>华宁县教育体育局（本级）</w:t>
      </w:r>
      <w:r>
        <w:rPr>
          <w:rFonts w:hint="eastAsia" w:ascii="仿宋_GB2312" w:hAnsi="仿宋_GB2312" w:eastAsia="仿宋_GB2312" w:cs="仿宋_GB2312"/>
          <w:color w:val="auto"/>
          <w:sz w:val="30"/>
          <w:szCs w:val="30"/>
          <w:highlight w:val="none"/>
        </w:rPr>
        <w:t>机构正常运转的日常支出</w:t>
      </w:r>
      <w:r>
        <w:rPr>
          <w:rFonts w:hint="eastAsia" w:ascii="仿宋_GB2312" w:hAnsi="仿宋_GB2312" w:eastAsia="仿宋_GB2312" w:cs="仿宋_GB2312"/>
          <w:color w:val="auto"/>
          <w:sz w:val="30"/>
          <w:lang w:val="zh-CN"/>
        </w:rPr>
        <w:t>14758603.68</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w:t>
      </w:r>
      <w:r>
        <w:rPr>
          <w:rFonts w:hint="eastAsia" w:ascii="仿宋_GB2312" w:hAnsi="仿宋_GB2312" w:eastAsia="仿宋_GB2312" w:cs="仿宋_GB2312"/>
          <w:color w:val="auto"/>
          <w:sz w:val="30"/>
          <w:szCs w:val="30"/>
          <w:highlight w:val="none"/>
          <w:lang w:eastAsia="zh-CN"/>
        </w:rPr>
        <w:t>其中：</w:t>
      </w:r>
      <w:r>
        <w:rPr>
          <w:rFonts w:hint="eastAsia" w:ascii="仿宋_GB2312" w:hAnsi="仿宋_GB2312" w:eastAsia="仿宋_GB2312" w:cs="仿宋_GB2312"/>
          <w:color w:val="auto"/>
          <w:sz w:val="30"/>
          <w:szCs w:val="30"/>
          <w:highlight w:val="none"/>
        </w:rPr>
        <w:t>基本工资、津贴补贴等人员经费支出</w:t>
      </w:r>
      <w:r>
        <w:rPr>
          <w:rFonts w:hint="eastAsia" w:ascii="仿宋_GB2312" w:hAnsi="仿宋_GB2312" w:eastAsia="仿宋_GB2312" w:cs="仿宋_GB2312"/>
          <w:color w:val="auto"/>
          <w:sz w:val="30"/>
          <w:lang w:val="zh-CN"/>
        </w:rPr>
        <w:t>13762490.84</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93.25</w:t>
      </w:r>
      <w:r>
        <w:rPr>
          <w:rFonts w:hint="eastAsia" w:ascii="仿宋_GB2312" w:hAnsi="仿宋_GB2312" w:eastAsia="仿宋_GB2312" w:cs="仿宋_GB2312"/>
          <w:color w:val="auto"/>
          <w:sz w:val="30"/>
          <w:szCs w:val="30"/>
          <w:highlight w:val="none"/>
        </w:rPr>
        <w:t>％；办公费、印刷费、水电费、办公设备购置等公用经费</w:t>
      </w:r>
      <w:r>
        <w:rPr>
          <w:rFonts w:hint="eastAsia" w:ascii="仿宋_GB2312" w:hAnsi="仿宋_GB2312" w:eastAsia="仿宋_GB2312" w:cs="仿宋_GB2312"/>
          <w:color w:val="auto"/>
          <w:sz w:val="30"/>
          <w:lang w:val="zh-CN"/>
        </w:rPr>
        <w:t>996112.84</w:t>
      </w:r>
      <w:r>
        <w:rPr>
          <w:rFonts w:hint="eastAsia" w:ascii="仿宋_GB2312" w:hAnsi="仿宋_GB2312" w:eastAsia="仿宋_GB2312" w:cs="仿宋_GB2312"/>
          <w:color w:val="auto"/>
          <w:sz w:val="30"/>
          <w:szCs w:val="30"/>
          <w:highlight w:val="none"/>
          <w:lang w:eastAsia="zh-CN"/>
        </w:rPr>
        <w:t>元，</w:t>
      </w:r>
      <w:r>
        <w:rPr>
          <w:rFonts w:hint="eastAsia" w:ascii="仿宋_GB2312" w:hAnsi="仿宋_GB2312" w:eastAsia="仿宋_GB2312" w:cs="仿宋_GB2312"/>
          <w:color w:val="auto"/>
          <w:sz w:val="30"/>
          <w:szCs w:val="30"/>
          <w:highlight w:val="none"/>
        </w:rPr>
        <w:t>占基本支出的</w:t>
      </w:r>
      <w:r>
        <w:rPr>
          <w:rFonts w:hint="eastAsia" w:ascii="仿宋_GB2312" w:hAnsi="仿宋_GB2312" w:eastAsia="仿宋_GB2312" w:cs="仿宋_GB2312"/>
          <w:color w:val="auto"/>
          <w:sz w:val="30"/>
          <w:lang w:val="zh-CN"/>
        </w:rPr>
        <w:t>6.75</w:t>
      </w:r>
      <w:r>
        <w:rPr>
          <w:rFonts w:hint="eastAsia" w:ascii="仿宋_GB2312" w:hAnsi="仿宋_GB2312" w:eastAsia="仿宋_GB2312" w:cs="仿宋_GB2312"/>
          <w:color w:val="auto"/>
          <w:sz w:val="30"/>
          <w:szCs w:val="30"/>
          <w:highlight w:val="none"/>
        </w:rPr>
        <w:t>％。</w:t>
      </w:r>
    </w:p>
    <w:p w14:paraId="1CA9E4E4">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（二）项目支出情况</w:t>
      </w:r>
    </w:p>
    <w:p w14:paraId="34AAC5EA">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用于保障</w:t>
      </w:r>
      <w:r>
        <w:rPr>
          <w:rFonts w:hint="eastAsia" w:ascii="仿宋_GB2312" w:hAnsi="仿宋_GB2312" w:eastAsia="仿宋_GB2312" w:cs="仿宋_GB2312"/>
          <w:color w:val="auto"/>
          <w:sz w:val="30"/>
          <w:lang w:val="zh-CN"/>
        </w:rPr>
        <w:t>华宁县教育体育局（本级）</w:t>
      </w:r>
      <w:r>
        <w:rPr>
          <w:rFonts w:hint="eastAsia" w:ascii="仿宋_GB2312" w:eastAsia="仿宋_GB2312"/>
          <w:color w:val="auto"/>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15138085.25</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p>
    <w:p w14:paraId="69EC6008">
      <w:pPr>
        <w:keepNext w:val="0"/>
        <w:keepLines w:val="0"/>
        <w:pageBreakBefore w:val="0"/>
        <w:widowControl/>
        <w:numPr>
          <w:ilvl w:val="0"/>
          <w:numId w:val="1"/>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华宁县2022至2024年助学贷款奖补资金300000.00元</w:t>
      </w:r>
      <w:r>
        <w:rPr>
          <w:rFonts w:hint="eastAsia" w:ascii="仿宋_GB2312" w:eastAsia="仿宋_GB2312"/>
          <w:color w:val="auto"/>
          <w:sz w:val="30"/>
          <w:szCs w:val="30"/>
          <w:highlight w:val="none"/>
        </w:rPr>
        <w:t>，主要用于高中及以上阶段各项国家资助政策近观规定得到落实；2、满足家庭经洋为中用困难学生基本学习生活需要，学生和家长满意度不断提高，实现不让一个学生因家庭经济困难而失学；2025年计划支付30万元，2022-2024年共资助150人，其中：2022年51人、2023年54人、2024年45人。</w:t>
      </w:r>
    </w:p>
    <w:p w14:paraId="46AB68D3">
      <w:pPr>
        <w:keepNext w:val="0"/>
        <w:keepLines w:val="0"/>
        <w:pageBreakBefore w:val="0"/>
        <w:widowControl/>
        <w:numPr>
          <w:ilvl w:val="0"/>
          <w:numId w:val="0"/>
        </w:numPr>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rPr>
      </w:pPr>
      <w:r>
        <w:rPr>
          <w:rFonts w:hint="eastAsia" w:ascii="仿宋_GB2312" w:eastAsia="仿宋_GB2312"/>
          <w:color w:val="auto"/>
          <w:sz w:val="30"/>
          <w:szCs w:val="30"/>
          <w:highlight w:val="none"/>
          <w:lang w:val="en-US" w:eastAsia="zh-CN"/>
        </w:rPr>
        <w:t>2.华宁县2023年国民体质专项经费65900.00元</w:t>
      </w:r>
      <w:r>
        <w:rPr>
          <w:rFonts w:hint="eastAsia" w:ascii="仿宋_GB2312" w:eastAsia="仿宋_GB2312"/>
          <w:color w:val="auto"/>
          <w:sz w:val="30"/>
          <w:szCs w:val="30"/>
          <w:highlight w:val="none"/>
        </w:rPr>
        <w:t>，主要用于增强人民群众健身意识，普及全民健身项目和方法。打造品牌群众活动赛事、开展全民健身活动及国民体质抽样调查，测试人群年龄段为3—69岁，结果运用为健康县城建设的依据。总体目标：完成2960人测试。</w:t>
      </w:r>
    </w:p>
    <w:p w14:paraId="220EF8FE">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color w:val="auto"/>
          <w:sz w:val="30"/>
          <w:szCs w:val="30"/>
          <w:highlight w:val="none"/>
          <w:lang w:val="en-US" w:eastAsia="zh-CN"/>
        </w:rPr>
      </w:pPr>
      <w:r>
        <w:rPr>
          <w:rFonts w:hint="eastAsia" w:ascii="仿宋_GB2312" w:eastAsia="仿宋_GB2312"/>
          <w:color w:val="auto"/>
          <w:sz w:val="30"/>
          <w:szCs w:val="30"/>
          <w:highlight w:val="none"/>
          <w:lang w:val="en-US" w:eastAsia="zh-CN"/>
        </w:rPr>
        <w:t>3.华宁县教育体育局化解债务专项资金610000.00元，用于支付华宁县中小学校安工程暨美丽100项目审计服务费、购置音乐教材货物及云南省第十六届运动会射弩比赛场馆修缮及体育场日常维护债务资金。</w:t>
      </w:r>
    </w:p>
    <w:p w14:paraId="650F6B99">
      <w:pPr>
        <w:widowControl/>
        <w:snapToGrid w:val="0"/>
        <w:spacing w:before="100" w:after="100" w:line="600" w:lineRule="exact"/>
        <w:ind w:firstLine="600" w:firstLineChars="200"/>
        <w:jc w:val="left"/>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具体详见</w:t>
      </w:r>
      <w:r>
        <w:rPr>
          <w:rFonts w:hint="eastAsia" w:ascii="仿宋_GB2312" w:eastAsia="仿宋_GB2312"/>
          <w:color w:val="auto"/>
          <w:sz w:val="30"/>
          <w:szCs w:val="30"/>
          <w:highlight w:val="none"/>
        </w:rPr>
        <w:t>项目绩效自评表</w:t>
      </w:r>
      <w:r>
        <w:rPr>
          <w:rFonts w:hint="eastAsia" w:ascii="仿宋_GB2312" w:eastAsia="仿宋_GB2312"/>
          <w:color w:val="auto"/>
          <w:sz w:val="30"/>
          <w:szCs w:val="30"/>
          <w:highlight w:val="none"/>
          <w:lang w:eastAsia="zh-CN"/>
        </w:rPr>
        <w:t>。</w:t>
      </w:r>
    </w:p>
    <w:p w14:paraId="5A8F01E9">
      <w:pPr>
        <w:widowControl/>
        <w:snapToGrid w:val="0"/>
        <w:spacing w:before="100" w:after="100" w:line="600" w:lineRule="exact"/>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三、一般公共预算财政拨款支出决算情况说明</w:t>
      </w:r>
    </w:p>
    <w:p w14:paraId="0BE72DDD">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（一）一般公共预算财政拨款支出决算总体情况</w:t>
      </w:r>
    </w:p>
    <w:p w14:paraId="08B093DA">
      <w:pPr>
        <w:widowControl/>
        <w:snapToGrid w:val="0"/>
        <w:spacing w:before="100" w:after="100" w:line="600" w:lineRule="exact"/>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sz w:val="30"/>
          <w:lang w:val="zh-CN"/>
        </w:rPr>
        <w:t>华宁县教育体育局（本级）</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一般公共预算财政拨款支出</w:t>
      </w:r>
      <w:r>
        <w:rPr>
          <w:rFonts w:hint="eastAsia" w:ascii="仿宋_GB2312" w:hAnsi="仿宋_GB2312" w:eastAsia="仿宋_GB2312" w:cs="仿宋_GB2312"/>
          <w:color w:val="auto"/>
          <w:kern w:val="0"/>
          <w:sz w:val="30"/>
          <w:lang w:val="zh-CN"/>
        </w:rPr>
        <w:t>25687016.96</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,占本年支出合计的</w:t>
      </w:r>
      <w:r>
        <w:rPr>
          <w:rFonts w:hint="eastAsia" w:ascii="仿宋_GB2312" w:hAnsi="仿宋_GB2312" w:eastAsia="仿宋_GB2312" w:cs="仿宋_GB2312"/>
          <w:color w:val="auto"/>
          <w:sz w:val="30"/>
          <w:lang w:val="zh-CN"/>
        </w:rPr>
        <w:t>85.92</w:t>
      </w:r>
      <w:r>
        <w:rPr>
          <w:rFonts w:hint="eastAsia" w:ascii="仿宋_GB2312" w:hAnsi="宋体" w:eastAsia="仿宋_GB2312" w:cs="Arial"/>
          <w:color w:val="auto"/>
          <w:kern w:val="0"/>
          <w:sz w:val="30"/>
          <w:szCs w:val="30"/>
          <w:highlight w:val="none"/>
        </w:rPr>
        <w:t>%。与上年</w:t>
      </w:r>
      <w:r>
        <w:rPr>
          <w:rFonts w:hint="eastAsia" w:ascii="仿宋_GB2312" w:hAnsi="宋体" w:eastAsia="仿宋_GB2312" w:cs="Arial"/>
          <w:color w:val="auto"/>
          <w:kern w:val="0"/>
          <w:sz w:val="30"/>
          <w:szCs w:val="30"/>
          <w:highlight w:val="none"/>
          <w:lang w:eastAsia="zh-CN"/>
        </w:rPr>
        <w:t>相比</w:t>
      </w:r>
      <w:r>
        <w:rPr>
          <w:rFonts w:hint="eastAsia" w:ascii="仿宋_GB2312" w:hAnsi="宋体" w:eastAsia="仿宋_GB2312" w:cs="Arial"/>
          <w:color w:val="auto"/>
          <w:kern w:val="0"/>
          <w:sz w:val="30"/>
          <w:szCs w:val="30"/>
          <w:highlight w:val="none"/>
        </w:rPr>
        <w:t>增加</w:t>
      </w:r>
      <w:r>
        <w:rPr>
          <w:rFonts w:hint="eastAsia" w:ascii="仿宋_GB2312" w:hAnsi="仿宋_GB2312" w:eastAsia="仿宋_GB2312" w:cs="仿宋_GB2312"/>
          <w:color w:val="auto"/>
          <w:kern w:val="0"/>
          <w:sz w:val="30"/>
          <w:lang w:val="zh-CN"/>
        </w:rPr>
        <w:t>16851959.19</w:t>
      </w:r>
      <w:r>
        <w:rPr>
          <w:rFonts w:hint="eastAsia" w:ascii="仿宋_GB2312" w:hAnsi="宋体" w:eastAsia="仿宋_GB2312" w:cs="Arial"/>
          <w:color w:val="auto"/>
          <w:kern w:val="0"/>
          <w:sz w:val="30"/>
          <w:szCs w:val="30"/>
          <w:highlight w:val="none"/>
        </w:rPr>
        <w:t>元，增长</w:t>
      </w:r>
      <w:r>
        <w:rPr>
          <w:rFonts w:hint="eastAsia" w:ascii="仿宋_GB2312" w:hAnsi="仿宋_GB2312" w:eastAsia="仿宋_GB2312" w:cs="仿宋_GB2312"/>
          <w:color w:val="auto"/>
          <w:kern w:val="0"/>
          <w:sz w:val="30"/>
          <w:lang w:val="zh-CN"/>
        </w:rPr>
        <w:t>190.74</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sz w:val="30"/>
          <w:lang w:val="zh-CN"/>
        </w:rPr>
        <w:t>133.27</w:t>
      </w:r>
      <w:r>
        <w:rPr>
          <w:rFonts w:hint="eastAsia" w:ascii="仿宋_GB2312" w:eastAsia="仿宋_GB2312"/>
          <w:color w:val="auto"/>
          <w:sz w:val="30"/>
          <w:szCs w:val="30"/>
          <w:highlight w:val="none"/>
          <w:lang w:val="en-US" w:eastAsia="zh-CN"/>
        </w:rPr>
        <w:t>%</w:t>
      </w:r>
      <w:r>
        <w:rPr>
          <w:rFonts w:hint="eastAsia" w:ascii="仿宋_GB2312" w:hAnsi="宋体" w:eastAsia="仿宋_GB2312" w:cs="Arial"/>
          <w:color w:val="auto"/>
          <w:kern w:val="0"/>
          <w:sz w:val="30"/>
          <w:szCs w:val="30"/>
          <w:highlight w:val="none"/>
        </w:rPr>
        <w:t>。</w:t>
      </w:r>
    </w:p>
    <w:p w14:paraId="6A6FCA72">
      <w:pPr>
        <w:widowControl/>
        <w:snapToGrid w:val="0"/>
        <w:spacing w:before="100" w:after="100" w:line="600" w:lineRule="exact"/>
        <w:ind w:firstLine="600" w:firstLineChars="200"/>
        <w:jc w:val="left"/>
        <w:outlineLvl w:val="2"/>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（二）一般公共预算财政拨款支出决算</w:t>
      </w:r>
      <w:r>
        <w:rPr>
          <w:rFonts w:hint="eastAsia" w:ascii="楷体" w:hAnsi="楷体" w:eastAsia="楷体"/>
          <w:color w:val="auto"/>
          <w:sz w:val="30"/>
          <w:szCs w:val="30"/>
          <w:highlight w:val="none"/>
          <w:lang w:eastAsia="zh-CN"/>
        </w:rPr>
        <w:t>分功能分类科目情况</w:t>
      </w:r>
      <w:r>
        <w:rPr>
          <w:rFonts w:hint="eastAsia" w:ascii="楷体" w:hAnsi="楷体" w:eastAsia="楷体"/>
          <w:color w:val="auto"/>
          <w:sz w:val="30"/>
          <w:szCs w:val="30"/>
          <w:highlight w:val="none"/>
        </w:rPr>
        <w:tab/>
      </w:r>
    </w:p>
    <w:p w14:paraId="5B79891F">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hAnsi="宋体" w:eastAsia="仿宋_GB2312" w:cs="Arial"/>
          <w:color w:val="auto"/>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eastAsia="仿宋_GB2312"/>
          <w:color w:val="auto"/>
          <w:sz w:val="30"/>
          <w:szCs w:val="30"/>
          <w:highlight w:val="none"/>
        </w:rPr>
        <w:t>。</w:t>
      </w:r>
    </w:p>
    <w:p w14:paraId="6AA26878">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6551A69">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宋体" w:eastAsia="仿宋_GB2312" w:cs="Arial"/>
          <w:color w:val="auto"/>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2DE471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31D2D0A">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宋体" w:eastAsia="仿宋_GB2312" w:cs="Arial"/>
          <w:color w:val="auto"/>
          <w:kern w:val="0"/>
          <w:sz w:val="30"/>
          <w:szCs w:val="30"/>
          <w:highlight w:val="none"/>
          <w:lang w:val="en-US"/>
        </w:rPr>
        <w:t>5.教育（类）支出</w:t>
      </w:r>
      <w:r>
        <w:rPr>
          <w:rFonts w:hint="eastAsia" w:ascii="仿宋_GB2312" w:hAnsi="宋体" w:eastAsia="仿宋_GB2312" w:cs="Arial"/>
          <w:color w:val="auto"/>
          <w:kern w:val="0"/>
          <w:sz w:val="30"/>
          <w:szCs w:val="30"/>
          <w:highlight w:val="none"/>
          <w:lang w:val="en-US" w:eastAsia="zh-CN"/>
        </w:rPr>
        <w:t>13711285.51</w:t>
      </w:r>
      <w:r>
        <w:rPr>
          <w:rFonts w:hint="eastAsia" w:ascii="仿宋_GB2312" w:hAnsi="宋体" w:eastAsia="仿宋_GB2312" w:cs="Arial"/>
          <w:color w:val="auto"/>
          <w:kern w:val="0"/>
          <w:sz w:val="30"/>
          <w:szCs w:val="30"/>
          <w:highlight w:val="none"/>
          <w:lang w:val="en-US"/>
        </w:rPr>
        <w:t>元，占一般公共预算财政拨款总支出的</w:t>
      </w:r>
      <w:r>
        <w:rPr>
          <w:rFonts w:hint="eastAsia" w:ascii="仿宋_GB2312" w:hAnsi="宋体" w:eastAsia="仿宋_GB2312" w:cs="Arial"/>
          <w:color w:val="auto"/>
          <w:kern w:val="0"/>
          <w:sz w:val="30"/>
          <w:szCs w:val="30"/>
          <w:highlight w:val="none"/>
          <w:lang w:val="en-US" w:eastAsia="zh-CN"/>
        </w:rPr>
        <w:t>53.38</w:t>
      </w:r>
      <w:r>
        <w:rPr>
          <w:rFonts w:hint="eastAsia" w:ascii="仿宋_GB2312" w:hAnsi="宋体" w:eastAsia="仿宋_GB2312" w:cs="Arial"/>
          <w:color w:val="auto"/>
          <w:kern w:val="0"/>
          <w:sz w:val="30"/>
          <w:szCs w:val="30"/>
          <w:highlight w:val="none"/>
          <w:lang w:val="en-US"/>
        </w:rPr>
        <w:t>%</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宋体" w:eastAsia="仿宋_GB2312" w:cs="Arial"/>
          <w:color w:val="auto"/>
          <w:kern w:val="0"/>
          <w:sz w:val="30"/>
          <w:szCs w:val="30"/>
          <w:highlight w:val="none"/>
          <w:lang w:val="zh-CN"/>
        </w:rPr>
        <w:t>79.14</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。主要用于</w:t>
      </w:r>
      <w:r>
        <w:rPr>
          <w:rFonts w:hint="eastAsia" w:ascii="仿宋_GB2312" w:hAnsi="宋体" w:eastAsia="仿宋_GB2312" w:cs="Arial"/>
          <w:color w:val="auto"/>
          <w:kern w:val="0"/>
          <w:sz w:val="30"/>
          <w:szCs w:val="30"/>
          <w:highlight w:val="none"/>
          <w:lang w:eastAsia="zh-CN"/>
        </w:rPr>
        <w:t>行政运行6,153,259.74元， 一般行政管理事务102,400.00元，学前教育331,800.00元，小学教育3,656,311.8</w:t>
      </w:r>
      <w:r>
        <w:rPr>
          <w:rFonts w:hint="eastAsia" w:ascii="仿宋_GB2312" w:hAnsi="宋体" w:eastAsia="仿宋_GB2312" w:cs="Arial"/>
          <w:color w:val="auto"/>
          <w:kern w:val="0"/>
          <w:sz w:val="30"/>
          <w:szCs w:val="30"/>
          <w:highlight w:val="none"/>
          <w:lang w:val="en-US" w:eastAsia="zh-CN"/>
        </w:rPr>
        <w:t>2</w:t>
      </w:r>
      <w:r>
        <w:rPr>
          <w:rFonts w:hint="eastAsia" w:ascii="仿宋_GB2312" w:hAnsi="宋体" w:eastAsia="仿宋_GB2312" w:cs="Arial"/>
          <w:color w:val="auto"/>
          <w:kern w:val="0"/>
          <w:sz w:val="30"/>
          <w:szCs w:val="30"/>
          <w:highlight w:val="none"/>
          <w:lang w:eastAsia="zh-CN"/>
        </w:rPr>
        <w:t>元，高中教育395,000.00元， 中等职业教育2,405,287.95元，中等职业学校教学设施150,000.00元，其他教育费附加安排的支出517,226.00元。</w:t>
      </w:r>
    </w:p>
    <w:p w14:paraId="5617B3FA">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6A2C2846">
      <w:pPr>
        <w:ind w:firstLine="600" w:firstLineChars="200"/>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2680397.18</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10.43</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rPr>
        <w:t>主要用于</w:t>
      </w:r>
      <w:r>
        <w:rPr>
          <w:rFonts w:hint="eastAsia" w:ascii="仿宋_GB2312" w:hAnsi="仿宋_GB2312" w:eastAsia="仿宋_GB2312" w:cs="仿宋_GB2312"/>
          <w:color w:val="auto"/>
          <w:sz w:val="30"/>
          <w:lang w:val="en-US" w:eastAsia="zh-CN"/>
        </w:rPr>
        <w:t>体育场馆2,614,497.18元，其他体育支出65,900.00元。</w:t>
      </w:r>
    </w:p>
    <w:p w14:paraId="70F594E6">
      <w:pPr>
        <w:ind w:firstLine="600" w:firstLineChars="200"/>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3280587.42</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12.77</w:t>
      </w:r>
      <w:r>
        <w:rPr>
          <w:rFonts w:hint="eastAsia" w:ascii="仿宋_GB2312" w:hAnsi="仿宋_GB2312" w:eastAsia="仿宋_GB2312" w:cs="仿宋_GB2312"/>
          <w:color w:val="auto"/>
          <w:sz w:val="30"/>
          <w:lang w:val="en-US"/>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410.61</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主要用于机关事业单位基本养老保险缴费支出2,892,906.56元，机关事业单位职业年金缴费支出342,308.86元，死亡抚恤45,372.00元。</w:t>
      </w:r>
    </w:p>
    <w:p w14:paraId="63A07E53">
      <w:pPr>
        <w:widowControl/>
        <w:snapToGrid w:val="0"/>
        <w:spacing w:before="100" w:after="100" w:line="360" w:lineRule="auto"/>
        <w:ind w:firstLine="600" w:firstLineChars="200"/>
        <w:jc w:val="left"/>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2454907.85</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9.56</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421.50</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eastAsia="仿宋_GB2312"/>
          <w:color w:val="auto"/>
          <w:sz w:val="30"/>
          <w:szCs w:val="30"/>
          <w:highlight w:val="none"/>
          <w:lang w:eastAsia="zh-CN"/>
        </w:rPr>
        <w:t>行政单位医疗372,850.76元， 事业单位医疗1,111,027.69元，公务员医疗补助843,865.15元，其他行政事业单位医疗支出127,164.25元 。</w:t>
      </w:r>
    </w:p>
    <w:p w14:paraId="1DAD27AD">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E554A9A">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2A6234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137AA89">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D74452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310D75C">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99909E3">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4C26576">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9057309">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8C09876">
      <w:pPr>
        <w:ind w:firstLine="600" w:firstLineChars="200"/>
        <w:rPr>
          <w:rFonts w:hint="eastAsia" w:ascii="仿宋_GB2312" w:eastAsia="仿宋_GB2312"/>
          <w:color w:val="auto"/>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3559839.00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13.86</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完成年初预算的</w:t>
      </w:r>
      <w:r>
        <w:rPr>
          <w:rFonts w:hint="eastAsia" w:ascii="仿宋_GB2312" w:hAnsi="仿宋_GB2312" w:eastAsia="仿宋_GB2312" w:cs="仿宋_GB2312"/>
          <w:color w:val="auto"/>
          <w:kern w:val="0"/>
          <w:sz w:val="30"/>
          <w:lang w:val="zh-CN"/>
        </w:rPr>
        <w:t>626.37</w:t>
      </w:r>
      <w:r>
        <w:rPr>
          <w:rFonts w:hint="eastAsia" w:ascii="仿宋_GB2312" w:eastAsia="仿宋_GB2312"/>
          <w:color w:val="auto"/>
          <w:sz w:val="30"/>
          <w:szCs w:val="30"/>
          <w:highlight w:val="none"/>
          <w:lang w:val="en-US" w:eastAsia="zh-CN"/>
        </w:rPr>
        <w:t>%</w:t>
      </w:r>
      <w:r>
        <w:rPr>
          <w:rFonts w:hint="eastAsia" w:ascii="仿宋_GB2312" w:eastAsia="仿宋_GB2312"/>
          <w:color w:val="auto"/>
          <w:sz w:val="30"/>
          <w:szCs w:val="30"/>
          <w:highlight w:val="none"/>
        </w:rPr>
        <w:t>。</w:t>
      </w:r>
      <w:r>
        <w:rPr>
          <w:rFonts w:hint="eastAsia" w:ascii="仿宋_GB2312" w:hAnsi="宋体" w:eastAsia="仿宋_GB2312" w:cs="Arial"/>
          <w:color w:val="auto"/>
          <w:kern w:val="0"/>
          <w:sz w:val="30"/>
          <w:szCs w:val="30"/>
          <w:highlight w:val="none"/>
        </w:rPr>
        <w:t>主要用于</w:t>
      </w:r>
      <w:r>
        <w:rPr>
          <w:rFonts w:hint="eastAsia" w:ascii="仿宋_GB2312" w:eastAsia="仿宋_GB2312"/>
          <w:color w:val="auto"/>
          <w:sz w:val="30"/>
          <w:szCs w:val="30"/>
          <w:highlight w:val="none"/>
          <w:lang w:eastAsia="zh-CN"/>
        </w:rPr>
        <w:t>住房公积金1,979,839.00元，其他城乡社区住宅支出1,580,000.00元。</w:t>
      </w:r>
    </w:p>
    <w:p w14:paraId="32AD9984">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A46666C">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2FF1D94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37C7797E">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75C2FBA9">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07748392">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5AD5D18B">
      <w:pPr>
        <w:widowControl/>
        <w:snapToGrid w:val="0"/>
        <w:spacing w:before="100" w:after="100" w:line="360" w:lineRule="auto"/>
        <w:ind w:firstLine="600" w:firstLineChars="200"/>
        <w:jc w:val="left"/>
        <w:rPr>
          <w:rFonts w:hint="eastAsia" w:ascii="仿宋_GB2312" w:hAnsi="宋体" w:eastAsia="仿宋_GB2312" w:cs="Arial"/>
          <w:color w:val="auto"/>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hAnsi="宋体" w:eastAsia="仿宋_GB2312" w:cs="Arial"/>
          <w:color w:val="auto"/>
          <w:kern w:val="0"/>
          <w:sz w:val="30"/>
          <w:szCs w:val="30"/>
          <w:highlight w:val="none"/>
        </w:rPr>
        <w:t>，</w:t>
      </w:r>
      <w:r>
        <w:rPr>
          <w:rFonts w:hint="eastAsia" w:ascii="仿宋_GB2312" w:eastAsia="仿宋_GB2312"/>
          <w:color w:val="auto"/>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年初无此项预算</w:t>
      </w:r>
      <w:r>
        <w:rPr>
          <w:rFonts w:hint="eastAsia" w:ascii="仿宋_GB2312" w:hAnsi="宋体" w:eastAsia="仿宋_GB2312" w:cs="Arial"/>
          <w:color w:val="auto"/>
          <w:kern w:val="0"/>
          <w:sz w:val="30"/>
          <w:szCs w:val="30"/>
          <w:highlight w:val="none"/>
          <w:lang w:eastAsia="zh-CN"/>
        </w:rPr>
        <w:t>。</w:t>
      </w:r>
    </w:p>
    <w:p w14:paraId="4CBBA24C">
      <w:pPr>
        <w:widowControl/>
        <w:numPr>
          <w:ilvl w:val="0"/>
          <w:numId w:val="2"/>
        </w:numPr>
        <w:snapToGrid w:val="0"/>
        <w:spacing w:before="100" w:after="100" w:line="360" w:lineRule="auto"/>
        <w:ind w:firstLine="600" w:firstLineChars="200"/>
        <w:jc w:val="left"/>
        <w:outlineLvl w:val="1"/>
        <w:rPr>
          <w:rFonts w:hint="eastAsia" w:ascii="黑体" w:hAnsi="黑体" w:eastAsia="黑体"/>
          <w:color w:val="auto"/>
          <w:sz w:val="30"/>
          <w:szCs w:val="30"/>
          <w:highlight w:val="none"/>
        </w:rPr>
      </w:pPr>
      <w:r>
        <w:rPr>
          <w:rFonts w:hint="eastAsia" w:ascii="黑体" w:hAnsi="黑体" w:eastAsia="黑体"/>
          <w:color w:val="auto"/>
          <w:sz w:val="30"/>
          <w:szCs w:val="30"/>
          <w:highlight w:val="none"/>
        </w:rPr>
        <w:t>财政拨款“三公”经费支出决算情况说明</w:t>
      </w:r>
    </w:p>
    <w:p w14:paraId="42848FCA">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（一）总体情况</w:t>
      </w:r>
    </w:p>
    <w:p w14:paraId="146F779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lang w:val="en-US" w:eastAsia="zh-CN"/>
        </w:rPr>
        <w:t>2025年度</w:t>
      </w:r>
      <w:r>
        <w:rPr>
          <w:rFonts w:hint="eastAsia" w:ascii="仿宋_GB2312" w:hAnsi="宋体" w:eastAsia="仿宋_GB2312" w:cs="Arial"/>
          <w:color w:val="auto"/>
          <w:kern w:val="0"/>
          <w:sz w:val="30"/>
          <w:szCs w:val="30"/>
          <w:highlight w:val="none"/>
        </w:rPr>
        <w:t>财政拨款“三公”经费支出决算中，财政拨款“三公”经费支出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kern w:val="0"/>
          <w:sz w:val="30"/>
          <w:lang w:val="en-US" w:eastAsia="zh-CN"/>
        </w:rPr>
        <w:t>36000.00</w:t>
      </w:r>
      <w:r>
        <w:rPr>
          <w:rFonts w:hint="eastAsia" w:ascii="仿宋_GB2312" w:hAnsi="宋体" w:eastAsia="仿宋_GB2312" w:cs="Arial"/>
          <w:color w:val="auto"/>
          <w:kern w:val="0"/>
          <w:sz w:val="30"/>
          <w:szCs w:val="30"/>
          <w:highlight w:val="none"/>
        </w:rPr>
        <w:t>元，决算为</w:t>
      </w:r>
      <w:r>
        <w:rPr>
          <w:rFonts w:hint="eastAsia" w:ascii="仿宋_GB2312" w:hAnsi="仿宋_GB2312" w:eastAsia="仿宋_GB2312" w:cs="仿宋_GB2312"/>
          <w:color w:val="auto"/>
          <w:sz w:val="30"/>
          <w:lang w:val="zh-CN"/>
        </w:rPr>
        <w:t>18993.00</w:t>
      </w:r>
      <w:r>
        <w:rPr>
          <w:rFonts w:hint="eastAsia" w:ascii="仿宋_GB2312" w:hAnsi="宋体" w:eastAsia="仿宋_GB2312" w:cs="Arial"/>
          <w:color w:val="auto"/>
          <w:kern w:val="0"/>
          <w:sz w:val="30"/>
          <w:szCs w:val="30"/>
          <w:highlight w:val="none"/>
        </w:rPr>
        <w:t>元，完成</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预算的</w:t>
      </w:r>
      <w:r>
        <w:rPr>
          <w:rFonts w:hint="eastAsia" w:ascii="仿宋_GB2312" w:hAnsi="仿宋_GB2312" w:eastAsia="仿宋_GB2312" w:cs="仿宋_GB2312"/>
          <w:color w:val="auto"/>
          <w:sz w:val="30"/>
          <w:lang w:val="zh-CN"/>
        </w:rPr>
        <w:t>52.76</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3062.64</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19.23</w:t>
      </w:r>
      <w:r>
        <w:rPr>
          <w:rFonts w:hint="eastAsia" w:ascii="仿宋_GB2312" w:hAnsi="宋体" w:eastAsia="仿宋_GB2312" w:cs="Arial"/>
          <w:color w:val="auto"/>
          <w:kern w:val="0"/>
          <w:sz w:val="30"/>
          <w:szCs w:val="30"/>
          <w:highlight w:val="none"/>
          <w:lang w:val="en-US" w:eastAsia="zh-CN"/>
        </w:rPr>
        <w:t>%</w:t>
      </w:r>
      <w:r>
        <w:rPr>
          <w:rFonts w:hint="eastAsia" w:ascii="仿宋_GB2312" w:eastAsia="仿宋_GB2312"/>
          <w:color w:val="auto"/>
          <w:sz w:val="30"/>
          <w:szCs w:val="30"/>
          <w:lang w:eastAsia="zh-CN"/>
        </w:rPr>
        <w:t>。</w:t>
      </w:r>
    </w:p>
    <w:p w14:paraId="5AC4E0E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lang w:eastAsia="zh-CN"/>
        </w:rPr>
      </w:pPr>
      <w:r>
        <w:rPr>
          <w:rFonts w:hint="eastAsia" w:ascii="仿宋_GB2312" w:hAnsi="宋体" w:eastAsia="仿宋_GB2312" w:cs="Arial"/>
          <w:color w:val="auto"/>
          <w:kern w:val="0"/>
          <w:sz w:val="30"/>
          <w:szCs w:val="30"/>
          <w:highlight w:val="none"/>
        </w:rPr>
        <w:t>因公出国（境）费</w:t>
      </w:r>
      <w:r>
        <w:rPr>
          <w:rFonts w:hint="eastAsia" w:ascii="仿宋_GB2312" w:hAnsi="宋体" w:eastAsia="仿宋_GB2312" w:cs="Arial"/>
          <w:color w:val="auto"/>
          <w:kern w:val="0"/>
          <w:sz w:val="30"/>
          <w:szCs w:val="30"/>
          <w:highlight w:val="none"/>
          <w:lang w:val="en-US" w:eastAsia="zh-CN"/>
        </w:rPr>
        <w:t>用用</w:t>
      </w:r>
      <w:r>
        <w:rPr>
          <w:rFonts w:hint="eastAsia" w:ascii="仿宋_GB2312" w:hAnsi="宋体" w:eastAsia="仿宋_GB2312" w:cs="Arial"/>
          <w:color w:val="auto"/>
          <w:kern w:val="0"/>
          <w:sz w:val="30"/>
          <w:szCs w:val="30"/>
          <w:highlight w:val="none"/>
        </w:rPr>
        <w:t>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%；公务用车购置费支出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rPr>
        <w:t>%；公务用车</w:t>
      </w:r>
      <w:r>
        <w:rPr>
          <w:rFonts w:hint="eastAsia" w:ascii="仿宋_GB2312" w:hAnsi="宋体" w:eastAsia="仿宋_GB2312" w:cs="Arial"/>
          <w:color w:val="auto"/>
          <w:kern w:val="0"/>
          <w:sz w:val="30"/>
          <w:szCs w:val="30"/>
          <w:highlight w:val="none"/>
          <w:lang w:eastAsia="zh-CN"/>
        </w:rPr>
        <w:t>运行维护</w:t>
      </w:r>
      <w:r>
        <w:rPr>
          <w:rFonts w:hint="eastAsia" w:ascii="仿宋_GB2312" w:hAnsi="宋体" w:eastAsia="仿宋_GB2312" w:cs="Arial"/>
          <w:color w:val="auto"/>
          <w:kern w:val="0"/>
          <w:sz w:val="30"/>
          <w:szCs w:val="30"/>
          <w:highlight w:val="none"/>
        </w:rPr>
        <w:t>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12000.00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63.18</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100.00</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rPr>
        <w:t>公务接待费支出</w:t>
      </w:r>
      <w:r>
        <w:rPr>
          <w:rFonts w:hint="eastAsia" w:ascii="仿宋_GB2312" w:hAnsi="宋体" w:eastAsia="仿宋_GB2312" w:cs="Arial"/>
          <w:color w:val="auto"/>
          <w:kern w:val="0"/>
          <w:sz w:val="30"/>
          <w:szCs w:val="30"/>
          <w:highlight w:val="none"/>
          <w:lang w:eastAsia="zh-CN"/>
        </w:rPr>
        <w:t>年初</w:t>
      </w:r>
      <w:r>
        <w:rPr>
          <w:rFonts w:hint="eastAsia" w:ascii="仿宋_GB2312" w:hAnsi="宋体" w:eastAsia="仿宋_GB2312" w:cs="Arial"/>
          <w:color w:val="auto"/>
          <w:kern w:val="0"/>
          <w:sz w:val="30"/>
          <w:szCs w:val="30"/>
          <w:highlight w:val="none"/>
        </w:rPr>
        <w:t>预算为</w:t>
      </w:r>
      <w:r>
        <w:rPr>
          <w:rFonts w:hint="eastAsia" w:ascii="仿宋_GB2312" w:hAnsi="仿宋_GB2312" w:eastAsia="仿宋_GB2312" w:cs="仿宋_GB2312"/>
          <w:color w:val="auto"/>
          <w:sz w:val="30"/>
          <w:lang w:val="zh-CN"/>
        </w:rPr>
        <w:t>24000.00</w:t>
      </w:r>
      <w:r>
        <w:rPr>
          <w:rFonts w:hint="eastAsia" w:ascii="仿宋_GB2312" w:hAnsi="宋体" w:eastAsia="仿宋_GB2312" w:cs="Arial"/>
          <w:color w:val="auto"/>
          <w:kern w:val="0"/>
          <w:sz w:val="30"/>
          <w:szCs w:val="30"/>
          <w:highlight w:val="none"/>
        </w:rPr>
        <w:t>元</w:t>
      </w:r>
      <w:r>
        <w:rPr>
          <w:rFonts w:hint="eastAsia" w:ascii="仿宋_GB2312" w:hAnsi="宋体" w:eastAsia="仿宋_GB2312" w:cs="Arial"/>
          <w:color w:val="auto"/>
          <w:kern w:val="0"/>
          <w:sz w:val="30"/>
          <w:szCs w:val="30"/>
          <w:highlight w:val="none"/>
          <w:lang w:eastAsia="zh-CN"/>
        </w:rPr>
        <w:t>，决算为</w:t>
      </w:r>
      <w:r>
        <w:rPr>
          <w:rFonts w:hint="eastAsia" w:ascii="仿宋_GB2312" w:hAnsi="仿宋_GB2312" w:eastAsia="仿宋_GB2312" w:cs="仿宋_GB2312"/>
          <w:color w:val="auto"/>
          <w:sz w:val="30"/>
          <w:lang w:val="zh-CN"/>
        </w:rPr>
        <w:t>6993.00</w:t>
      </w:r>
      <w:r>
        <w:rPr>
          <w:rFonts w:hint="eastAsia" w:ascii="仿宋_GB2312" w:hAnsi="宋体" w:eastAsia="仿宋_GB2312" w:cs="Arial"/>
          <w:color w:val="auto"/>
          <w:kern w:val="0"/>
          <w:sz w:val="30"/>
          <w:szCs w:val="30"/>
          <w:highlight w:val="none"/>
        </w:rPr>
        <w:t>元，占财政拨款“三公”经费</w:t>
      </w:r>
      <w:r>
        <w:rPr>
          <w:rFonts w:hint="eastAsia" w:ascii="仿宋_GB2312" w:hAnsi="宋体" w:eastAsia="仿宋_GB2312" w:cs="Arial"/>
          <w:color w:val="auto"/>
          <w:kern w:val="0"/>
          <w:sz w:val="30"/>
          <w:szCs w:val="30"/>
          <w:highlight w:val="none"/>
          <w:lang w:eastAsia="zh-CN"/>
        </w:rPr>
        <w:t>总支出决算的</w:t>
      </w:r>
      <w:r>
        <w:rPr>
          <w:rFonts w:hint="eastAsia" w:ascii="仿宋_GB2312" w:hAnsi="仿宋_GB2312" w:eastAsia="仿宋_GB2312" w:cs="仿宋_GB2312"/>
          <w:color w:val="auto"/>
          <w:sz w:val="30"/>
          <w:lang w:val="zh-CN"/>
        </w:rPr>
        <w:t>36.82</w:t>
      </w:r>
      <w:r>
        <w:rPr>
          <w:rFonts w:hint="eastAsia" w:ascii="仿宋_GB2312" w:hAnsi="宋体" w:eastAsia="仿宋_GB2312" w:cs="Arial"/>
          <w:color w:val="auto"/>
          <w:kern w:val="0"/>
          <w:sz w:val="30"/>
          <w:szCs w:val="30"/>
          <w:highlight w:val="none"/>
        </w:rPr>
        <w:t>%</w:t>
      </w:r>
      <w:r>
        <w:rPr>
          <w:rFonts w:hint="eastAsia" w:ascii="仿宋_GB2312" w:hAnsi="宋体" w:eastAsia="仿宋_GB2312" w:cs="Arial"/>
          <w:color w:val="auto"/>
          <w:kern w:val="0"/>
          <w:sz w:val="30"/>
          <w:szCs w:val="30"/>
          <w:highlight w:val="none"/>
          <w:lang w:eastAsia="zh-CN"/>
        </w:rPr>
        <w:t>，完成年初预算的</w:t>
      </w:r>
      <w:r>
        <w:rPr>
          <w:rFonts w:hint="eastAsia" w:ascii="仿宋_GB2312" w:hAnsi="仿宋_GB2312" w:eastAsia="仿宋_GB2312" w:cs="仿宋_GB2312"/>
          <w:color w:val="auto"/>
          <w:sz w:val="30"/>
          <w:lang w:val="zh-CN"/>
        </w:rPr>
        <w:t>29.14</w:t>
      </w:r>
      <w:r>
        <w:rPr>
          <w:rFonts w:hint="eastAsia" w:ascii="仿宋_GB2312" w:hAnsi="宋体" w:eastAsia="仿宋_GB2312" w:cs="Arial"/>
          <w:color w:val="auto"/>
          <w:kern w:val="0"/>
          <w:sz w:val="30"/>
          <w:szCs w:val="30"/>
          <w:highlight w:val="none"/>
          <w:lang w:val="en-US" w:eastAsia="zh-CN"/>
        </w:rPr>
        <w:t>%</w:t>
      </w:r>
      <w:r>
        <w:rPr>
          <w:rFonts w:hint="eastAsia" w:ascii="仿宋_GB2312" w:eastAsia="仿宋_GB2312"/>
          <w:color w:val="auto"/>
          <w:sz w:val="30"/>
          <w:szCs w:val="30"/>
          <w:lang w:eastAsia="zh-CN"/>
        </w:rPr>
        <w:t>。</w:t>
      </w:r>
    </w:p>
    <w:p w14:paraId="0B561136">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公务用车购置费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515.64</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4.49</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rPr>
        <w:t>公务接待费</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2547.00</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57.29</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6993.00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2547.00</w:t>
      </w:r>
      <w:r>
        <w:rPr>
          <w:rFonts w:hint="eastAsia" w:ascii="仿宋_GB2312" w:hAnsi="宋体" w:eastAsia="仿宋_GB2312" w:cs="Arial"/>
          <w:color w:val="auto"/>
          <w:kern w:val="0"/>
          <w:sz w:val="30"/>
          <w:szCs w:val="30"/>
          <w:highlight w:val="none"/>
          <w:lang w:val="en-US" w:eastAsia="zh-CN"/>
        </w:rPr>
        <w:t>元，增长/下降</w:t>
      </w:r>
      <w:r>
        <w:rPr>
          <w:rFonts w:hint="eastAsia" w:ascii="仿宋_GB2312" w:hAnsi="仿宋_GB2312" w:eastAsia="仿宋_GB2312" w:cs="仿宋_GB2312"/>
          <w:color w:val="auto"/>
          <w:sz w:val="30"/>
          <w:lang w:val="zh-CN"/>
        </w:rPr>
        <w:t>57.29</w:t>
      </w:r>
      <w:r>
        <w:rPr>
          <w:rFonts w:hint="eastAsia" w:ascii="仿宋_GB2312" w:hAnsi="宋体" w:eastAsia="仿宋_GB2312" w:cs="Arial"/>
          <w:color w:val="auto"/>
          <w:kern w:val="0"/>
          <w:sz w:val="30"/>
          <w:szCs w:val="30"/>
          <w:highlight w:val="none"/>
          <w:lang w:val="en-US" w:eastAsia="zh-CN"/>
        </w:rPr>
        <w:t>%</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val="en-US" w:eastAsia="zh-CN"/>
        </w:rPr>
        <w:t>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p>
    <w:p w14:paraId="55EF2CAB">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outlineLvl w:val="2"/>
        <w:rPr>
          <w:rFonts w:hint="eastAsia" w:ascii="楷体_GB2312" w:hAnsi="楷体_GB2312" w:eastAsia="楷体_GB2312" w:cs="楷体_GB2312"/>
          <w:color w:val="auto"/>
          <w:kern w:val="0"/>
          <w:sz w:val="30"/>
          <w:szCs w:val="30"/>
          <w:highlight w:val="none"/>
          <w:lang w:val="en-US" w:eastAsia="zh-CN"/>
        </w:rPr>
      </w:pPr>
      <w:r>
        <w:rPr>
          <w:rFonts w:hint="eastAsia" w:ascii="楷体_GB2312" w:hAnsi="楷体_GB2312" w:eastAsia="楷体_GB2312" w:cs="楷体_GB2312"/>
          <w:color w:val="auto"/>
          <w:kern w:val="0"/>
          <w:sz w:val="30"/>
          <w:szCs w:val="30"/>
          <w:highlight w:val="none"/>
          <w:lang w:val="en-US" w:eastAsia="zh-CN"/>
        </w:rPr>
        <w:t>（二）一般公共预算财政拨款“三公”经费支出决算情况说明</w:t>
      </w:r>
    </w:p>
    <w:p w14:paraId="7FF62A84">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hAnsi="宋体" w:eastAsia="仿宋_GB2312" w:cs="Arial"/>
          <w:color w:val="auto"/>
          <w:kern w:val="0"/>
          <w:sz w:val="30"/>
          <w:szCs w:val="30"/>
          <w:highlight w:val="none"/>
          <w:lang w:eastAsia="zh-CN"/>
        </w:rPr>
      </w:pP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36000.00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，支出决算为</w:t>
      </w:r>
      <w:r>
        <w:rPr>
          <w:rFonts w:hint="eastAsia" w:ascii="仿宋_GB2312" w:hAnsi="仿宋_GB2312" w:eastAsia="仿宋_GB2312" w:cs="仿宋_GB2312"/>
          <w:color w:val="auto"/>
          <w:sz w:val="30"/>
          <w:lang w:val="zh-CN"/>
        </w:rPr>
        <w:t>18993.00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hAnsi="仿宋_GB2312" w:eastAsia="仿宋_GB2312" w:cs="仿宋_GB2312"/>
          <w:color w:val="auto"/>
          <w:sz w:val="30"/>
          <w:lang w:val="zh-CN"/>
        </w:rPr>
        <w:t>52.76</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eastAsia="zh-CN"/>
        </w:rPr>
        <w:t>，</w:t>
      </w:r>
      <w:r>
        <w:rPr>
          <w:rFonts w:hint="eastAsia" w:ascii="仿宋_GB2312" w:hAnsi="宋体" w:eastAsia="仿宋_GB2312" w:cs="Arial"/>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3062.64</w:t>
      </w:r>
      <w:r>
        <w:rPr>
          <w:rFonts w:hint="eastAsia" w:ascii="仿宋_GB2312" w:hAnsi="宋体" w:eastAsia="仿宋_GB2312" w:cs="Arial"/>
          <w:color w:val="auto"/>
          <w:kern w:val="0"/>
          <w:sz w:val="30"/>
          <w:szCs w:val="30"/>
          <w:highlight w:val="none"/>
          <w:lang w:val="en-US" w:eastAsia="zh-CN"/>
        </w:rPr>
        <w:t>元，增长</w:t>
      </w:r>
      <w:r>
        <w:rPr>
          <w:rFonts w:hint="eastAsia" w:ascii="仿宋_GB2312" w:hAnsi="仿宋_GB2312" w:eastAsia="仿宋_GB2312" w:cs="仿宋_GB2312"/>
          <w:color w:val="auto"/>
          <w:sz w:val="30"/>
          <w:lang w:val="zh-CN"/>
        </w:rPr>
        <w:t>19.23</w:t>
      </w:r>
      <w:r>
        <w:rPr>
          <w:rFonts w:hint="eastAsia" w:ascii="仿宋_GB2312" w:hAnsi="宋体" w:eastAsia="仿宋_GB2312" w:cs="Arial"/>
          <w:color w:val="auto"/>
          <w:kern w:val="0"/>
          <w:sz w:val="30"/>
          <w:szCs w:val="30"/>
          <w:highlight w:val="none"/>
          <w:lang w:val="en-US" w:eastAsia="zh-CN"/>
        </w:rPr>
        <w:t>%</w:t>
      </w:r>
      <w:r>
        <w:rPr>
          <w:rFonts w:hint="eastAsia" w:ascii="仿宋_GB2312" w:hAnsi="宋体" w:eastAsia="仿宋_GB2312" w:cs="Arial"/>
          <w:color w:val="auto"/>
          <w:kern w:val="0"/>
          <w:sz w:val="30"/>
          <w:szCs w:val="30"/>
          <w:highlight w:val="none"/>
          <w:lang w:eastAsia="zh-CN"/>
        </w:rPr>
        <w:t>。</w:t>
      </w:r>
    </w:p>
    <w:p w14:paraId="1403C92F">
      <w:pPr>
        <w:widowControl/>
        <w:snapToGrid w:val="0"/>
        <w:spacing w:before="100" w:after="100" w:line="360" w:lineRule="auto"/>
        <w:ind w:firstLine="600" w:firstLineChars="200"/>
        <w:jc w:val="left"/>
        <w:rPr>
          <w:rFonts w:hint="eastAsia" w:ascii="仿宋_GB2312" w:eastAsia="仿宋_GB2312"/>
          <w:color w:val="auto"/>
          <w:sz w:val="30"/>
          <w:szCs w:val="30"/>
          <w:highlight w:val="none"/>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；公务用车购置费支出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12000.00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12000.00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hAnsi="仿宋_GB2312" w:eastAsia="仿宋_GB2312" w:cs="仿宋_GB2312"/>
          <w:color w:val="auto"/>
          <w:sz w:val="30"/>
          <w:lang w:val="zh-CN"/>
        </w:rPr>
        <w:t>100.00</w:t>
      </w:r>
      <w:r>
        <w:rPr>
          <w:rFonts w:hint="eastAsia" w:ascii="仿宋_GB2312" w:eastAsia="仿宋_GB2312"/>
          <w:color w:val="auto"/>
          <w:sz w:val="30"/>
          <w:szCs w:val="30"/>
          <w:highlight w:val="none"/>
        </w:rPr>
        <w:t>%；公务接待费支出</w:t>
      </w:r>
      <w:r>
        <w:rPr>
          <w:rFonts w:hint="eastAsia" w:ascii="仿宋_GB2312" w:eastAsia="仿宋_GB2312"/>
          <w:color w:val="auto"/>
          <w:sz w:val="30"/>
          <w:szCs w:val="30"/>
          <w:highlight w:val="none"/>
          <w:lang w:eastAsia="zh-CN"/>
        </w:rPr>
        <w:t>年</w:t>
      </w:r>
      <w:r>
        <w:rPr>
          <w:rFonts w:hint="eastAsia" w:ascii="仿宋_GB2312" w:hAnsi="宋体" w:eastAsia="仿宋_GB2312" w:cs="Arial"/>
          <w:color w:val="auto"/>
          <w:kern w:val="0"/>
          <w:sz w:val="30"/>
          <w:szCs w:val="30"/>
          <w:highlight w:val="none"/>
          <w:lang w:eastAsia="zh-CN"/>
        </w:rPr>
        <w:t>初</w:t>
      </w:r>
      <w:r>
        <w:rPr>
          <w:rFonts w:hint="eastAsia" w:ascii="仿宋_GB2312" w:eastAsia="仿宋_GB2312"/>
          <w:color w:val="auto"/>
          <w:sz w:val="30"/>
          <w:szCs w:val="30"/>
          <w:highlight w:val="none"/>
        </w:rPr>
        <w:t>预算为</w:t>
      </w:r>
      <w:r>
        <w:rPr>
          <w:rFonts w:hint="eastAsia" w:ascii="仿宋_GB2312" w:hAnsi="仿宋_GB2312" w:eastAsia="仿宋_GB2312" w:cs="仿宋_GB2312"/>
          <w:color w:val="auto"/>
          <w:sz w:val="30"/>
          <w:lang w:val="zh-CN"/>
        </w:rPr>
        <w:t>24000.00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，决算为</w:t>
      </w:r>
      <w:r>
        <w:rPr>
          <w:rFonts w:hint="eastAsia" w:ascii="仿宋_GB2312" w:hAnsi="仿宋_GB2312" w:eastAsia="仿宋_GB2312" w:cs="仿宋_GB2312"/>
          <w:color w:val="auto"/>
          <w:sz w:val="30"/>
          <w:lang w:val="zh-CN"/>
        </w:rPr>
        <w:t>6993.00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，完成</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预算的</w:t>
      </w:r>
      <w:r>
        <w:rPr>
          <w:rFonts w:hint="eastAsia" w:ascii="仿宋_GB2312" w:hAnsi="仿宋_GB2312" w:eastAsia="仿宋_GB2312" w:cs="仿宋_GB2312"/>
          <w:color w:val="auto"/>
          <w:sz w:val="30"/>
          <w:lang w:val="zh-CN"/>
        </w:rPr>
        <w:t>29.14</w:t>
      </w:r>
      <w:r>
        <w:rPr>
          <w:rFonts w:hint="eastAsia" w:ascii="仿宋_GB2312" w:eastAsia="仿宋_GB2312"/>
          <w:color w:val="auto"/>
          <w:sz w:val="30"/>
          <w:szCs w:val="30"/>
          <w:highlight w:val="none"/>
        </w:rPr>
        <w:t>%。</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一般公共预算财政拨款“三公”经费支出决算数小于</w:t>
      </w:r>
      <w:r>
        <w:rPr>
          <w:rFonts w:hint="eastAsia" w:ascii="仿宋_GB2312" w:hAnsi="宋体" w:eastAsia="仿宋_GB2312" w:cs="Arial"/>
          <w:color w:val="auto"/>
          <w:kern w:val="0"/>
          <w:sz w:val="30"/>
          <w:szCs w:val="30"/>
          <w:highlight w:val="none"/>
          <w:lang w:eastAsia="zh-CN"/>
        </w:rPr>
        <w:t>年初</w:t>
      </w:r>
      <w:r>
        <w:rPr>
          <w:rFonts w:hint="eastAsia" w:ascii="仿宋_GB2312" w:eastAsia="仿宋_GB2312"/>
          <w:color w:val="auto"/>
          <w:sz w:val="30"/>
          <w:szCs w:val="30"/>
          <w:highlight w:val="none"/>
        </w:rPr>
        <w:t>预算数的主要原因</w:t>
      </w:r>
      <w:r>
        <w:rPr>
          <w:rFonts w:hint="eastAsia" w:ascii="仿宋_GB2312" w:eastAsia="仿宋_GB2312"/>
          <w:color w:val="auto"/>
          <w:sz w:val="30"/>
          <w:szCs w:val="30"/>
          <w:highlight w:val="none"/>
          <w:lang w:eastAsia="zh-CN"/>
        </w:rPr>
        <w:t>是落实厉行节约要求，减少接待费等公用支出</w:t>
      </w:r>
      <w:r>
        <w:rPr>
          <w:rFonts w:hint="eastAsia" w:ascii="仿宋_GB2312" w:eastAsia="仿宋_GB2312"/>
          <w:color w:val="auto"/>
          <w:sz w:val="30"/>
          <w:szCs w:val="30"/>
          <w:highlight w:val="none"/>
        </w:rPr>
        <w:t>。</w:t>
      </w:r>
    </w:p>
    <w:p w14:paraId="6CEC23C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中：</w:t>
      </w:r>
      <w:r>
        <w:rPr>
          <w:rFonts w:hint="eastAsia" w:ascii="仿宋_GB2312" w:eastAsia="仿宋_GB2312"/>
          <w:color w:val="auto"/>
          <w:sz w:val="30"/>
          <w:szCs w:val="30"/>
          <w:highlight w:val="none"/>
        </w:rPr>
        <w:t>因公出国（境）费</w:t>
      </w:r>
      <w:r>
        <w:rPr>
          <w:rFonts w:hint="eastAsia" w:ascii="仿宋_GB2312" w:eastAsia="仿宋_GB2312"/>
          <w:color w:val="auto"/>
          <w:sz w:val="30"/>
          <w:szCs w:val="30"/>
          <w:highlight w:val="none"/>
          <w:lang w:val="en-US" w:eastAsia="zh-CN"/>
        </w:rPr>
        <w:t>用</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；公务用车购置费支出决算增加</w:t>
      </w:r>
      <w:r>
        <w:rPr>
          <w:rFonts w:hint="eastAsia" w:ascii="仿宋_GB2312" w:hAnsi="仿宋_GB2312" w:eastAsia="仿宋_GB2312" w:cs="仿宋_GB2312"/>
          <w:color w:val="auto"/>
          <w:sz w:val="30"/>
          <w:lang w:val="zh-CN"/>
        </w:rPr>
        <w:t>0.00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上年无此项支出</w:t>
      </w:r>
      <w:r>
        <w:rPr>
          <w:rFonts w:hint="eastAsia" w:ascii="仿宋_GB2312" w:eastAsia="仿宋_GB2312"/>
          <w:color w:val="auto"/>
          <w:sz w:val="30"/>
          <w:szCs w:val="30"/>
          <w:highlight w:val="none"/>
        </w:rPr>
        <w:t>；公务用车</w:t>
      </w:r>
      <w:r>
        <w:rPr>
          <w:rFonts w:hint="eastAsia" w:ascii="仿宋_GB2312" w:eastAsia="仿宋_GB2312"/>
          <w:color w:val="auto"/>
          <w:sz w:val="30"/>
          <w:szCs w:val="30"/>
          <w:highlight w:val="none"/>
          <w:lang w:eastAsia="zh-CN"/>
        </w:rPr>
        <w:t>运行维护费</w:t>
      </w:r>
      <w:r>
        <w:rPr>
          <w:rFonts w:hint="eastAsia" w:ascii="仿宋_GB2312" w:eastAsia="仿宋_GB2312"/>
          <w:color w:val="auto"/>
          <w:sz w:val="30"/>
          <w:szCs w:val="30"/>
          <w:highlight w:val="none"/>
        </w:rPr>
        <w:t>支出决算增加</w:t>
      </w:r>
      <w:r>
        <w:rPr>
          <w:rFonts w:hint="eastAsia" w:ascii="仿宋_GB2312" w:hAnsi="仿宋_GB2312" w:eastAsia="仿宋_GB2312" w:cs="仿宋_GB2312"/>
          <w:color w:val="auto"/>
          <w:sz w:val="30"/>
          <w:lang w:val="zh-CN"/>
        </w:rPr>
        <w:t>515.64</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4.49</w:t>
      </w:r>
      <w:r>
        <w:rPr>
          <w:rFonts w:hint="eastAsia" w:ascii="仿宋_GB2312" w:eastAsia="仿宋_GB2312"/>
          <w:color w:val="auto"/>
          <w:sz w:val="30"/>
          <w:szCs w:val="30"/>
          <w:highlight w:val="none"/>
        </w:rPr>
        <w:t>%；公务接待费支出决算增加</w:t>
      </w:r>
      <w:r>
        <w:rPr>
          <w:rFonts w:hint="eastAsia" w:ascii="仿宋_GB2312" w:hAnsi="仿宋_GB2312" w:eastAsia="仿宋_GB2312" w:cs="仿宋_GB2312"/>
          <w:color w:val="auto"/>
          <w:sz w:val="30"/>
          <w:lang w:val="zh-CN"/>
        </w:rPr>
        <w:t>2547.00</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57.29</w:t>
      </w:r>
      <w:r>
        <w:rPr>
          <w:rFonts w:hint="eastAsia" w:ascii="仿宋_GB2312" w:eastAsia="仿宋_GB2312"/>
          <w:color w:val="auto"/>
          <w:sz w:val="30"/>
          <w:szCs w:val="30"/>
          <w:highlight w:val="none"/>
        </w:rPr>
        <w:t>%</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lang w:eastAsia="zh-CN"/>
        </w:rPr>
        <w:t>具体是国内接待费支出决算</w:t>
      </w:r>
      <w:r>
        <w:rPr>
          <w:rFonts w:hint="eastAsia" w:ascii="仿宋_GB2312" w:hAnsi="仿宋_GB2312" w:eastAsia="仿宋_GB2312" w:cs="仿宋_GB2312"/>
          <w:color w:val="auto"/>
          <w:sz w:val="30"/>
          <w:lang w:val="zh-CN"/>
        </w:rPr>
        <w:t>6993.00</w:t>
      </w:r>
      <w:r>
        <w:rPr>
          <w:rFonts w:hint="eastAsia" w:ascii="仿宋_GB2312" w:hAnsi="宋体" w:eastAsia="仿宋_GB2312" w:cs="Arial"/>
          <w:color w:val="auto"/>
          <w:kern w:val="0"/>
          <w:sz w:val="30"/>
          <w:szCs w:val="30"/>
          <w:highlight w:val="none"/>
          <w:lang w:eastAsia="zh-CN"/>
        </w:rPr>
        <w:t>元（其中：外事接待费支出决算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w:t>
      </w:r>
      <w:r>
        <w:rPr>
          <w:rFonts w:hint="eastAsia" w:ascii="仿宋_GB2312" w:eastAsia="仿宋_GB2312"/>
          <w:color w:val="auto"/>
          <w:sz w:val="30"/>
          <w:szCs w:val="30"/>
          <w:lang w:eastAsia="zh-CN"/>
        </w:rPr>
        <w:t>；</w:t>
      </w:r>
      <w:r>
        <w:rPr>
          <w:rFonts w:hint="eastAsia" w:ascii="仿宋_GB2312" w:hAnsi="宋体" w:eastAsia="仿宋_GB2312" w:cs="Arial"/>
          <w:color w:val="auto"/>
          <w:kern w:val="0"/>
          <w:sz w:val="30"/>
          <w:szCs w:val="30"/>
          <w:highlight w:val="none"/>
          <w:lang w:eastAsia="zh-CN"/>
        </w:rPr>
        <w:t>国（境）外接待费支出决算</w:t>
      </w:r>
      <w:r>
        <w:rPr>
          <w:rFonts w:hint="eastAsia" w:ascii="仿宋_GB2312" w:hAnsi="仿宋_GB2312" w:eastAsia="仿宋_GB2312" w:cs="仿宋_GB2312"/>
          <w:color w:val="auto"/>
          <w:sz w:val="30"/>
          <w:lang w:val="zh-CN"/>
        </w:rPr>
        <w:t>0.00</w:t>
      </w:r>
      <w:r>
        <w:rPr>
          <w:rFonts w:hint="eastAsia" w:ascii="仿宋_GB2312" w:hAnsi="宋体" w:eastAsia="仿宋_GB2312" w:cs="Arial"/>
          <w:color w:val="auto"/>
          <w:kern w:val="0"/>
          <w:sz w:val="30"/>
          <w:szCs w:val="30"/>
          <w:highlight w:val="none"/>
          <w:lang w:eastAsia="zh-CN"/>
        </w:rPr>
        <w:t>元较上年增加</w:t>
      </w:r>
      <w:r>
        <w:rPr>
          <w:rFonts w:hint="eastAsia" w:ascii="仿宋_GB2312" w:hAnsi="宋体" w:eastAsia="仿宋_GB2312" w:cs="Arial"/>
          <w:color w:val="auto"/>
          <w:kern w:val="0"/>
          <w:sz w:val="30"/>
          <w:szCs w:val="30"/>
          <w:highlight w:val="none"/>
          <w:lang w:val="en-US" w:eastAsia="zh-CN"/>
        </w:rPr>
        <w:t>0.00元，</w:t>
      </w:r>
      <w:r>
        <w:rPr>
          <w:rFonts w:hint="eastAsia" w:ascii="仿宋_GB2312" w:eastAsia="仿宋_GB2312"/>
          <w:color w:val="auto"/>
          <w:sz w:val="30"/>
          <w:szCs w:val="30"/>
          <w:lang w:eastAsia="zh-CN"/>
        </w:rPr>
        <w:t>上年无此项支出</w:t>
      </w:r>
      <w:r>
        <w:rPr>
          <w:rFonts w:hint="eastAsia" w:ascii="仿宋_GB2312" w:hAnsi="宋体" w:eastAsia="仿宋_GB2312" w:cs="Arial"/>
          <w:color w:val="auto"/>
          <w:kern w:val="0"/>
          <w:sz w:val="30"/>
          <w:szCs w:val="30"/>
          <w:highlight w:val="none"/>
          <w:lang w:eastAsia="zh-CN"/>
        </w:rPr>
        <w:t>。</w:t>
      </w:r>
      <w:r>
        <w:rPr>
          <w:rFonts w:hint="eastAsia" w:ascii="仿宋_GB2312" w:eastAsia="仿宋_GB2312"/>
          <w:color w:val="auto"/>
          <w:sz w:val="30"/>
          <w:szCs w:val="30"/>
          <w:highlight w:val="none"/>
          <w:lang w:val="en-US" w:eastAsia="zh-CN"/>
        </w:rPr>
        <w:t>2025年度</w:t>
      </w:r>
      <w:r>
        <w:rPr>
          <w:rFonts w:hint="eastAsia" w:ascii="仿宋_GB2312" w:eastAsia="仿宋_GB2312"/>
          <w:color w:val="auto"/>
          <w:sz w:val="30"/>
          <w:szCs w:val="30"/>
          <w:highlight w:val="none"/>
        </w:rPr>
        <w:t>一般公共预算财政拨款“三公”经费支出决算增加的主要原因</w:t>
      </w:r>
      <w:r>
        <w:rPr>
          <w:rFonts w:hint="eastAsia" w:ascii="仿宋_GB2312" w:eastAsia="仿宋_GB2312"/>
          <w:color w:val="auto"/>
          <w:sz w:val="30"/>
          <w:szCs w:val="30"/>
          <w:highlight w:val="none"/>
          <w:lang w:eastAsia="zh-CN"/>
        </w:rPr>
        <w:t>是实际支出涵盖往年产生的接待费、车辆运行费。</w:t>
      </w:r>
    </w:p>
    <w:p w14:paraId="171FB392">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rPr>
        <w:t>一般公共预算财政拨款“三公”经费支出</w:t>
      </w:r>
      <w:r>
        <w:rPr>
          <w:rFonts w:hint="eastAsia" w:ascii="仿宋_GB2312" w:eastAsia="仿宋_GB2312"/>
          <w:color w:val="auto"/>
          <w:sz w:val="30"/>
          <w:szCs w:val="30"/>
          <w:highlight w:val="none"/>
          <w:lang w:eastAsia="zh-CN"/>
        </w:rPr>
        <w:t>实物量的</w:t>
      </w:r>
      <w:r>
        <w:rPr>
          <w:rFonts w:hint="eastAsia" w:ascii="仿宋_GB2312" w:eastAsia="仿宋_GB2312"/>
          <w:color w:val="auto"/>
          <w:sz w:val="30"/>
          <w:szCs w:val="30"/>
          <w:highlight w:val="none"/>
        </w:rPr>
        <w:t>具体情况</w:t>
      </w:r>
      <w:r>
        <w:rPr>
          <w:rFonts w:hint="eastAsia" w:ascii="仿宋_GB2312" w:eastAsia="仿宋_GB2312"/>
          <w:color w:val="auto"/>
          <w:sz w:val="30"/>
          <w:szCs w:val="30"/>
          <w:highlight w:val="none"/>
          <w:lang w:eastAsia="zh-CN"/>
        </w:rPr>
        <w:t>：</w:t>
      </w:r>
    </w:p>
    <w:p w14:paraId="1ADC6600">
      <w:pPr>
        <w:widowControl/>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1.安排因公出国（境）团组</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个，累计</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人次。</w:t>
      </w:r>
    </w:p>
    <w:p w14:paraId="2866199E">
      <w:pPr>
        <w:widowControl/>
        <w:snapToGrid w:val="0"/>
        <w:spacing w:before="100" w:after="100" w:line="360" w:lineRule="auto"/>
        <w:ind w:firstLine="600" w:firstLineChars="200"/>
        <w:jc w:val="left"/>
        <w:rPr>
          <w:rFonts w:hint="eastAsia" w:ascii="仿宋_GB2312" w:eastAsia="仿宋_GB2312"/>
          <w:b w:val="0"/>
          <w:bCs/>
          <w:color w:val="auto"/>
          <w:sz w:val="30"/>
          <w:szCs w:val="30"/>
          <w:highlight w:val="none"/>
        </w:rPr>
      </w:pPr>
      <w:r>
        <w:rPr>
          <w:rFonts w:hint="eastAsia" w:ascii="仿宋_GB2312" w:eastAsia="仿宋_GB2312"/>
          <w:b w:val="0"/>
          <w:bCs/>
          <w:color w:val="auto"/>
          <w:sz w:val="30"/>
          <w:szCs w:val="30"/>
          <w:highlight w:val="none"/>
        </w:rPr>
        <w:t>2.购置车辆</w:t>
      </w:r>
      <w:r>
        <w:rPr>
          <w:rFonts w:hint="eastAsia" w:ascii="仿宋_GB2312" w:hAnsi="仿宋_GB2312" w:eastAsia="仿宋_GB2312" w:cs="仿宋_GB2312"/>
          <w:color w:val="auto"/>
          <w:sz w:val="30"/>
          <w:lang w:val="zh-CN"/>
        </w:rPr>
        <w:t>0</w:t>
      </w:r>
      <w:r>
        <w:rPr>
          <w:rFonts w:hint="eastAsia" w:ascii="仿宋_GB2312" w:eastAsia="仿宋_GB2312"/>
          <w:b w:val="0"/>
          <w:bCs/>
          <w:color w:val="auto"/>
          <w:sz w:val="30"/>
          <w:szCs w:val="30"/>
          <w:highlight w:val="none"/>
        </w:rPr>
        <w:t>辆。</w:t>
      </w:r>
    </w:p>
    <w:p w14:paraId="6E96B42B">
      <w:pPr>
        <w:widowControl/>
        <w:snapToGrid w:val="0"/>
        <w:spacing w:before="100" w:after="100" w:line="360" w:lineRule="auto"/>
        <w:ind w:firstLine="600" w:firstLineChars="200"/>
        <w:jc w:val="left"/>
        <w:rPr>
          <w:rFonts w:hint="eastAsia" w:ascii="仿宋_GB2312" w:hAnsi="仿宋_GB2312" w:eastAsia="仿宋_GB2312" w:cs="仿宋_GB2312"/>
          <w:b w:val="0"/>
          <w:bCs/>
          <w:color w:val="auto"/>
          <w:sz w:val="30"/>
          <w:szCs w:val="30"/>
          <w:highlight w:val="none"/>
          <w:lang w:eastAsia="zh-CN"/>
        </w:rPr>
      </w:pPr>
      <w:r>
        <w:rPr>
          <w:rFonts w:hint="eastAsia" w:ascii="仿宋_GB2312" w:eastAsia="仿宋_GB2312"/>
          <w:b w:val="0"/>
          <w:bCs/>
          <w:color w:val="auto"/>
          <w:sz w:val="30"/>
          <w:szCs w:val="30"/>
          <w:highlight w:val="none"/>
        </w:rPr>
        <w:t>3.安排</w:t>
      </w:r>
      <w:r>
        <w:rPr>
          <w:rFonts w:hint="eastAsia" w:ascii="仿宋_GB2312" w:eastAsia="仿宋_GB2312"/>
          <w:color w:val="auto"/>
          <w:sz w:val="30"/>
          <w:szCs w:val="30"/>
          <w:highlight w:val="none"/>
        </w:rPr>
        <w:t>国内公务接待</w:t>
      </w:r>
      <w:r>
        <w:rPr>
          <w:rFonts w:hint="eastAsia" w:ascii="仿宋_GB2312" w:hAnsi="仿宋_GB2312" w:eastAsia="仿宋_GB2312" w:cs="仿宋_GB2312"/>
          <w:color w:val="auto"/>
          <w:sz w:val="30"/>
          <w:lang w:val="zh-CN"/>
        </w:rPr>
        <w:t>15</w:t>
      </w:r>
      <w:r>
        <w:rPr>
          <w:rFonts w:hint="eastAsia" w:ascii="仿宋_GB2312" w:eastAsia="仿宋_GB2312"/>
          <w:color w:val="auto"/>
          <w:sz w:val="30"/>
          <w:szCs w:val="30"/>
          <w:highlight w:val="none"/>
        </w:rPr>
        <w:t>批次（其中：外事接待</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批次），接待人次</w:t>
      </w:r>
      <w:r>
        <w:rPr>
          <w:rFonts w:hint="eastAsia" w:ascii="仿宋_GB2312" w:hAnsi="仿宋_GB2312" w:eastAsia="仿宋_GB2312" w:cs="仿宋_GB2312"/>
          <w:color w:val="auto"/>
          <w:sz w:val="30"/>
          <w:lang w:val="zh-CN"/>
        </w:rPr>
        <w:t>95</w:t>
      </w:r>
      <w:r>
        <w:rPr>
          <w:rFonts w:hint="eastAsia" w:ascii="仿宋_GB2312" w:eastAsia="仿宋_GB2312"/>
          <w:color w:val="auto"/>
          <w:sz w:val="30"/>
          <w:szCs w:val="30"/>
          <w:highlight w:val="none"/>
        </w:rPr>
        <w:t>人（其中：外事接待人次</w:t>
      </w:r>
      <w:r>
        <w:rPr>
          <w:rFonts w:hint="eastAsia" w:ascii="仿宋_GB2312" w:hAnsi="仿宋_GB2312" w:eastAsia="仿宋_GB2312" w:cs="仿宋_GB2312"/>
          <w:color w:val="auto"/>
          <w:sz w:val="30"/>
          <w:lang w:val="zh-CN"/>
        </w:rPr>
        <w:t>0</w:t>
      </w:r>
      <w:r>
        <w:rPr>
          <w:rFonts w:hint="eastAsia" w:ascii="仿宋_GB2312" w:eastAsia="仿宋_GB2312"/>
          <w:color w:val="auto"/>
          <w:sz w:val="30"/>
          <w:szCs w:val="30"/>
          <w:highlight w:val="none"/>
        </w:rPr>
        <w:t>人）。主要用于</w:t>
      </w:r>
      <w:r>
        <w:rPr>
          <w:rFonts w:hint="eastAsia" w:ascii="仿宋_GB2312" w:hAnsi="仿宋_GB2312" w:eastAsia="仿宋_GB2312" w:cs="仿宋_GB2312"/>
          <w:color w:val="auto"/>
          <w:sz w:val="30"/>
          <w:szCs w:val="30"/>
          <w:highlight w:val="none"/>
          <w:lang w:val="en-US" w:eastAsia="zh-CN"/>
        </w:rPr>
        <w:t>2023年至2025年相关</w:t>
      </w:r>
      <w:r>
        <w:rPr>
          <w:rFonts w:hint="eastAsia" w:ascii="仿宋_GB2312" w:hAnsi="仿宋_GB2312" w:eastAsia="仿宋_GB2312" w:cs="仿宋_GB2312"/>
          <w:b w:val="0"/>
          <w:bCs w:val="0"/>
          <w:color w:val="auto"/>
          <w:sz w:val="30"/>
          <w:szCs w:val="30"/>
          <w:highlight w:val="none"/>
          <w:lang w:val="en-US" w:eastAsia="zh-CN"/>
        </w:rPr>
        <w:t>工作</w:t>
      </w:r>
      <w:r>
        <w:rPr>
          <w:rFonts w:hint="eastAsia" w:ascii="仿宋_GB2312" w:hAnsi="仿宋_GB2312" w:eastAsia="仿宋_GB2312" w:cs="仿宋_GB2312"/>
          <w:color w:val="auto"/>
          <w:sz w:val="30"/>
          <w:szCs w:val="30"/>
          <w:highlight w:val="none"/>
        </w:rPr>
        <w:t>发生的接待支出</w:t>
      </w:r>
      <w:r>
        <w:rPr>
          <w:rFonts w:hint="eastAsia" w:ascii="仿宋_GB2312" w:hAnsi="仿宋_GB2312" w:eastAsia="仿宋_GB2312" w:cs="仿宋_GB2312"/>
          <w:color w:val="auto"/>
          <w:sz w:val="30"/>
          <w:szCs w:val="30"/>
          <w:highlight w:val="none"/>
          <w:lang w:eastAsia="zh-CN"/>
        </w:rPr>
        <w:t>，如</w:t>
      </w:r>
      <w:r>
        <w:rPr>
          <w:rFonts w:hint="eastAsia" w:ascii="仿宋_GB2312" w:hAnsi="仿宋_GB2312" w:eastAsia="仿宋_GB2312" w:cs="仿宋_GB2312"/>
          <w:b w:val="0"/>
          <w:bCs w:val="0"/>
          <w:color w:val="auto"/>
          <w:sz w:val="30"/>
          <w:szCs w:val="30"/>
          <w:highlight w:val="none"/>
          <w:lang w:val="en-US" w:eastAsia="zh-CN"/>
        </w:rPr>
        <w:t>义务教育质量检测视导工作；对学生防溺水、防交通事故督导等</w:t>
      </w:r>
      <w:r>
        <w:rPr>
          <w:rFonts w:hint="eastAsia" w:ascii="仿宋_GB2312" w:hAnsi="仿宋_GB2312" w:eastAsia="仿宋_GB2312" w:cs="仿宋_GB2312"/>
          <w:color w:val="auto"/>
          <w:sz w:val="30"/>
          <w:szCs w:val="30"/>
          <w:highlight w:val="none"/>
        </w:rPr>
        <w:t>。</w:t>
      </w:r>
    </w:p>
    <w:p w14:paraId="25C0A812">
      <w:pPr>
        <w:widowControl/>
        <w:snapToGrid w:val="0"/>
        <w:spacing w:before="100" w:after="100" w:line="360" w:lineRule="auto"/>
        <w:ind w:firstLine="600" w:firstLineChars="200"/>
        <w:jc w:val="left"/>
        <w:outlineLvl w:val="2"/>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（三）需要说明的事项</w:t>
      </w:r>
    </w:p>
    <w:p w14:paraId="05429FCE">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left"/>
        <w:textAlignment w:val="auto"/>
        <w:rPr>
          <w:rFonts w:hint="eastAsia" w:ascii="仿宋_GB2312" w:eastAsia="仿宋_GB2312"/>
          <w:color w:val="auto"/>
          <w:sz w:val="30"/>
          <w:szCs w:val="30"/>
          <w:highlight w:val="none"/>
          <w:lang w:eastAsia="zh-CN"/>
        </w:rPr>
      </w:pPr>
      <w:r>
        <w:rPr>
          <w:rFonts w:hint="eastAsia" w:ascii="仿宋_GB2312" w:eastAsia="仿宋_GB2312"/>
          <w:color w:val="auto"/>
          <w:sz w:val="30"/>
          <w:szCs w:val="30"/>
          <w:highlight w:val="none"/>
          <w:lang w:eastAsia="zh-CN"/>
        </w:rPr>
        <w:t>不存在需要说明的事项。</w:t>
      </w:r>
    </w:p>
    <w:p w14:paraId="3F7C4B5B">
      <w:pPr>
        <w:widowControl/>
        <w:snapToGrid w:val="0"/>
        <w:spacing w:before="100" w:after="100" w:line="360" w:lineRule="auto"/>
        <w:ind w:firstLine="640" w:firstLineChars="200"/>
        <w:jc w:val="center"/>
        <w:outlineLvl w:val="0"/>
        <w:rPr>
          <w:rFonts w:hint="eastAsia" w:ascii="仿宋_GB2312" w:eastAsia="仿宋_GB2312"/>
          <w:color w:val="auto"/>
          <w:sz w:val="32"/>
          <w:szCs w:val="32"/>
          <w:highlight w:val="none"/>
        </w:rPr>
      </w:pPr>
      <w:r>
        <w:rPr>
          <w:rFonts w:hint="eastAsia" w:ascii="黑体" w:hAnsi="黑体" w:eastAsia="黑体" w:cs="方正小标宋简体"/>
          <w:color w:val="auto"/>
          <w:sz w:val="32"/>
          <w:szCs w:val="32"/>
          <w:highlight w:val="none"/>
        </w:rPr>
        <w:t xml:space="preserve">第四部分  </w:t>
      </w:r>
      <w:r>
        <w:rPr>
          <w:rFonts w:hint="eastAsia" w:ascii="黑体" w:hAnsi="黑体" w:eastAsia="黑体"/>
          <w:color w:val="auto"/>
          <w:sz w:val="32"/>
          <w:szCs w:val="32"/>
          <w:highlight w:val="none"/>
        </w:rPr>
        <w:t>其他重要事项及相关口径情况说明</w:t>
      </w:r>
    </w:p>
    <w:p w14:paraId="68AAB262">
      <w:pPr>
        <w:ind w:firstLine="600" w:firstLineChars="200"/>
        <w:jc w:val="left"/>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一</w:t>
      </w:r>
      <w:r>
        <w:rPr>
          <w:rFonts w:hint="eastAsia" w:ascii="黑体" w:hAnsi="黑体" w:eastAsia="黑体" w:cs="黑体"/>
          <w:color w:val="auto"/>
          <w:sz w:val="30"/>
          <w:szCs w:val="30"/>
          <w:highlight w:val="none"/>
          <w:lang w:eastAsia="zh-CN"/>
        </w:rPr>
        <w:t>、</w:t>
      </w:r>
      <w:r>
        <w:rPr>
          <w:rFonts w:hint="eastAsia" w:ascii="黑体" w:hAnsi="黑体" w:eastAsia="黑体" w:cs="黑体"/>
          <w:color w:val="auto"/>
          <w:sz w:val="30"/>
          <w:szCs w:val="30"/>
          <w:highlight w:val="none"/>
        </w:rPr>
        <w:t>机关运行经费支出情况</w:t>
      </w:r>
    </w:p>
    <w:p w14:paraId="11B461D7">
      <w:pPr>
        <w:pStyle w:val="9"/>
        <w:keepNext w:val="0"/>
        <w:keepLines w:val="0"/>
        <w:pageBreakBefore w:val="0"/>
        <w:widowControl w:val="0"/>
        <w:kinsoku/>
        <w:wordWrap/>
        <w:overflowPunct/>
        <w:topLinePunct w:val="0"/>
        <w:bidi w:val="0"/>
        <w:adjustRightInd/>
        <w:spacing w:before="0" w:after="0" w:line="360" w:lineRule="auto"/>
        <w:ind w:left="0" w:right="0" w:firstLine="600"/>
        <w:textAlignment w:val="auto"/>
        <w:rPr>
          <w:rFonts w:hint="eastAsia" w:ascii="仿宋_GB2312" w:hAnsi="黑体" w:eastAsia="仿宋_GB2312" w:cs="方正小标宋简体"/>
          <w:color w:val="auto"/>
          <w:sz w:val="30"/>
          <w:szCs w:val="30"/>
          <w:highlight w:val="none"/>
        </w:rPr>
      </w:pPr>
      <w:r>
        <w:rPr>
          <w:rFonts w:hint="eastAsia" w:ascii="仿宋_GB2312" w:hAnsi="仿宋_GB2312" w:eastAsia="仿宋_GB2312" w:cs="仿宋_GB2312"/>
          <w:color w:val="auto"/>
          <w:sz w:val="30"/>
          <w:lang w:val="zh-CN"/>
        </w:rPr>
        <w:t>华宁县教育体育局（本级）</w:t>
      </w:r>
      <w:r>
        <w:rPr>
          <w:rFonts w:hint="eastAsia" w:ascii="仿宋_GB2312" w:hAnsi="黑体" w:eastAsia="仿宋_GB2312" w:cs="方正小标宋简体"/>
          <w:color w:val="auto"/>
          <w:sz w:val="30"/>
          <w:szCs w:val="30"/>
          <w:highlight w:val="none"/>
          <w:lang w:val="en-US" w:eastAsia="zh-CN"/>
        </w:rPr>
        <w:t>2025</w:t>
      </w:r>
      <w:r>
        <w:rPr>
          <w:rFonts w:hint="eastAsia" w:ascii="仿宋_GB2312" w:hAnsi="黑体" w:eastAsia="仿宋_GB2312" w:cs="方正小标宋简体"/>
          <w:color w:val="auto"/>
          <w:sz w:val="30"/>
          <w:szCs w:val="30"/>
          <w:highlight w:val="none"/>
        </w:rPr>
        <w:t>年机关运行经费支出</w:t>
      </w:r>
      <w:r>
        <w:rPr>
          <w:rFonts w:hint="eastAsia" w:ascii="仿宋_GB2312" w:hAnsi="仿宋_GB2312" w:eastAsia="仿宋_GB2312" w:cs="仿宋_GB2312"/>
          <w:color w:val="auto"/>
          <w:sz w:val="30"/>
          <w:lang w:val="en-US" w:eastAsia="zh-CN"/>
        </w:rPr>
        <w:t>356667.46</w:t>
      </w:r>
      <w:r>
        <w:rPr>
          <w:rFonts w:hint="eastAsia" w:ascii="仿宋_GB2312" w:hAnsi="黑体" w:eastAsia="仿宋_GB2312" w:cs="方正小标宋简体"/>
          <w:color w:val="auto"/>
          <w:sz w:val="30"/>
          <w:szCs w:val="30"/>
          <w:highlight w:val="none"/>
          <w:lang w:eastAsia="zh-CN"/>
        </w:rPr>
        <w:t>元</w:t>
      </w:r>
      <w:r>
        <w:rPr>
          <w:rFonts w:hint="eastAsia" w:ascii="仿宋_GB2312" w:hAnsi="黑体" w:eastAsia="仿宋_GB2312" w:cs="方正小标宋简体"/>
          <w:color w:val="auto"/>
          <w:sz w:val="30"/>
          <w:szCs w:val="30"/>
          <w:highlight w:val="none"/>
        </w:rPr>
        <w:t>，</w:t>
      </w:r>
      <w:r>
        <w:rPr>
          <w:rFonts w:hint="eastAsia" w:ascii="仿宋_GB2312" w:hAnsi="黑体" w:eastAsia="仿宋_GB2312" w:cs="方正小标宋简体"/>
          <w:color w:val="auto"/>
          <w:sz w:val="30"/>
          <w:szCs w:val="30"/>
          <w:highlight w:val="none"/>
          <w:lang w:eastAsia="zh-CN"/>
        </w:rPr>
        <w:t>比上年</w:t>
      </w:r>
      <w:r>
        <w:rPr>
          <w:rFonts w:hint="eastAsia" w:ascii="仿宋_GB2312" w:eastAsia="仿宋_GB2312"/>
          <w:color w:val="auto"/>
          <w:sz w:val="30"/>
          <w:szCs w:val="30"/>
          <w:highlight w:val="none"/>
        </w:rPr>
        <w:t>增加</w:t>
      </w:r>
      <w:r>
        <w:rPr>
          <w:rFonts w:hint="eastAsia" w:ascii="仿宋_GB2312" w:hAnsi="仿宋_GB2312" w:eastAsia="仿宋_GB2312" w:cs="仿宋_GB2312"/>
          <w:color w:val="auto"/>
          <w:sz w:val="30"/>
          <w:lang w:val="en-US" w:eastAsia="zh-CN"/>
        </w:rPr>
        <w:t>55120.77</w:t>
      </w:r>
      <w:r>
        <w:rPr>
          <w:rFonts w:hint="eastAsia" w:ascii="仿宋_GB2312" w:eastAsia="仿宋_GB2312"/>
          <w:color w:val="auto"/>
          <w:sz w:val="30"/>
          <w:szCs w:val="30"/>
          <w:highlight w:val="none"/>
          <w:lang w:eastAsia="zh-CN"/>
        </w:rPr>
        <w:t>元</w:t>
      </w:r>
      <w:r>
        <w:rPr>
          <w:rFonts w:hint="eastAsia" w:ascii="仿宋_GB2312" w:eastAsia="仿宋_GB2312"/>
          <w:color w:val="auto"/>
          <w:sz w:val="30"/>
          <w:szCs w:val="30"/>
          <w:highlight w:val="none"/>
        </w:rPr>
        <w:t>，增长</w:t>
      </w:r>
      <w:r>
        <w:rPr>
          <w:rFonts w:hint="eastAsia" w:ascii="仿宋_GB2312" w:hAnsi="仿宋_GB2312" w:eastAsia="仿宋_GB2312" w:cs="仿宋_GB2312"/>
          <w:color w:val="auto"/>
          <w:sz w:val="30"/>
          <w:lang w:val="zh-CN"/>
        </w:rPr>
        <w:t>18.28</w:t>
      </w:r>
      <w:r>
        <w:rPr>
          <w:rFonts w:hint="eastAsia" w:ascii="仿宋_GB2312" w:eastAsia="仿宋_GB2312"/>
          <w:color w:val="auto"/>
          <w:sz w:val="30"/>
          <w:szCs w:val="30"/>
          <w:highlight w:val="none"/>
        </w:rPr>
        <w:t>%</w:t>
      </w:r>
      <w:r>
        <w:rPr>
          <w:rFonts w:hint="eastAsia" w:ascii="仿宋_GB2312" w:hAnsi="黑体" w:eastAsia="仿宋_GB2312" w:cs="方正小标宋简体"/>
          <w:color w:val="auto"/>
          <w:sz w:val="30"/>
          <w:szCs w:val="30"/>
          <w:highlight w:val="none"/>
        </w:rPr>
        <w:t>,主要原因</w:t>
      </w:r>
      <w:r>
        <w:rPr>
          <w:rFonts w:hint="eastAsia" w:ascii="仿宋_GB2312" w:hAnsi="黑体" w:eastAsia="仿宋_GB2312" w:cs="方正小标宋简体"/>
          <w:color w:val="auto"/>
          <w:sz w:val="30"/>
          <w:szCs w:val="30"/>
          <w:highlight w:val="none"/>
          <w:lang w:eastAsia="zh-CN"/>
        </w:rPr>
        <w:t>是</w:t>
      </w:r>
      <w:r>
        <w:rPr>
          <w:rFonts w:hint="eastAsia" w:ascii="仿宋_GB2312" w:hAnsi="仿宋_GB2312" w:eastAsia="仿宋_GB2312" w:cs="仿宋_GB2312"/>
          <w:b w:val="0"/>
          <w:bCs w:val="0"/>
          <w:color w:val="auto"/>
          <w:sz w:val="30"/>
          <w:szCs w:val="30"/>
          <w:highlight w:val="none"/>
          <w:lang w:eastAsia="zh-CN"/>
        </w:rPr>
        <w:t>行政成本增加</w:t>
      </w:r>
      <w:r>
        <w:rPr>
          <w:rFonts w:hint="eastAsia" w:ascii="仿宋_GB2312" w:hAnsi="仿宋_GB2312" w:eastAsia="仿宋_GB2312" w:cs="仿宋_GB2312"/>
          <w:b w:val="0"/>
          <w:bCs w:val="0"/>
          <w:color w:val="auto"/>
          <w:sz w:val="30"/>
          <w:szCs w:val="30"/>
          <w:highlight w:val="none"/>
        </w:rPr>
        <w:t>。部门机关运行经费主要用于</w:t>
      </w:r>
      <w:r>
        <w:rPr>
          <w:rFonts w:hint="eastAsia" w:ascii="仿宋" w:hAnsi="仿宋" w:eastAsia="仿宋"/>
          <w:b w:val="0"/>
          <w:bCs w:val="0"/>
          <w:color w:val="auto"/>
          <w:sz w:val="30"/>
          <w:lang w:val="en-US" w:eastAsia="zh-CN"/>
        </w:rPr>
        <w:t>日常办公费、水电费、差旅费、接待费、工会费的支出</w:t>
      </w:r>
      <w:r>
        <w:rPr>
          <w:rFonts w:hint="eastAsia" w:ascii="仿宋_GB2312" w:hAnsi="仿宋_GB2312" w:eastAsia="仿宋_GB2312" w:cs="仿宋_GB2312"/>
          <w:b w:val="0"/>
          <w:bCs w:val="0"/>
          <w:color w:val="auto"/>
          <w:sz w:val="30"/>
          <w:szCs w:val="30"/>
          <w:highlight w:val="none"/>
        </w:rPr>
        <w:t>。</w:t>
      </w:r>
    </w:p>
    <w:p w14:paraId="34398E13">
      <w:pPr>
        <w:widowControl/>
        <w:ind w:firstLine="600" w:firstLineChars="200"/>
        <w:outlineLvl w:val="1"/>
        <w:rPr>
          <w:rFonts w:hint="eastAsia" w:ascii="黑体" w:hAnsi="黑体" w:eastAsia="黑体" w:cs="黑体"/>
          <w:color w:val="auto"/>
          <w:kern w:val="0"/>
          <w:sz w:val="30"/>
          <w:szCs w:val="30"/>
          <w:highlight w:val="none"/>
        </w:rPr>
      </w:pPr>
      <w:r>
        <w:rPr>
          <w:rFonts w:hint="eastAsia" w:ascii="黑体" w:hAnsi="黑体" w:eastAsia="黑体" w:cs="黑体"/>
          <w:color w:val="auto"/>
          <w:kern w:val="0"/>
          <w:sz w:val="30"/>
          <w:szCs w:val="30"/>
          <w:highlight w:val="none"/>
          <w:lang w:eastAsia="zh-CN"/>
        </w:rPr>
        <w:t>二、</w:t>
      </w:r>
      <w:r>
        <w:rPr>
          <w:rFonts w:hint="eastAsia" w:ascii="黑体" w:hAnsi="黑体" w:eastAsia="黑体" w:cs="黑体"/>
          <w:color w:val="auto"/>
          <w:kern w:val="0"/>
          <w:sz w:val="30"/>
          <w:szCs w:val="30"/>
          <w:highlight w:val="none"/>
        </w:rPr>
        <w:t>国有资产占用情况</w:t>
      </w:r>
    </w:p>
    <w:p w14:paraId="27E06688">
      <w:pPr>
        <w:widowControl/>
        <w:ind w:firstLine="600" w:firstLineChars="200"/>
        <w:rPr>
          <w:rFonts w:hint="eastAsia" w:ascii="仿宋_GB2312" w:hAnsi="黑体" w:eastAsia="仿宋_GB2312" w:cs="方正小标宋简体"/>
          <w:color w:val="auto"/>
          <w:kern w:val="0"/>
          <w:sz w:val="30"/>
          <w:szCs w:val="30"/>
          <w:highlight w:val="none"/>
        </w:rPr>
      </w:pPr>
      <w:r>
        <w:rPr>
          <w:rFonts w:hint="eastAsia" w:ascii="仿宋_GB2312" w:hAnsi="仿宋_GB2312" w:eastAsia="仿宋_GB2312" w:cs="仿宋_GB2312"/>
          <w:color w:val="auto"/>
          <w:sz w:val="30"/>
          <w:szCs w:val="30"/>
          <w:highlight w:val="none"/>
          <w:lang w:eastAsia="zh-CN"/>
        </w:rPr>
        <w:t>截至202</w:t>
      </w:r>
      <w:r>
        <w:rPr>
          <w:rFonts w:hint="eastAsia" w:ascii="仿宋_GB2312" w:hAnsi="仿宋_GB2312" w:eastAsia="仿宋_GB2312" w:cs="仿宋_GB2312"/>
          <w:color w:val="auto"/>
          <w:sz w:val="30"/>
          <w:szCs w:val="30"/>
          <w:highlight w:val="none"/>
          <w:lang w:val="en-US" w:eastAsia="zh-CN"/>
        </w:rPr>
        <w:t>5</w:t>
      </w:r>
      <w:r>
        <w:rPr>
          <w:rFonts w:hint="eastAsia" w:ascii="仿宋_GB2312" w:hAnsi="仿宋_GB2312" w:eastAsia="仿宋_GB2312" w:cs="仿宋_GB2312"/>
          <w:color w:val="auto"/>
          <w:sz w:val="30"/>
          <w:szCs w:val="30"/>
          <w:highlight w:val="none"/>
          <w:lang w:eastAsia="zh-CN"/>
        </w:rPr>
        <w:t>年末，</w:t>
      </w:r>
      <w:r>
        <w:rPr>
          <w:rFonts w:hint="eastAsia" w:ascii="仿宋_GB2312" w:hAnsi="仿宋_GB2312" w:eastAsia="仿宋_GB2312" w:cs="仿宋_GB2312"/>
          <w:color w:val="auto"/>
          <w:sz w:val="30"/>
          <w:lang w:val="zh-CN"/>
        </w:rPr>
        <w:t>华宁县教育体育局（本级）</w:t>
      </w:r>
      <w:r>
        <w:rPr>
          <w:rFonts w:hint="eastAsia" w:ascii="仿宋_GB2312" w:hAnsi="仿宋_GB2312" w:eastAsia="仿宋_GB2312" w:cs="仿宋_GB2312"/>
          <w:color w:val="auto"/>
          <w:sz w:val="30"/>
          <w:szCs w:val="30"/>
          <w:highlight w:val="none"/>
          <w:lang w:eastAsia="zh-CN"/>
        </w:rPr>
        <w:t>资产总额6,069,619.37元，其中，流动资产1,417,409.44元，固定资产2,440,106.89元（净值），对外投资及有价证券</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元，在建工程1,297,700.00元，无形资产914,403.04元（净值），其他资产</w:t>
      </w:r>
      <w:r>
        <w:rPr>
          <w:rFonts w:hint="eastAsia" w:ascii="仿宋_GB2312" w:hAnsi="仿宋_GB2312" w:eastAsia="仿宋_GB2312" w:cs="仿宋_GB2312"/>
          <w:color w:val="auto"/>
          <w:sz w:val="30"/>
          <w:szCs w:val="30"/>
          <w:highlight w:val="none"/>
          <w:lang w:val="en-US" w:eastAsia="zh-CN"/>
        </w:rPr>
        <w:t>0.00</w:t>
      </w:r>
      <w:r>
        <w:rPr>
          <w:rFonts w:hint="eastAsia" w:ascii="仿宋_GB2312" w:hAnsi="仿宋_GB2312" w:eastAsia="仿宋_GB2312" w:cs="仿宋_GB2312"/>
          <w:color w:val="auto"/>
          <w:sz w:val="30"/>
          <w:szCs w:val="30"/>
          <w:highlight w:val="none"/>
          <w:lang w:eastAsia="zh-CN"/>
        </w:rPr>
        <w:t>元（净值）（具体内容详见附表）</w:t>
      </w:r>
      <w:r>
        <w:rPr>
          <w:rFonts w:hint="eastAsia" w:ascii="仿宋_GB2312" w:hAnsi="黑体" w:eastAsia="仿宋_GB2312" w:cs="方正小标宋简体"/>
          <w:color w:val="auto"/>
          <w:kern w:val="0"/>
          <w:sz w:val="30"/>
          <w:szCs w:val="30"/>
          <w:highlight w:val="none"/>
        </w:rPr>
        <w:t>。与上年相比，本年资产总额增加1,244,432.86</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，其中固定资产增加259,950.00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。处置房屋建筑物</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；处置车辆</w:t>
      </w:r>
      <w:r>
        <w:rPr>
          <w:rFonts w:hint="eastAsia" w:ascii="仿宋_GB2312" w:hAnsi="黑体" w:eastAsia="仿宋_GB2312" w:cs="方正小标宋简体"/>
          <w:color w:val="auto"/>
          <w:kern w:val="0"/>
          <w:sz w:val="30"/>
          <w:szCs w:val="30"/>
          <w:highlight w:val="none"/>
          <w:lang w:val="en-US" w:eastAsia="zh-CN"/>
        </w:rPr>
        <w:t>0</w:t>
      </w:r>
      <w:r>
        <w:rPr>
          <w:rFonts w:hint="eastAsia" w:ascii="仿宋_GB2312" w:hAnsi="黑体" w:eastAsia="仿宋_GB2312" w:cs="方正小标宋简体"/>
          <w:color w:val="auto"/>
          <w:kern w:val="0"/>
          <w:sz w:val="30"/>
          <w:szCs w:val="30"/>
          <w:highlight w:val="none"/>
        </w:rPr>
        <w:t>辆，账面原值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；报废报损资产</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项，账面原值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，实现资产处置收入</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；出租房屋</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rPr>
        <w:t>平方米，账面原值</w:t>
      </w:r>
      <w:r>
        <w:rPr>
          <w:rFonts w:hint="eastAsia" w:ascii="仿宋_GB2312" w:hAnsi="黑体" w:eastAsia="仿宋_GB2312" w:cs="方正小标宋简体"/>
          <w:color w:val="auto"/>
          <w:kern w:val="0"/>
          <w:sz w:val="30"/>
          <w:szCs w:val="30"/>
          <w:highlight w:val="none"/>
          <w:lang w:val="en-US" w:eastAsia="zh-CN"/>
        </w:rPr>
        <w:t>0.00</w:t>
      </w:r>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，实现资产使用收入</w:t>
      </w:r>
      <w:r>
        <w:rPr>
          <w:rFonts w:hint="eastAsia" w:ascii="仿宋_GB2312" w:hAnsi="黑体" w:eastAsia="仿宋_GB2312" w:cs="方正小标宋简体"/>
          <w:color w:val="auto"/>
          <w:kern w:val="0"/>
          <w:sz w:val="30"/>
          <w:szCs w:val="30"/>
          <w:highlight w:val="none"/>
          <w:lang w:val="en-US" w:eastAsia="zh-CN"/>
        </w:rPr>
        <w:t>36793.02</w:t>
      </w:r>
      <w:bookmarkStart w:id="0" w:name="_GoBack"/>
      <w:bookmarkEnd w:id="0"/>
      <w:r>
        <w:rPr>
          <w:rFonts w:hint="eastAsia" w:ascii="仿宋_GB2312" w:hAnsi="黑体" w:eastAsia="仿宋_GB2312" w:cs="方正小标宋简体"/>
          <w:color w:val="auto"/>
          <w:kern w:val="0"/>
          <w:sz w:val="30"/>
          <w:szCs w:val="30"/>
          <w:highlight w:val="none"/>
          <w:lang w:eastAsia="zh-CN"/>
        </w:rPr>
        <w:t>元</w:t>
      </w:r>
      <w:r>
        <w:rPr>
          <w:rFonts w:hint="eastAsia" w:ascii="仿宋_GB2312" w:hAnsi="黑体" w:eastAsia="仿宋_GB2312" w:cs="方正小标宋简体"/>
          <w:color w:val="auto"/>
          <w:kern w:val="0"/>
          <w:sz w:val="30"/>
          <w:szCs w:val="30"/>
          <w:highlight w:val="none"/>
        </w:rPr>
        <w:t>。</w:t>
      </w:r>
    </w:p>
    <w:p w14:paraId="10C7104E">
      <w:pPr>
        <w:widowControl/>
        <w:ind w:firstLine="600" w:firstLineChars="200"/>
        <w:rPr>
          <w:rFonts w:hint="eastAsia" w:ascii="仿宋_GB2312" w:hAnsi="黑体" w:eastAsia="仿宋_GB2312" w:cs="方正小标宋简体"/>
          <w:color w:val="auto"/>
          <w:kern w:val="0"/>
          <w:sz w:val="30"/>
          <w:szCs w:val="30"/>
          <w:highlight w:val="none"/>
          <w:lang w:eastAsia="zh-CN"/>
        </w:rPr>
      </w:pPr>
      <w:r>
        <w:rPr>
          <w:rFonts w:hint="eastAsia" w:ascii="仿宋_GB2312" w:hAnsi="黑体" w:eastAsia="仿宋_GB2312" w:cs="方正小标宋简体"/>
          <w:color w:val="auto"/>
          <w:kern w:val="0"/>
          <w:sz w:val="30"/>
          <w:szCs w:val="30"/>
          <w:highlight w:val="none"/>
          <w:lang w:eastAsia="zh-CN"/>
        </w:rPr>
        <w:t>（</w:t>
      </w:r>
      <w:r>
        <w:rPr>
          <w:rFonts w:hint="eastAsia" w:ascii="仿宋_GB2312" w:hAnsi="黑体" w:eastAsia="仿宋_GB2312" w:cs="方正小标宋简体"/>
          <w:color w:val="auto"/>
          <w:kern w:val="0"/>
          <w:sz w:val="30"/>
          <w:szCs w:val="30"/>
          <w:highlight w:val="none"/>
        </w:rPr>
        <w:t>国有资产占有使用情况表</w:t>
      </w:r>
      <w:r>
        <w:rPr>
          <w:rFonts w:hint="eastAsia" w:ascii="仿宋_GB2312" w:hAnsi="黑体" w:eastAsia="仿宋_GB2312" w:cs="方正小标宋简体"/>
          <w:color w:val="auto"/>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5555B4E5">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7752C374">
            <w:pPr>
              <w:widowControl/>
              <w:jc w:val="left"/>
              <w:rPr>
                <w:rFonts w:ascii="宋体" w:hAnsi="宋体" w:cs="宋体"/>
                <w:color w:val="auto"/>
                <w:kern w:val="0"/>
                <w:sz w:val="17"/>
                <w:szCs w:val="17"/>
                <w:highlight w:val="none"/>
              </w:rPr>
            </w:pPr>
          </w:p>
        </w:tc>
      </w:tr>
      <w:tr w14:paraId="382DA193">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F83715B">
            <w:pPr>
              <w:widowControl/>
              <w:jc w:val="left"/>
              <w:rPr>
                <w:rFonts w:ascii="宋体" w:hAnsi="宋体" w:cs="宋体"/>
                <w:color w:val="auto"/>
                <w:kern w:val="0"/>
                <w:sz w:val="17"/>
                <w:szCs w:val="17"/>
                <w:highlight w:val="none"/>
              </w:rPr>
            </w:pPr>
          </w:p>
        </w:tc>
      </w:tr>
      <w:tr w14:paraId="4245BAEB">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7ED4876A">
            <w:pPr>
              <w:widowControl/>
              <w:jc w:val="left"/>
              <w:rPr>
                <w:rFonts w:ascii="宋体" w:hAnsi="宋体" w:cs="宋体"/>
                <w:color w:val="auto"/>
                <w:kern w:val="0"/>
                <w:sz w:val="17"/>
                <w:szCs w:val="17"/>
                <w:highlight w:val="none"/>
              </w:rPr>
            </w:pPr>
          </w:p>
        </w:tc>
      </w:tr>
      <w:tr w14:paraId="1F0DB6B6">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1C268EA0">
            <w:pPr>
              <w:widowControl/>
              <w:jc w:val="left"/>
              <w:rPr>
                <w:rFonts w:ascii="宋体" w:hAnsi="宋体" w:cs="宋体"/>
                <w:color w:val="auto"/>
                <w:kern w:val="0"/>
                <w:sz w:val="17"/>
                <w:szCs w:val="17"/>
                <w:highlight w:val="none"/>
              </w:rPr>
            </w:pPr>
          </w:p>
        </w:tc>
      </w:tr>
      <w:tr w14:paraId="0F54841B">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72E3BD76">
            <w:pPr>
              <w:widowControl/>
              <w:jc w:val="left"/>
              <w:rPr>
                <w:rFonts w:ascii="宋体" w:hAnsi="宋体" w:cs="宋体"/>
                <w:color w:val="auto"/>
                <w:kern w:val="0"/>
                <w:sz w:val="17"/>
                <w:szCs w:val="17"/>
                <w:highlight w:val="none"/>
              </w:rPr>
            </w:pPr>
          </w:p>
        </w:tc>
      </w:tr>
      <w:tr w14:paraId="07D09051">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131B9D33">
            <w:pPr>
              <w:widowControl/>
              <w:jc w:val="left"/>
              <w:rPr>
                <w:rFonts w:ascii="宋体" w:hAnsi="宋体" w:cs="宋体"/>
                <w:color w:val="auto"/>
                <w:kern w:val="0"/>
                <w:sz w:val="17"/>
                <w:szCs w:val="17"/>
                <w:highlight w:val="none"/>
              </w:rPr>
            </w:pPr>
          </w:p>
        </w:tc>
      </w:tr>
      <w:tr w14:paraId="0335D103">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651EF6A4">
            <w:pPr>
              <w:widowControl/>
              <w:jc w:val="left"/>
              <w:rPr>
                <w:rFonts w:ascii="宋体" w:hAnsi="宋体" w:cs="宋体"/>
                <w:color w:val="auto"/>
                <w:kern w:val="0"/>
                <w:sz w:val="17"/>
                <w:szCs w:val="17"/>
                <w:highlight w:val="none"/>
              </w:rPr>
            </w:pPr>
          </w:p>
        </w:tc>
      </w:tr>
      <w:tr w14:paraId="1C1767D2">
        <w:tblPrEx>
          <w:tblCellMar>
            <w:top w:w="0" w:type="dxa"/>
            <w:left w:w="0" w:type="dxa"/>
            <w:bottom w:w="0" w:type="dxa"/>
            <w:right w:w="0" w:type="dxa"/>
          </w:tblCellMar>
        </w:tblPrEx>
        <w:trPr>
          <w:trHeight w:val="495" w:hRule="atLeast"/>
        </w:trPr>
        <w:tc>
          <w:tcPr>
            <w:tcW w:w="142" w:type="dxa"/>
            <w:noWrap w:val="0"/>
            <w:vAlign w:val="center"/>
          </w:tcPr>
          <w:p w14:paraId="6332FCCD">
            <w:pPr>
              <w:widowControl/>
              <w:jc w:val="left"/>
              <w:rPr>
                <w:rFonts w:ascii="Times New Roman" w:hAnsi="Times New Roman" w:eastAsia="Times New Roman"/>
                <w:color w:val="auto"/>
                <w:kern w:val="0"/>
                <w:sz w:val="20"/>
                <w:szCs w:val="20"/>
                <w:highlight w:val="none"/>
              </w:rPr>
            </w:pPr>
          </w:p>
        </w:tc>
      </w:tr>
    </w:tbl>
    <w:p w14:paraId="41583562">
      <w:pPr>
        <w:ind w:firstLine="600" w:firstLineChars="200"/>
        <w:jc w:val="left"/>
        <w:outlineLvl w:val="1"/>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lang w:eastAsia="zh-CN"/>
        </w:rPr>
        <w:t>三、政</w:t>
      </w:r>
      <w:r>
        <w:rPr>
          <w:rFonts w:hint="eastAsia" w:ascii="黑体" w:hAnsi="黑体" w:eastAsia="黑体" w:cs="黑体"/>
          <w:color w:val="auto"/>
          <w:sz w:val="30"/>
          <w:szCs w:val="30"/>
          <w:highlight w:val="none"/>
        </w:rPr>
        <w:t>府采购支出情况</w:t>
      </w:r>
    </w:p>
    <w:p w14:paraId="1575B83A">
      <w:pPr>
        <w:ind w:firstLine="600" w:firstLineChars="200"/>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259950.00</w:t>
      </w:r>
      <w:r>
        <w:rPr>
          <w:rFonts w:hint="eastAsia" w:ascii="仿宋_GB2312" w:hAnsi="仿宋_GB2312" w:eastAsia="仿宋_GB2312" w:cs="仿宋_GB2312"/>
          <w:color w:val="auto"/>
          <w:sz w:val="30"/>
          <w:szCs w:val="30"/>
          <w:highlight w:val="none"/>
          <w:lang w:val="en-US" w:eastAsia="zh-CN"/>
        </w:rPr>
        <w:t>元，其中：政府采购货物支出</w:t>
      </w:r>
      <w:r>
        <w:rPr>
          <w:rFonts w:hint="eastAsia" w:ascii="仿宋_GB2312" w:hAnsi="仿宋_GB2312" w:eastAsia="仿宋_GB2312" w:cs="仿宋_GB2312"/>
          <w:color w:val="auto"/>
          <w:sz w:val="30"/>
          <w:lang w:val="zh-CN"/>
        </w:rPr>
        <w:t>259950.00</w:t>
      </w:r>
      <w:r>
        <w:rPr>
          <w:rFonts w:hint="eastAsia" w:ascii="仿宋_GB2312" w:hAnsi="仿宋_GB2312" w:eastAsia="仿宋_GB2312" w:cs="仿宋_GB2312"/>
          <w:color w:val="auto"/>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color w:val="auto"/>
          <w:sz w:val="30"/>
          <w:szCs w:val="30"/>
          <w:highlight w:val="none"/>
          <w:lang w:val="en-US" w:eastAsia="zh-CN"/>
        </w:rPr>
        <w:t>元。</w:t>
      </w:r>
    </w:p>
    <w:p w14:paraId="5DC7F811">
      <w:pPr>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四、单位绩效自评情况</w:t>
      </w:r>
    </w:p>
    <w:p w14:paraId="74D81A0D">
      <w:pPr>
        <w:widowControl/>
        <w:snapToGrid w:val="0"/>
        <w:spacing w:before="100" w:after="100" w:line="360" w:lineRule="auto"/>
        <w:ind w:firstLine="600"/>
        <w:jc w:val="left"/>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单位绩效自评情况详见附表。</w:t>
      </w:r>
    </w:p>
    <w:p w14:paraId="0888C022">
      <w:pPr>
        <w:widowControl/>
        <w:snapToGrid w:val="0"/>
        <w:spacing w:before="100" w:after="100" w:line="360" w:lineRule="auto"/>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五、其他重要事项情况说明</w:t>
      </w:r>
    </w:p>
    <w:p w14:paraId="26509244">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无</w:t>
      </w:r>
      <w:r>
        <w:rPr>
          <w:rFonts w:hint="eastAsia" w:ascii="仿宋_GB2312" w:hAnsi="黑体" w:eastAsia="仿宋_GB2312" w:cs="方正小标宋简体"/>
          <w:color w:val="auto"/>
          <w:sz w:val="30"/>
          <w:szCs w:val="30"/>
          <w:highlight w:val="none"/>
        </w:rPr>
        <w:t>。</w:t>
      </w:r>
    </w:p>
    <w:p w14:paraId="2EDA8AD9">
      <w:pPr>
        <w:widowControl/>
        <w:snapToGrid w:val="0"/>
        <w:spacing w:before="100" w:after="100" w:line="360" w:lineRule="auto"/>
        <w:ind w:firstLine="600" w:firstLineChars="200"/>
        <w:jc w:val="left"/>
        <w:outlineLvl w:val="1"/>
        <w:rPr>
          <w:rFonts w:hint="eastAsia" w:ascii="黑体" w:hAnsi="黑体" w:eastAsia="黑体" w:cs="黑体"/>
          <w:color w:val="auto"/>
          <w:sz w:val="30"/>
          <w:szCs w:val="30"/>
          <w:highlight w:val="none"/>
          <w:lang w:val="en-US" w:eastAsia="zh-CN"/>
        </w:rPr>
      </w:pPr>
      <w:r>
        <w:rPr>
          <w:rFonts w:hint="eastAsia" w:ascii="黑体" w:hAnsi="黑体" w:eastAsia="黑体" w:cs="黑体"/>
          <w:color w:val="auto"/>
          <w:sz w:val="30"/>
          <w:szCs w:val="30"/>
          <w:highlight w:val="none"/>
          <w:lang w:val="en-US" w:eastAsia="zh-CN"/>
        </w:rPr>
        <w:t>六、相关口径说明</w:t>
      </w:r>
    </w:p>
    <w:p w14:paraId="3B6A9B97">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（一）</w:t>
      </w:r>
      <w:r>
        <w:rPr>
          <w:rFonts w:hint="eastAsia" w:ascii="仿宋_GB2312" w:hAnsi="黑体" w:eastAsia="仿宋_GB2312" w:cs="方正小标宋简体"/>
          <w:color w:val="auto"/>
          <w:sz w:val="30"/>
          <w:szCs w:val="30"/>
          <w:highlight w:val="none"/>
        </w:rPr>
        <w:t>基本支出中人员经费包括工资福利支出和对个人和家庭的补助，公用</w:t>
      </w:r>
      <w:r>
        <w:rPr>
          <w:rFonts w:hint="eastAsia" w:ascii="仿宋_GB2312" w:hAnsi="黑体" w:eastAsia="仿宋_GB2312" w:cs="方正小标宋简体"/>
          <w:color w:val="auto"/>
          <w:sz w:val="30"/>
          <w:szCs w:val="30"/>
          <w:highlight w:val="none"/>
          <w:lang w:eastAsia="zh-CN"/>
        </w:rPr>
        <w:t>经费</w:t>
      </w:r>
      <w:r>
        <w:rPr>
          <w:rFonts w:hint="eastAsia" w:ascii="仿宋_GB2312" w:hAnsi="黑体" w:eastAsia="仿宋_GB2312" w:cs="方正小标宋简体"/>
          <w:color w:val="auto"/>
          <w:sz w:val="30"/>
          <w:szCs w:val="30"/>
          <w:highlight w:val="none"/>
        </w:rPr>
        <w:t>包括商品和服务支出、资本性支出等人员经费以外的支出。</w:t>
      </w:r>
    </w:p>
    <w:p w14:paraId="4455828E">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（二）</w:t>
      </w:r>
      <w:r>
        <w:rPr>
          <w:rFonts w:hint="eastAsia" w:ascii="仿宋_GB2312" w:hAnsi="黑体" w:eastAsia="仿宋_GB2312"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color w:val="auto"/>
          <w:sz w:val="30"/>
          <w:szCs w:val="30"/>
          <w:highlight w:val="none"/>
          <w:lang w:eastAsia="zh-CN"/>
        </w:rPr>
        <w:t>。</w:t>
      </w:r>
    </w:p>
    <w:p w14:paraId="5E952B27">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（三）</w:t>
      </w:r>
      <w:r>
        <w:rPr>
          <w:rFonts w:hint="eastAsia" w:ascii="仿宋_GB2312" w:hAnsi="黑体" w:eastAsia="仿宋_GB2312" w:cs="方正小标宋简体"/>
          <w:color w:val="auto"/>
          <w:sz w:val="30"/>
          <w:szCs w:val="30"/>
          <w:highlight w:val="none"/>
        </w:rPr>
        <w:t>按照党中央、国务院有关文件及部门预算管理有关规定，“三公”经费包括因公出国（境）费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、公务用车购置及运行维护费、公务接待费。其中：因公出国（境）费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color w:val="auto"/>
          <w:sz w:val="30"/>
          <w:szCs w:val="30"/>
          <w:highlight w:val="none"/>
          <w:lang w:eastAsia="zh-CN"/>
        </w:rPr>
        <w:t>、牌照费</w:t>
      </w:r>
      <w:r>
        <w:rPr>
          <w:rFonts w:hint="eastAsia" w:ascii="仿宋_GB2312" w:hAnsi="黑体" w:eastAsia="仿宋_GB2312"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7F28A3EE">
      <w:pPr>
        <w:ind w:firstLine="600" w:firstLineChars="200"/>
        <w:jc w:val="left"/>
        <w:rPr>
          <w:rFonts w:hint="eastAsia" w:ascii="仿宋_GB2312" w:hAnsi="黑体" w:eastAsia="仿宋_GB2312" w:cs="方正小标宋简体"/>
          <w:color w:val="auto"/>
          <w:sz w:val="30"/>
          <w:szCs w:val="30"/>
          <w:highlight w:val="none"/>
        </w:rPr>
      </w:pPr>
      <w:r>
        <w:rPr>
          <w:rFonts w:hint="eastAsia" w:ascii="仿宋_GB2312" w:hAnsi="黑体" w:eastAsia="仿宋_GB2312" w:cs="方正小标宋简体"/>
          <w:color w:val="auto"/>
          <w:sz w:val="30"/>
          <w:szCs w:val="30"/>
          <w:highlight w:val="none"/>
          <w:lang w:eastAsia="zh-CN"/>
        </w:rPr>
        <w:t>（四）本文所称财政拨款</w:t>
      </w:r>
      <w:r>
        <w:rPr>
          <w:rFonts w:hint="eastAsia" w:ascii="仿宋_GB2312" w:hAnsi="黑体" w:eastAsia="仿宋_GB2312" w:cs="方正小标宋简体"/>
          <w:color w:val="auto"/>
          <w:sz w:val="30"/>
          <w:szCs w:val="30"/>
          <w:highlight w:val="none"/>
        </w:rPr>
        <w:t>“三公”经费决算数</w:t>
      </w:r>
      <w:r>
        <w:rPr>
          <w:rFonts w:hint="eastAsia" w:ascii="仿宋_GB2312" w:hAnsi="黑体" w:eastAsia="仿宋_GB2312" w:cs="方正小标宋简体"/>
          <w:color w:val="auto"/>
          <w:sz w:val="30"/>
          <w:szCs w:val="30"/>
          <w:highlight w:val="none"/>
          <w:lang w:eastAsia="zh-CN"/>
        </w:rPr>
        <w:t>是</w:t>
      </w:r>
      <w:r>
        <w:rPr>
          <w:rFonts w:hint="eastAsia" w:ascii="仿宋_GB2312" w:hAnsi="黑体" w:eastAsia="仿宋_GB2312" w:cs="方正小标宋简体"/>
          <w:color w:val="auto"/>
          <w:sz w:val="30"/>
          <w:szCs w:val="30"/>
          <w:highlight w:val="none"/>
        </w:rPr>
        <w:t>指各部门（含下属单位）</w:t>
      </w:r>
      <w:r>
        <w:rPr>
          <w:rFonts w:hint="eastAsia" w:ascii="仿宋_GB2312" w:hAnsi="黑体" w:eastAsia="仿宋_GB2312" w:cs="方正小标宋简体"/>
          <w:color w:val="auto"/>
          <w:sz w:val="30"/>
          <w:szCs w:val="30"/>
          <w:highlight w:val="none"/>
          <w:lang w:eastAsia="zh-CN"/>
        </w:rPr>
        <w:t>或单位</w:t>
      </w:r>
      <w:r>
        <w:rPr>
          <w:rFonts w:hint="eastAsia" w:ascii="仿宋_GB2312" w:hAnsi="黑体" w:eastAsia="仿宋_GB2312" w:cs="方正小标宋简体"/>
          <w:color w:val="auto"/>
          <w:sz w:val="30"/>
          <w:szCs w:val="30"/>
          <w:highlight w:val="none"/>
        </w:rPr>
        <w:t>当年通过本级财政拨款和以前年度财政拨款结转结余资金安排的因公出国（境）费</w:t>
      </w:r>
      <w:r>
        <w:rPr>
          <w:rFonts w:hint="eastAsia" w:ascii="仿宋_GB2312" w:hAnsi="黑体" w:eastAsia="仿宋_GB2312" w:cs="方正小标宋简体"/>
          <w:color w:val="auto"/>
          <w:sz w:val="30"/>
          <w:szCs w:val="30"/>
          <w:highlight w:val="none"/>
          <w:lang w:val="en-US" w:eastAsia="zh-CN"/>
        </w:rPr>
        <w:t>用</w:t>
      </w:r>
      <w:r>
        <w:rPr>
          <w:rFonts w:hint="eastAsia" w:ascii="仿宋_GB2312" w:hAnsi="黑体" w:eastAsia="仿宋_GB2312" w:cs="方正小标宋简体"/>
          <w:color w:val="auto"/>
          <w:sz w:val="30"/>
          <w:szCs w:val="30"/>
          <w:highlight w:val="none"/>
        </w:rPr>
        <w:t>、公务用车购置及运行维护费和公务接待费支出数（包括基本支出和项目支出）。</w:t>
      </w:r>
    </w:p>
    <w:p w14:paraId="5921DE1F">
      <w:pPr>
        <w:jc w:val="center"/>
        <w:outlineLvl w:val="0"/>
        <w:rPr>
          <w:rFonts w:hint="eastAsia" w:ascii="黑体" w:hAnsi="黑体" w:eastAsia="黑体" w:cs="方正小标宋简体"/>
          <w:color w:val="auto"/>
          <w:sz w:val="32"/>
          <w:szCs w:val="32"/>
          <w:highlight w:val="none"/>
        </w:rPr>
      </w:pPr>
      <w:r>
        <w:rPr>
          <w:rFonts w:hint="eastAsia" w:ascii="黑体" w:hAnsi="黑体" w:eastAsia="黑体" w:cs="方正小标宋简体"/>
          <w:color w:val="auto"/>
          <w:sz w:val="32"/>
          <w:szCs w:val="32"/>
          <w:highlight w:val="none"/>
        </w:rPr>
        <w:t>第</w:t>
      </w:r>
      <w:r>
        <w:rPr>
          <w:rFonts w:hint="eastAsia" w:ascii="黑体" w:hAnsi="黑体" w:eastAsia="黑体" w:cs="方正小标宋简体"/>
          <w:color w:val="auto"/>
          <w:sz w:val="32"/>
          <w:szCs w:val="32"/>
          <w:highlight w:val="none"/>
          <w:lang w:eastAsia="zh-CN"/>
        </w:rPr>
        <w:t>五</w:t>
      </w:r>
      <w:r>
        <w:rPr>
          <w:rFonts w:hint="eastAsia" w:ascii="黑体" w:hAnsi="黑体" w:eastAsia="黑体" w:cs="方正小标宋简体"/>
          <w:color w:val="auto"/>
          <w:sz w:val="32"/>
          <w:szCs w:val="32"/>
          <w:highlight w:val="none"/>
        </w:rPr>
        <w:t>部分  名词解释</w:t>
      </w:r>
    </w:p>
    <w:p w14:paraId="60947283">
      <w:pPr>
        <w:ind w:firstLine="600" w:firstLineChars="200"/>
        <w:jc w:val="left"/>
        <w:rPr>
          <w:rFonts w:hint="eastAsia" w:ascii="仿宋_GB2312" w:hAnsi="黑体" w:eastAsia="仿宋_GB2312" w:cs="方正小标宋简体"/>
          <w:color w:val="auto"/>
          <w:sz w:val="30"/>
          <w:szCs w:val="30"/>
          <w:highlight w:val="none"/>
          <w:lang w:eastAsia="zh-CN"/>
        </w:rPr>
      </w:pPr>
      <w:r>
        <w:rPr>
          <w:rFonts w:hint="eastAsia" w:ascii="仿宋_GB2312" w:hAnsi="黑体" w:eastAsia="仿宋_GB2312" w:cs="方正小标宋简体"/>
          <w:color w:val="auto"/>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78C39EE3">
      <w:pPr>
        <w:rPr>
          <w:color w:val="auto"/>
          <w:highlight w:val="none"/>
        </w:rPr>
      </w:pP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644E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145D66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5145D66D">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6AACD">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15774C8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9F91A">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20EF4398"/>
    <w:multiLevelType w:val="singleLevel"/>
    <w:tmpl w:val="20EF4398"/>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1340E1"/>
    <w:rsid w:val="0C01164E"/>
    <w:rsid w:val="0C9569EB"/>
    <w:rsid w:val="0FAC230E"/>
    <w:rsid w:val="11354562"/>
    <w:rsid w:val="179E7480"/>
    <w:rsid w:val="19DD7343"/>
    <w:rsid w:val="1BCB2327"/>
    <w:rsid w:val="1C422BD3"/>
    <w:rsid w:val="1CB4744B"/>
    <w:rsid w:val="30C53933"/>
    <w:rsid w:val="32BF5DE3"/>
    <w:rsid w:val="333A4A4D"/>
    <w:rsid w:val="36421CF5"/>
    <w:rsid w:val="368A3C59"/>
    <w:rsid w:val="37F708BD"/>
    <w:rsid w:val="3B391C44"/>
    <w:rsid w:val="3F741D81"/>
    <w:rsid w:val="4E5466E1"/>
    <w:rsid w:val="51385D77"/>
    <w:rsid w:val="515C7B6E"/>
    <w:rsid w:val="5D0C2D89"/>
    <w:rsid w:val="665B6516"/>
    <w:rsid w:val="71635485"/>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 w:type="paragraph" w:customStyle="1" w:styleId="9">
    <w:name w:val="p_MsoNormal"/>
    <w:basedOn w:val="1"/>
    <w:qFormat/>
    <w:uiPriority w:val="0"/>
    <w:pPr>
      <w:jc w:val="left"/>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19d1c3-513d-4b85-95be-b8267d2c5bae}">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20</Pages>
  <Words>8730</Words>
  <Characters>10238</Characters>
  <Lines>0</Lines>
  <Paragraphs>0</Paragraphs>
  <TotalTime>31</TotalTime>
  <ScaleCrop>false</ScaleCrop>
  <LinksUpToDate>false</LinksUpToDate>
  <CharactersWithSpaces>10264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summer</cp:lastModifiedBy>
  <cp:lastPrinted>2024-07-30T06:24:00Z</cp:lastPrinted>
  <dcterms:modified xsi:type="dcterms:W3CDTF">2026-10-19T03:46:32Z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D45296F7F2444F3C8CDB43DA2E9FADD3</vt:lpwstr>
  </property>
  <property fmtid="{D5CDD505-2E9C-101B-9397-08002B2CF9AE}" pid="4" name="KSOTemplateDocerSaveRecord">
    <vt:lpwstr>eyJoZGlkIjoiMDIwMGFkMjAzODRlZGQ4NmVmZmU0ZDQ4YWFhODY3Y2QiLCJ1c2VySWQiOiI5MzY1NjY4MDIifQ==</vt:lpwstr>
  </property>
</Properties>
</file>