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03A18">
      <w:pPr>
        <w:pageBreakBefore w:val="0"/>
        <w:kinsoku/>
        <w:overflowPunct/>
        <w:topLinePunct w:val="0"/>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lang w:val="zh-CN"/>
        </w:rPr>
        <w:t>华宁县融媒体中心</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0E6083AA">
      <w:pPr>
        <w:pageBreakBefore w:val="0"/>
        <w:kinsoku/>
        <w:overflowPunct/>
        <w:topLinePunct w:val="0"/>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31555228">
      <w:pPr>
        <w:pageBreakBefore w:val="0"/>
        <w:kinsoku/>
        <w:overflowPunct/>
        <w:topLinePunct w:val="0"/>
        <w:bidi w:val="0"/>
        <w:adjustRightInd/>
        <w:spacing w:line="590" w:lineRule="exact"/>
        <w:jc w:val="left"/>
        <w:textAlignment w:val="auto"/>
        <w:rPr>
          <w:rFonts w:hint="eastAsia" w:ascii="Times New Roman" w:hAnsi="Times New Roman" w:eastAsia="黑体"/>
          <w:sz w:val="30"/>
          <w:szCs w:val="30"/>
          <w:highlight w:val="none"/>
        </w:rPr>
      </w:pPr>
    </w:p>
    <w:p w14:paraId="56A43770">
      <w:pPr>
        <w:pageBreakBefore w:val="0"/>
        <w:kinsoku/>
        <w:overflowPunct/>
        <w:topLinePunct w:val="0"/>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第一部分  </w:t>
      </w:r>
      <w:r>
        <w:rPr>
          <w:rFonts w:hint="eastAsia" w:ascii="Times New Roman" w:hAnsi="Times New Roman" w:eastAsia="黑体"/>
          <w:sz w:val="30"/>
          <w:szCs w:val="30"/>
          <w:highlight w:val="none"/>
          <w:lang w:eastAsia="zh-CN"/>
        </w:rPr>
        <w:t>部门</w:t>
      </w:r>
      <w:r>
        <w:rPr>
          <w:rFonts w:hint="eastAsia" w:ascii="Times New Roman" w:hAnsi="Times New Roman" w:eastAsia="黑体"/>
          <w:sz w:val="30"/>
          <w:szCs w:val="30"/>
          <w:highlight w:val="none"/>
        </w:rPr>
        <w:t>概况</w:t>
      </w:r>
    </w:p>
    <w:p w14:paraId="148E6B79">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一、主要职</w:t>
      </w:r>
      <w:r>
        <w:rPr>
          <w:rFonts w:hint="eastAsia" w:ascii="Times New Roman" w:hAnsi="Times New Roman" w:eastAsia="楷体"/>
          <w:sz w:val="30"/>
          <w:szCs w:val="30"/>
          <w:highlight w:val="none"/>
          <w:lang w:eastAsia="zh-CN"/>
        </w:rPr>
        <w:t>责</w:t>
      </w:r>
    </w:p>
    <w:p w14:paraId="58F424B5">
      <w:pPr>
        <w:pageBreakBefore w:val="0"/>
        <w:kinsoku/>
        <w:overflowPunct/>
        <w:topLinePunct w:val="0"/>
        <w:bidi w:val="0"/>
        <w:adjustRightInd/>
        <w:spacing w:line="590" w:lineRule="exact"/>
        <w:jc w:val="left"/>
        <w:textAlignment w:val="auto"/>
        <w:outlineLvl w:val="1"/>
        <w:rPr>
          <w:rFonts w:hint="default" w:ascii="Times New Roman" w:hAnsi="Times New Roman" w:eastAsia="楷体"/>
          <w:sz w:val="30"/>
          <w:szCs w:val="30"/>
          <w:highlight w:val="none"/>
          <w:lang w:val="en-US" w:eastAsia="zh-CN"/>
        </w:rPr>
      </w:pPr>
      <w:r>
        <w:rPr>
          <w:rFonts w:hint="eastAsia" w:ascii="Times New Roman" w:hAnsi="Times New Roman" w:eastAsia="楷体"/>
          <w:sz w:val="30"/>
          <w:szCs w:val="30"/>
          <w:highlight w:val="none"/>
        </w:rPr>
        <w:t>二、</w:t>
      </w:r>
      <w:r>
        <w:rPr>
          <w:rFonts w:hint="eastAsia" w:ascii="Times New Roman" w:hAnsi="Times New Roman" w:eastAsia="楷体"/>
          <w:sz w:val="30"/>
          <w:szCs w:val="30"/>
          <w:highlight w:val="none"/>
          <w:lang w:eastAsia="zh-CN"/>
        </w:rPr>
        <w:t>基本情况</w:t>
      </w:r>
    </w:p>
    <w:p w14:paraId="5B16F3F8">
      <w:pPr>
        <w:pageBreakBefore w:val="0"/>
        <w:kinsoku/>
        <w:overflowPunct/>
        <w:topLinePunct w:val="0"/>
        <w:bidi w:val="0"/>
        <w:adjustRightInd/>
        <w:spacing w:line="590" w:lineRule="exact"/>
        <w:jc w:val="left"/>
        <w:textAlignment w:val="auto"/>
        <w:outlineLvl w:val="1"/>
        <w:rPr>
          <w:rFonts w:hint="default"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三、重点工作概述</w:t>
      </w:r>
      <w:r>
        <w:rPr>
          <w:rFonts w:hint="eastAsia" w:ascii="Times New Roman" w:hAnsi="Times New Roman" w:eastAsia="楷体"/>
          <w:sz w:val="30"/>
          <w:szCs w:val="30"/>
          <w:highlight w:val="none"/>
          <w:lang w:val="en-US" w:eastAsia="zh-CN"/>
        </w:rPr>
        <w:t xml:space="preserve"> </w:t>
      </w:r>
    </w:p>
    <w:p w14:paraId="3D20B0D3">
      <w:pPr>
        <w:pageBreakBefore w:val="0"/>
        <w:kinsoku/>
        <w:overflowPunct/>
        <w:topLinePunct w:val="0"/>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第二部分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部门决算表</w:t>
      </w:r>
    </w:p>
    <w:p w14:paraId="0A5315C1">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一、收入支出决算表</w:t>
      </w:r>
    </w:p>
    <w:p w14:paraId="5451DF64">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二、收入决算表</w:t>
      </w:r>
    </w:p>
    <w:p w14:paraId="5356ECEF">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三、支出决算表</w:t>
      </w:r>
    </w:p>
    <w:p w14:paraId="7AF086AF">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四、财政拨款收入支出决算表</w:t>
      </w:r>
    </w:p>
    <w:p w14:paraId="53F06D30">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五、一般公共预算财政拨款收入支出决算表</w:t>
      </w:r>
    </w:p>
    <w:p w14:paraId="66914DA5">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六、一般公共预算财政拨款基本支出决算表</w:t>
      </w:r>
    </w:p>
    <w:p w14:paraId="5C764EDD">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七、</w:t>
      </w:r>
      <w:r>
        <w:rPr>
          <w:rFonts w:hint="eastAsia" w:ascii="Times New Roman" w:hAnsi="Times New Roman" w:eastAsia="楷体"/>
          <w:sz w:val="30"/>
          <w:szCs w:val="30"/>
          <w:highlight w:val="none"/>
          <w:lang w:eastAsia="zh-CN"/>
        </w:rPr>
        <w:t>一般公共预算财政拨款项目支出决算表</w:t>
      </w:r>
    </w:p>
    <w:p w14:paraId="2CC92597">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八</w:t>
      </w:r>
      <w:r>
        <w:rPr>
          <w:rFonts w:hint="eastAsia" w:ascii="Times New Roman" w:hAnsi="Times New Roman" w:eastAsia="楷体"/>
          <w:sz w:val="30"/>
          <w:szCs w:val="30"/>
          <w:highlight w:val="none"/>
        </w:rPr>
        <w:t>、政府性基金预算财政拨款收入支出决算表</w:t>
      </w:r>
    </w:p>
    <w:p w14:paraId="1BEA9602">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九、国有资本经营预算财政拨款收入支出决算表</w:t>
      </w:r>
    </w:p>
    <w:p w14:paraId="6423A0D0">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十</w:t>
      </w:r>
      <w:r>
        <w:rPr>
          <w:rFonts w:hint="eastAsia" w:ascii="Times New Roman" w:hAnsi="Times New Roman" w:eastAsia="楷体"/>
          <w:sz w:val="30"/>
          <w:szCs w:val="30"/>
          <w:highlight w:val="none"/>
        </w:rPr>
        <w:t>、</w:t>
      </w:r>
      <w:r>
        <w:rPr>
          <w:rFonts w:hint="eastAsia" w:ascii="Times New Roman" w:hAnsi="Times New Roman" w:eastAsia="楷体"/>
          <w:sz w:val="30"/>
          <w:szCs w:val="30"/>
          <w:highlight w:val="none"/>
          <w:lang w:eastAsia="zh-CN"/>
        </w:rPr>
        <w:t>财政拨款</w:t>
      </w:r>
      <w:r>
        <w:rPr>
          <w:rFonts w:hint="eastAsia" w:ascii="Times New Roman" w:hAnsi="Times New Roman" w:eastAsia="楷体"/>
          <w:sz w:val="30"/>
          <w:szCs w:val="30"/>
          <w:highlight w:val="none"/>
        </w:rPr>
        <w:t>“三公”经费、行政参公单位机关运行经费情况表</w:t>
      </w:r>
    </w:p>
    <w:p w14:paraId="3E905972">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val="en-US" w:eastAsia="zh-CN"/>
        </w:rPr>
        <w:t>十一、一般公共预算财政拨款“三公”经费情况表</w:t>
      </w:r>
    </w:p>
    <w:p w14:paraId="25429CD5">
      <w:pPr>
        <w:pageBreakBefore w:val="0"/>
        <w:kinsoku/>
        <w:overflowPunct/>
        <w:topLinePunct w:val="0"/>
        <w:bidi w:val="0"/>
        <w:adjustRightInd/>
        <w:spacing w:line="590" w:lineRule="exact"/>
        <w:jc w:val="left"/>
        <w:textAlignment w:val="auto"/>
        <w:outlineLvl w:val="0"/>
        <w:rPr>
          <w:rFonts w:hint="eastAsia" w:ascii="Times New Roman" w:hAnsi="Times New Roman" w:eastAsia="楷体"/>
          <w:sz w:val="30"/>
          <w:szCs w:val="30"/>
          <w:highlight w:val="none"/>
        </w:rPr>
      </w:pPr>
      <w:r>
        <w:rPr>
          <w:rFonts w:hint="eastAsia" w:ascii="Times New Roman" w:hAnsi="Times New Roman" w:eastAsia="黑体"/>
          <w:sz w:val="30"/>
          <w:szCs w:val="30"/>
          <w:highlight w:val="none"/>
        </w:rPr>
        <w:t>第三部</w:t>
      </w:r>
      <w:r>
        <w:rPr>
          <w:rFonts w:hint="eastAsia" w:ascii="Times New Roman" w:hAnsi="Times New Roman" w:eastAsia="黑体"/>
          <w:sz w:val="30"/>
          <w:szCs w:val="30"/>
          <w:highlight w:val="none"/>
          <w:lang w:eastAsia="zh-CN"/>
        </w:rPr>
        <w:t>分</w:t>
      </w:r>
      <w:r>
        <w:rPr>
          <w:rFonts w:hint="eastAsia" w:ascii="Times New Roman" w:hAnsi="Times New Roman" w:eastAsia="黑体"/>
          <w:sz w:val="30"/>
          <w:szCs w:val="30"/>
          <w:highlight w:val="none"/>
        </w:rPr>
        <w:t xml:space="preserve">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部门决算情况说明</w:t>
      </w:r>
    </w:p>
    <w:p w14:paraId="5AFEB50E">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一、收入决算情况说明</w:t>
      </w:r>
    </w:p>
    <w:p w14:paraId="3EAF8F05">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二、支出决算情况说明</w:t>
      </w:r>
    </w:p>
    <w:p w14:paraId="1B1A6177">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三、一般公共预算财政拨款支出决算情况说明</w:t>
      </w:r>
    </w:p>
    <w:p w14:paraId="4D3B2E12">
      <w:pPr>
        <w:pageBreakBefore w:val="0"/>
        <w:widowControl/>
        <w:kinsoku/>
        <w:overflowPunct/>
        <w:topLinePunct w:val="0"/>
        <w:bidi w:val="0"/>
        <w:adjustRightInd/>
        <w:snapToGrid w:val="0"/>
        <w:spacing w:before="100" w:after="100"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四、财政拨款“三公”经费支出决算情况说明</w:t>
      </w:r>
    </w:p>
    <w:p w14:paraId="7A9565C8">
      <w:pPr>
        <w:pageBreakBefore w:val="0"/>
        <w:widowControl/>
        <w:kinsoku/>
        <w:overflowPunct/>
        <w:topLinePunct w:val="0"/>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lang w:eastAsia="zh-CN"/>
        </w:rPr>
        <w:t>第四部分</w:t>
      </w:r>
      <w:r>
        <w:rPr>
          <w:rFonts w:hint="eastAsia" w:ascii="Times New Roman" w:hAnsi="Times New Roman" w:eastAsia="楷体"/>
          <w:sz w:val="30"/>
          <w:szCs w:val="30"/>
          <w:highlight w:val="none"/>
          <w:lang w:val="en-US" w:eastAsia="zh-CN"/>
        </w:rPr>
        <w:t xml:space="preserve">  </w:t>
      </w:r>
      <w:r>
        <w:rPr>
          <w:rFonts w:hint="eastAsia" w:ascii="Times New Roman" w:hAnsi="Times New Roman" w:eastAsia="黑体"/>
          <w:sz w:val="30"/>
          <w:szCs w:val="30"/>
          <w:highlight w:val="none"/>
        </w:rPr>
        <w:t>其他重要事项及相关口径情况说明</w:t>
      </w:r>
    </w:p>
    <w:p w14:paraId="75E16D42">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一、</w:t>
      </w:r>
      <w:r>
        <w:rPr>
          <w:rFonts w:hint="eastAsia" w:ascii="Times New Roman" w:hAnsi="Times New Roman" w:eastAsia="楷体"/>
          <w:sz w:val="30"/>
          <w:szCs w:val="30"/>
          <w:highlight w:val="none"/>
        </w:rPr>
        <w:t>机关运行经费支出情况</w:t>
      </w:r>
    </w:p>
    <w:p w14:paraId="24DB0B6B">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二、</w:t>
      </w:r>
      <w:r>
        <w:rPr>
          <w:rFonts w:hint="eastAsia" w:ascii="Times New Roman" w:hAnsi="Times New Roman" w:eastAsia="楷体"/>
          <w:sz w:val="30"/>
          <w:szCs w:val="30"/>
          <w:highlight w:val="none"/>
        </w:rPr>
        <w:t>国有资产占用情况</w:t>
      </w:r>
    </w:p>
    <w:p w14:paraId="6738F5E1">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w:t>
      </w:r>
      <w:r>
        <w:rPr>
          <w:rFonts w:hint="eastAsia" w:ascii="Times New Roman" w:hAnsi="Times New Roman" w:eastAsia="楷体"/>
          <w:sz w:val="30"/>
          <w:szCs w:val="30"/>
          <w:highlight w:val="none"/>
        </w:rPr>
        <w:t>政府采购支出情况</w:t>
      </w:r>
    </w:p>
    <w:p w14:paraId="6A0B2988">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四、</w:t>
      </w:r>
      <w:r>
        <w:rPr>
          <w:rFonts w:hint="eastAsia" w:ascii="Times New Roman" w:hAnsi="Times New Roman" w:eastAsia="楷体"/>
          <w:sz w:val="30"/>
          <w:szCs w:val="30"/>
          <w:highlight w:val="none"/>
          <w:lang w:val="en-US" w:eastAsia="zh-CN"/>
        </w:rPr>
        <w:t>部门绩效自评情况</w:t>
      </w:r>
    </w:p>
    <w:p w14:paraId="0E2D75D9">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五、</w:t>
      </w:r>
      <w:r>
        <w:rPr>
          <w:rFonts w:hint="eastAsia" w:ascii="Times New Roman" w:hAnsi="Times New Roman" w:eastAsia="楷体"/>
          <w:sz w:val="30"/>
          <w:szCs w:val="30"/>
          <w:highlight w:val="none"/>
          <w:lang w:val="en-US" w:eastAsia="zh-CN"/>
        </w:rPr>
        <w:t>其他重要事项情况说明</w:t>
      </w:r>
    </w:p>
    <w:p w14:paraId="44817586">
      <w:pPr>
        <w:pageBreakBefore w:val="0"/>
        <w:kinsoku/>
        <w:overflowPunct/>
        <w:topLinePunct w:val="0"/>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六、相关口径说明</w:t>
      </w:r>
    </w:p>
    <w:p w14:paraId="2C75C488">
      <w:pPr>
        <w:pageBreakBefore w:val="0"/>
        <w:widowControl/>
        <w:kinsoku/>
        <w:overflowPunct/>
        <w:topLinePunct w:val="0"/>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第</w:t>
      </w:r>
      <w:r>
        <w:rPr>
          <w:rFonts w:hint="eastAsia" w:ascii="Times New Roman" w:hAnsi="Times New Roman" w:eastAsia="黑体"/>
          <w:sz w:val="30"/>
          <w:szCs w:val="30"/>
          <w:highlight w:val="none"/>
          <w:lang w:eastAsia="zh-CN"/>
        </w:rPr>
        <w:t>五</w:t>
      </w:r>
      <w:r>
        <w:rPr>
          <w:rFonts w:hint="eastAsia" w:ascii="Times New Roman" w:hAnsi="Times New Roman" w:eastAsia="黑体"/>
          <w:sz w:val="30"/>
          <w:szCs w:val="30"/>
          <w:highlight w:val="none"/>
        </w:rPr>
        <w:t>部分  名词解释</w:t>
      </w:r>
    </w:p>
    <w:p w14:paraId="6DB34BE2">
      <w:pPr>
        <w:pageBreakBefore w:val="0"/>
        <w:kinsoku/>
        <w:overflowPunct/>
        <w:topLinePunct w:val="0"/>
        <w:bidi w:val="0"/>
        <w:adjustRightInd/>
        <w:spacing w:line="590" w:lineRule="exact"/>
        <w:jc w:val="center"/>
        <w:textAlignment w:val="auto"/>
        <w:rPr>
          <w:rFonts w:hint="eastAsia" w:ascii="Times New Roman" w:hAnsi="Times New Roman" w:eastAsia="黑体"/>
          <w:sz w:val="32"/>
          <w:szCs w:val="32"/>
          <w:highlight w:val="none"/>
        </w:rPr>
      </w:pPr>
    </w:p>
    <w:p w14:paraId="7CCCC1D9">
      <w:pPr>
        <w:pageBreakBefore w:val="0"/>
        <w:kinsoku/>
        <w:overflowPunct/>
        <w:topLinePunct w:val="0"/>
        <w:bidi w:val="0"/>
        <w:adjustRightInd/>
        <w:spacing w:line="590" w:lineRule="exact"/>
        <w:jc w:val="center"/>
        <w:textAlignment w:val="auto"/>
        <w:rPr>
          <w:rFonts w:hint="eastAsia" w:ascii="Times New Roman" w:hAnsi="Times New Roman" w:eastAsia="黑体"/>
          <w:sz w:val="32"/>
          <w:szCs w:val="32"/>
          <w:highlight w:val="none"/>
        </w:rPr>
      </w:pPr>
    </w:p>
    <w:p w14:paraId="05B62F3F">
      <w:pPr>
        <w:pageBreakBefore w:val="0"/>
        <w:kinsoku/>
        <w:overflowPunct/>
        <w:topLinePunct w:val="0"/>
        <w:bidi w:val="0"/>
        <w:adjustRightInd/>
        <w:spacing w:line="590" w:lineRule="exact"/>
        <w:jc w:val="center"/>
        <w:textAlignment w:val="auto"/>
        <w:rPr>
          <w:rFonts w:hint="eastAsia" w:ascii="Times New Roman" w:hAnsi="Times New Roman" w:eastAsia="黑体"/>
          <w:sz w:val="32"/>
          <w:szCs w:val="32"/>
          <w:highlight w:val="none"/>
        </w:rPr>
      </w:pPr>
    </w:p>
    <w:p w14:paraId="2462C60D">
      <w:pPr>
        <w:pageBreakBefore w:val="0"/>
        <w:kinsoku/>
        <w:overflowPunct/>
        <w:topLinePunct w:val="0"/>
        <w:bidi w:val="0"/>
        <w:adjustRightInd/>
        <w:spacing w:line="590" w:lineRule="exact"/>
        <w:jc w:val="center"/>
        <w:textAlignment w:val="auto"/>
        <w:rPr>
          <w:rFonts w:hint="eastAsia" w:ascii="Times New Roman" w:hAnsi="Times New Roman" w:eastAsia="黑体"/>
          <w:sz w:val="32"/>
          <w:szCs w:val="32"/>
          <w:highlight w:val="none"/>
        </w:rPr>
      </w:pPr>
    </w:p>
    <w:p w14:paraId="5B16E666">
      <w:pPr>
        <w:pageBreakBefore w:val="0"/>
        <w:kinsoku/>
        <w:overflowPunct/>
        <w:topLinePunct w:val="0"/>
        <w:bidi w:val="0"/>
        <w:adjustRightInd/>
        <w:spacing w:line="590" w:lineRule="exact"/>
        <w:jc w:val="center"/>
        <w:textAlignment w:val="auto"/>
        <w:rPr>
          <w:rFonts w:hint="eastAsia" w:ascii="Times New Roman" w:hAnsi="Times New Roman" w:eastAsia="黑体"/>
          <w:sz w:val="32"/>
          <w:szCs w:val="32"/>
          <w:highlight w:val="none"/>
        </w:rPr>
      </w:pPr>
    </w:p>
    <w:p w14:paraId="193CD79E">
      <w:pPr>
        <w:pageBreakBefore w:val="0"/>
        <w:kinsoku/>
        <w:overflowPunct/>
        <w:topLinePunct w:val="0"/>
        <w:bidi w:val="0"/>
        <w:adjustRightInd/>
        <w:spacing w:line="590" w:lineRule="exact"/>
        <w:jc w:val="center"/>
        <w:textAlignment w:val="auto"/>
        <w:rPr>
          <w:rFonts w:hint="eastAsia" w:ascii="Times New Roman" w:hAnsi="Times New Roman" w:eastAsia="黑体"/>
          <w:sz w:val="32"/>
          <w:szCs w:val="32"/>
          <w:highlight w:val="none"/>
        </w:rPr>
      </w:pPr>
    </w:p>
    <w:p w14:paraId="22C41AD9">
      <w:pPr>
        <w:pageBreakBefore w:val="0"/>
        <w:kinsoku/>
        <w:overflowPunct/>
        <w:topLinePunct w:val="0"/>
        <w:bidi w:val="0"/>
        <w:adjustRightInd/>
        <w:spacing w:line="590" w:lineRule="exact"/>
        <w:jc w:val="center"/>
        <w:textAlignment w:val="auto"/>
        <w:rPr>
          <w:rFonts w:hint="eastAsia" w:ascii="Times New Roman" w:hAnsi="Times New Roman" w:eastAsia="黑体"/>
          <w:sz w:val="32"/>
          <w:szCs w:val="32"/>
          <w:highlight w:val="none"/>
        </w:rPr>
      </w:pPr>
    </w:p>
    <w:p w14:paraId="25781670">
      <w:pPr>
        <w:pageBreakBefore w:val="0"/>
        <w:kinsoku/>
        <w:overflowPunct/>
        <w:topLinePunct w:val="0"/>
        <w:bidi w:val="0"/>
        <w:adjustRightInd/>
        <w:spacing w:line="590" w:lineRule="exact"/>
        <w:jc w:val="both"/>
        <w:textAlignment w:val="auto"/>
        <w:rPr>
          <w:rFonts w:hint="eastAsia" w:ascii="Times New Roman" w:hAnsi="Times New Roman" w:eastAsia="黑体"/>
          <w:sz w:val="32"/>
          <w:szCs w:val="32"/>
          <w:highlight w:val="none"/>
        </w:rPr>
      </w:pPr>
    </w:p>
    <w:p w14:paraId="7F486BE4">
      <w:pPr>
        <w:pStyle w:val="2"/>
        <w:rPr>
          <w:rFonts w:hint="eastAsia" w:ascii="Times New Roman" w:hAnsi="Times New Roman" w:eastAsia="黑体"/>
          <w:sz w:val="32"/>
          <w:szCs w:val="32"/>
          <w:highlight w:val="none"/>
        </w:rPr>
      </w:pPr>
    </w:p>
    <w:p w14:paraId="649E92A0">
      <w:pPr>
        <w:pStyle w:val="2"/>
        <w:rPr>
          <w:rFonts w:hint="eastAsia" w:ascii="Times New Roman" w:hAnsi="Times New Roman" w:eastAsia="黑体"/>
          <w:sz w:val="32"/>
          <w:szCs w:val="32"/>
          <w:highlight w:val="none"/>
        </w:rPr>
      </w:pPr>
    </w:p>
    <w:p w14:paraId="3B88DA6A">
      <w:pPr>
        <w:pageBreakBefore w:val="0"/>
        <w:kinsoku/>
        <w:overflowPunct/>
        <w:topLinePunct w:val="0"/>
        <w:bidi w:val="0"/>
        <w:adjustRightInd/>
        <w:spacing w:line="590" w:lineRule="exact"/>
        <w:jc w:val="both"/>
        <w:textAlignment w:val="auto"/>
        <w:outlineLvl w:val="0"/>
        <w:rPr>
          <w:rFonts w:hint="eastAsia" w:ascii="Times New Roman" w:hAnsi="Times New Roman" w:eastAsia="方正黑体_GBK" w:cs="方正黑体_GBK"/>
          <w:sz w:val="32"/>
          <w:szCs w:val="32"/>
          <w:highlight w:val="none"/>
        </w:rPr>
      </w:pPr>
    </w:p>
    <w:p w14:paraId="688106AA">
      <w:pPr>
        <w:pageBreakBefore w:val="0"/>
        <w:kinsoku/>
        <w:overflowPunct/>
        <w:topLinePunct w:val="0"/>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rPr>
        <w:t xml:space="preserve">第一部分  </w:t>
      </w:r>
      <w:r>
        <w:rPr>
          <w:rFonts w:hint="eastAsia" w:ascii="Times New Roman" w:hAnsi="Times New Roman" w:eastAsia="方正黑体_GBK" w:cs="方正黑体_GBK"/>
          <w:sz w:val="32"/>
          <w:szCs w:val="32"/>
          <w:highlight w:val="none"/>
          <w:lang w:eastAsia="zh-CN"/>
        </w:rPr>
        <w:t>部门概况</w:t>
      </w:r>
    </w:p>
    <w:p w14:paraId="68B9720D">
      <w:pPr>
        <w:pageBreakBefore w:val="0"/>
        <w:kinsoku/>
        <w:overflowPunct/>
        <w:topLinePunct w:val="0"/>
        <w:bidi w:val="0"/>
        <w:adjustRightInd/>
        <w:spacing w:line="590" w:lineRule="exact"/>
        <w:ind w:firstLine="600" w:firstLineChars="200"/>
        <w:textAlignment w:val="auto"/>
        <w:outlineLvl w:val="1"/>
        <w:rPr>
          <w:rFonts w:hint="eastAsia" w:ascii="Times New Roman" w:hAnsi="Times New Roman" w:eastAsia="黑体"/>
          <w:sz w:val="30"/>
          <w:szCs w:val="30"/>
          <w:highlight w:val="none"/>
          <w:lang w:eastAsia="zh-CN"/>
        </w:rPr>
      </w:pPr>
      <w:r>
        <w:rPr>
          <w:rFonts w:hint="eastAsia" w:ascii="Times New Roman" w:hAnsi="Times New Roman" w:eastAsia="方正黑体_GBK" w:cs="方正黑体_GBK"/>
          <w:sz w:val="30"/>
          <w:szCs w:val="30"/>
          <w:highlight w:val="none"/>
        </w:rPr>
        <w:t>一、主要</w:t>
      </w:r>
      <w:r>
        <w:rPr>
          <w:rFonts w:hint="eastAsia" w:ascii="Times New Roman" w:hAnsi="Times New Roman" w:eastAsia="方正黑体_GBK" w:cs="方正黑体_GBK"/>
          <w:sz w:val="30"/>
          <w:szCs w:val="30"/>
          <w:highlight w:val="none"/>
          <w:lang w:eastAsia="zh-CN"/>
        </w:rPr>
        <w:t>职责</w:t>
      </w:r>
    </w:p>
    <w:p w14:paraId="77C46E72">
      <w:pPr>
        <w:keepNext w:val="0"/>
        <w:keepLines w:val="0"/>
        <w:pageBreakBefore w:val="0"/>
        <w:widowControl/>
        <w:suppressLineNumbers w:val="0"/>
        <w:kinsoku/>
        <w:wordWrap/>
        <w:overflowPunct/>
        <w:topLinePunct w:val="0"/>
        <w:autoSpaceDE w:val="0"/>
        <w:autoSpaceDN w:val="0"/>
        <w:bidi w:val="0"/>
        <w:adjustRightInd/>
        <w:snapToGrid/>
        <w:spacing w:before="0" w:beforeAutospacing="0" w:afterAutospacing="0" w:line="590" w:lineRule="exact"/>
        <w:ind w:left="0" w:right="0" w:firstLine="601"/>
        <w:textAlignment w:val="auto"/>
        <w:rPr>
          <w:rFonts w:hint="eastAsia" w:ascii="Times New Roman" w:hAnsi="Times New Roman" w:eastAsia="方正仿宋_GBK" w:cs="方正仿宋_GBK"/>
          <w:bCs/>
          <w:kern w:val="2"/>
          <w:sz w:val="30"/>
          <w:szCs w:val="30"/>
          <w:highlight w:val="none"/>
          <w:lang w:val="en-US" w:eastAsia="zh-CN" w:bidi="ar-SA"/>
        </w:rPr>
      </w:pPr>
      <w:r>
        <w:rPr>
          <w:rFonts w:hint="eastAsia" w:ascii="Times New Roman" w:hAnsi="Times New Roman" w:eastAsia="方正仿宋_GBK" w:cs="方正仿宋_GBK"/>
          <w:bCs/>
          <w:kern w:val="2"/>
          <w:sz w:val="30"/>
          <w:szCs w:val="30"/>
          <w:highlight w:val="none"/>
          <w:lang w:val="en-US" w:eastAsia="zh-CN" w:bidi="ar-SA"/>
        </w:rPr>
        <w:t>作为党的宣传思想工作阵地和平台，我单位积极发挥主流舆论</w:t>
      </w:r>
      <w:r>
        <w:rPr>
          <w:rFonts w:hint="eastAsia" w:ascii="Times New Roman" w:hAnsi="Times New Roman" w:eastAsia="方正仿宋_GBK" w:cs="方正仿宋_GBK"/>
          <w:bCs/>
          <w:kern w:val="2"/>
          <w:sz w:val="32"/>
          <w:szCs w:val="32"/>
          <w:highlight w:val="none"/>
          <w:lang w:val="en-US" w:eastAsia="zh-CN" w:bidi="ar-SA"/>
        </w:rPr>
        <w:t>阵地功能、信息服务平台功能和区域信息枢纽功能，宣传党的政策</w:t>
      </w:r>
      <w:r>
        <w:rPr>
          <w:rFonts w:hint="eastAsia" w:ascii="Times New Roman" w:hAnsi="Times New Roman" w:eastAsia="方正仿宋_GBK" w:cs="方正仿宋_GBK"/>
          <w:bCs/>
          <w:kern w:val="2"/>
          <w:sz w:val="30"/>
          <w:szCs w:val="30"/>
          <w:highlight w:val="none"/>
          <w:lang w:val="en-US" w:eastAsia="zh-CN" w:bidi="ar-SA"/>
        </w:rPr>
        <w:t>主张，反映群众意愿呼声，传播社会主流价值，广泛凝聚社会共识，做好问政、求学、求助、监督等服务工作，围绕县委、县政府“三区一都”发展定位，为宣传中国泉乡、柑橘之乡、国际陶都搭建平台，营造良好的舆论氛围。</w:t>
      </w:r>
    </w:p>
    <w:p w14:paraId="06451E87">
      <w:pPr>
        <w:pageBreakBefore w:val="0"/>
        <w:numPr>
          <w:numId w:val="0"/>
        </w:numPr>
        <w:kinsoku/>
        <w:overflowPunct/>
        <w:topLinePunct w:val="0"/>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二、基本情况</w:t>
      </w:r>
    </w:p>
    <w:p w14:paraId="79447810">
      <w:pPr>
        <w:pageBreakBefore w:val="0"/>
        <w:widowControl/>
        <w:kinsoku/>
        <w:overflowPunct/>
        <w:topLinePunct w:val="0"/>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（一）机构设置情况</w:t>
      </w:r>
    </w:p>
    <w:p w14:paraId="12B3482F">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我部门共设置6个内设机构，包括：办公室、总编室、采编部、技术保障部、播出部、事业发展部。</w:t>
      </w:r>
    </w:p>
    <w:p w14:paraId="7962ABFC">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所属单位0个。</w:t>
      </w:r>
    </w:p>
    <w:p w14:paraId="5E8D01CC">
      <w:pPr>
        <w:pageBreakBefore w:val="0"/>
        <w:widowControl/>
        <w:kinsoku/>
        <w:overflowPunct/>
        <w:topLinePunct w:val="0"/>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（二）决算单位构成情况</w:t>
      </w:r>
    </w:p>
    <w:p w14:paraId="59AB96E8">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rPr>
        <w:t>纳入</w:t>
      </w:r>
      <w:r>
        <w:rPr>
          <w:rFonts w:hint="eastAsia" w:ascii="Times New Roman" w:hAnsi="Times New Roman" w:eastAsia="方正仿宋_GBK" w:cs="方正仿宋_GBK"/>
          <w:sz w:val="30"/>
          <w:szCs w:val="30"/>
          <w:highlight w:val="none"/>
          <w:lang w:eastAsia="zh-CN"/>
        </w:rPr>
        <w:t>我</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部门决算编报的单位共</w:t>
      </w:r>
      <w:r>
        <w:rPr>
          <w:rFonts w:hint="eastAsia" w:ascii="Times New Roman" w:hAnsi="Times New Roman" w:eastAsia="方正仿宋_GBK" w:cs="方正仿宋_GBK"/>
          <w:color w:val="auto"/>
          <w:sz w:val="30"/>
          <w:lang w:val="en-US" w:eastAsia="zh-CN"/>
        </w:rPr>
        <w:t>1</w:t>
      </w:r>
      <w:r>
        <w:rPr>
          <w:rFonts w:hint="eastAsia" w:ascii="Times New Roman" w:hAnsi="Times New Roman" w:eastAsia="方正仿宋_GBK" w:cs="方正仿宋_GBK"/>
          <w:sz w:val="30"/>
          <w:szCs w:val="30"/>
          <w:highlight w:val="none"/>
        </w:rPr>
        <w:t>个。分别是：</w:t>
      </w:r>
    </w:p>
    <w:p w14:paraId="74606829">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lang w:val="en-US" w:eastAsia="zh-CN"/>
        </w:rPr>
        <w:t>1.华宁县融媒体中心。</w:t>
      </w:r>
    </w:p>
    <w:p w14:paraId="331BB145">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仿宋_GBK" w:cs="方正仿宋_GBK"/>
          <w:sz w:val="30"/>
          <w:szCs w:val="30"/>
          <w:highlight w:val="none"/>
        </w:rPr>
        <w:t>纳入</w:t>
      </w:r>
      <w:r>
        <w:rPr>
          <w:rFonts w:hint="eastAsia" w:ascii="Times New Roman" w:hAnsi="Times New Roman" w:eastAsia="方正仿宋_GBK" w:cs="方正仿宋_GBK"/>
          <w:sz w:val="30"/>
          <w:szCs w:val="30"/>
          <w:highlight w:val="none"/>
          <w:lang w:eastAsia="zh-CN"/>
        </w:rPr>
        <w:t>我</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rPr>
        <w:t>部门决算编报的单位</w:t>
      </w:r>
      <w:r>
        <w:rPr>
          <w:rFonts w:hint="eastAsia" w:ascii="Times New Roman" w:hAnsi="Times New Roman" w:eastAsia="方正仿宋_GBK" w:cs="方正仿宋_GBK"/>
          <w:sz w:val="30"/>
          <w:szCs w:val="30"/>
          <w:highlight w:val="none"/>
          <w:lang w:eastAsia="zh-CN"/>
        </w:rPr>
        <w:t>与我部门所属单位范围保持一致。</w:t>
      </w:r>
    </w:p>
    <w:p w14:paraId="3AF826C3">
      <w:pPr>
        <w:pageBreakBefore w:val="0"/>
        <w:widowControl/>
        <w:kinsoku/>
        <w:overflowPunct/>
        <w:topLinePunct w:val="0"/>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（三）部门人员和车辆的编制及实有情况</w:t>
      </w:r>
    </w:p>
    <w:p w14:paraId="4FA7AEE2">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eastAsia="zh-CN"/>
        </w:rPr>
      </w:pPr>
      <w:r>
        <w:rPr>
          <w:rFonts w:hint="eastAsia" w:ascii="Times New Roman" w:hAnsi="Times New Roman" w:eastAsia="方正仿宋_GBK" w:cs="方正仿宋_GBK"/>
          <w:sz w:val="30"/>
          <w:szCs w:val="30"/>
          <w:highlight w:val="none"/>
          <w:lang w:eastAsia="zh-CN"/>
        </w:rPr>
        <w:t>我</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w:t>
      </w:r>
      <w:r>
        <w:rPr>
          <w:rFonts w:hint="eastAsia" w:ascii="Times New Roman" w:hAnsi="Times New Roman" w:eastAsia="方正仿宋_GBK" w:cs="方正仿宋_GBK"/>
          <w:sz w:val="30"/>
          <w:szCs w:val="30"/>
          <w:highlight w:val="none"/>
        </w:rPr>
        <w:t>年末</w:t>
      </w:r>
      <w:r>
        <w:rPr>
          <w:rFonts w:hint="eastAsia" w:ascii="Times New Roman" w:hAnsi="Times New Roman" w:eastAsia="方正仿宋_GBK" w:cs="方正仿宋_GBK"/>
          <w:sz w:val="30"/>
          <w:szCs w:val="30"/>
          <w:highlight w:val="none"/>
          <w:lang w:eastAsia="zh-CN"/>
        </w:rPr>
        <w:t>编制内</w:t>
      </w:r>
      <w:r>
        <w:rPr>
          <w:rFonts w:hint="eastAsia" w:ascii="Times New Roman" w:hAnsi="Times New Roman" w:eastAsia="方正仿宋_GBK" w:cs="方正仿宋_GBK"/>
          <w:sz w:val="30"/>
          <w:szCs w:val="30"/>
          <w:highlight w:val="none"/>
        </w:rPr>
        <w:t>实有人员</w:t>
      </w:r>
      <w:r>
        <w:rPr>
          <w:rFonts w:hint="eastAsia" w:ascii="Times New Roman" w:hAnsi="Times New Roman" w:eastAsia="方正仿宋_GBK" w:cs="方正仿宋_GBK"/>
          <w:color w:val="auto"/>
          <w:sz w:val="30"/>
          <w:szCs w:val="30"/>
          <w:lang w:val="en-US" w:eastAsia="zh-CN"/>
        </w:rPr>
        <w:t>34</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b w:val="0"/>
          <w:bCs w:val="0"/>
          <w:kern w:val="0"/>
          <w:sz w:val="30"/>
          <w:szCs w:val="30"/>
          <w:highlight w:val="none"/>
          <w:lang w:eastAsia="zh-CN"/>
        </w:rPr>
        <w:t>包括</w:t>
      </w:r>
      <w:r>
        <w:rPr>
          <w:rFonts w:hint="eastAsia" w:ascii="Times New Roman" w:hAnsi="Times New Roman" w:eastAsia="方正仿宋_GBK" w:cs="方正仿宋_GBK"/>
          <w:kern w:val="0"/>
          <w:sz w:val="30"/>
          <w:szCs w:val="30"/>
          <w:highlight w:val="none"/>
          <w:lang w:eastAsia="zh-CN"/>
        </w:rPr>
        <w:t>财政拨款开支经费的</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eastAsia="zh-CN"/>
        </w:rPr>
        <w:t>公务员</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参照公务员法管理人员</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事业管理人员和专业技术人员</w:t>
      </w:r>
      <w:r>
        <w:rPr>
          <w:rFonts w:hint="eastAsia" w:ascii="Times New Roman" w:hAnsi="Times New Roman" w:eastAsia="方正仿宋_GBK" w:cs="方正仿宋_GBK"/>
          <w:color w:val="auto"/>
          <w:sz w:val="30"/>
          <w:szCs w:val="30"/>
          <w:lang w:val="en-US" w:eastAsia="zh-CN"/>
        </w:rPr>
        <w:t>31</w:t>
      </w:r>
      <w:r>
        <w:rPr>
          <w:rFonts w:hint="eastAsia" w:ascii="Times New Roman" w:hAnsi="Times New Roman" w:eastAsia="方正仿宋_GBK" w:cs="方正仿宋_GBK"/>
          <w:kern w:val="0"/>
          <w:sz w:val="30"/>
          <w:szCs w:val="30"/>
          <w:highlight w:val="none"/>
        </w:rPr>
        <w:t>人，机关和事业工人</w:t>
      </w:r>
      <w:r>
        <w:rPr>
          <w:rFonts w:hint="eastAsia" w:ascii="Times New Roman" w:hAnsi="Times New Roman" w:eastAsia="方正仿宋_GBK" w:cs="方正仿宋_GBK"/>
          <w:color w:val="auto"/>
          <w:sz w:val="30"/>
          <w:szCs w:val="30"/>
          <w:lang w:val="en-US" w:eastAsia="zh-CN"/>
        </w:rPr>
        <w:t>3</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；经费自理人员</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p>
    <w:p w14:paraId="67277537">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sz w:val="30"/>
          <w:szCs w:val="30"/>
          <w:highlight w:val="none"/>
          <w:lang w:eastAsia="zh-CN"/>
        </w:rPr>
        <w:t>我</w:t>
      </w:r>
      <w:r>
        <w:rPr>
          <w:rFonts w:hint="eastAsia" w:ascii="Times New Roman" w:hAnsi="Times New Roman" w:eastAsia="方正仿宋_GBK" w:cs="方正仿宋_GBK"/>
          <w:sz w:val="30"/>
          <w:szCs w:val="30"/>
          <w:highlight w:val="none"/>
        </w:rPr>
        <w:t>部门</w:t>
      </w:r>
      <w:r>
        <w:rPr>
          <w:rFonts w:hint="eastAsia" w:ascii="Times New Roman" w:hAnsi="Times New Roman" w:eastAsia="方正仿宋_GBK" w:cs="方正仿宋_GBK"/>
          <w:sz w:val="30"/>
          <w:szCs w:val="30"/>
          <w:highlight w:val="none"/>
          <w:lang w:val="en-US" w:eastAsia="zh-CN"/>
        </w:rPr>
        <w:t>2025年末</w:t>
      </w:r>
      <w:r>
        <w:rPr>
          <w:rFonts w:hint="eastAsia" w:ascii="Times New Roman" w:hAnsi="Times New Roman" w:eastAsia="方正仿宋_GBK" w:cs="方正仿宋_GBK"/>
          <w:sz w:val="30"/>
          <w:szCs w:val="30"/>
          <w:highlight w:val="none"/>
          <w:lang w:eastAsia="zh-CN"/>
        </w:rPr>
        <w:t>其他人员</w:t>
      </w:r>
      <w:r>
        <w:rPr>
          <w:rFonts w:hint="eastAsia" w:ascii="Times New Roman" w:hAnsi="Times New Roman" w:eastAsia="方正仿宋_GBK" w:cs="方正仿宋_GBK"/>
          <w:color w:val="auto"/>
          <w:sz w:val="30"/>
          <w:szCs w:val="30"/>
          <w:lang w:val="en-US" w:eastAsia="zh-CN"/>
        </w:rPr>
        <w:t>1</w:t>
      </w:r>
      <w:r>
        <w:rPr>
          <w:rFonts w:hint="eastAsia" w:ascii="Times New Roman" w:hAnsi="Times New Roman" w:eastAsia="方正仿宋_GBK" w:cs="方正仿宋_GBK"/>
          <w:sz w:val="30"/>
          <w:szCs w:val="30"/>
          <w:highlight w:val="none"/>
          <w:lang w:val="en-US" w:eastAsia="zh-CN"/>
        </w:rPr>
        <w:t>人。包括财政拨款开支经费的人员</w:t>
      </w:r>
      <w:r>
        <w:rPr>
          <w:rFonts w:hint="eastAsia" w:ascii="Times New Roman" w:hAnsi="Times New Roman" w:eastAsia="方正仿宋_GBK" w:cs="方正仿宋_GBK"/>
          <w:color w:val="auto"/>
          <w:sz w:val="30"/>
          <w:szCs w:val="30"/>
          <w:lang w:val="en-US" w:eastAsia="zh-CN"/>
        </w:rPr>
        <w:t>1</w:t>
      </w:r>
      <w:r>
        <w:rPr>
          <w:rFonts w:hint="eastAsia" w:ascii="Times New Roman" w:hAnsi="Times New Roman" w:eastAsia="方正仿宋_GBK" w:cs="方正仿宋_GBK"/>
          <w:sz w:val="30"/>
          <w:szCs w:val="30"/>
          <w:highlight w:val="none"/>
          <w:lang w:eastAsia="zh-CN"/>
        </w:rPr>
        <w:t>人；经费自理人员</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sz w:val="30"/>
          <w:szCs w:val="30"/>
          <w:highlight w:val="none"/>
          <w:lang w:eastAsia="zh-CN"/>
        </w:rPr>
        <w:t>人。</w:t>
      </w:r>
    </w:p>
    <w:p w14:paraId="161546FB">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i w:val="0"/>
          <w:iCs w:val="0"/>
          <w:kern w:val="0"/>
          <w:sz w:val="30"/>
          <w:szCs w:val="30"/>
          <w:highlight w:val="none"/>
          <w:lang w:eastAsia="zh-CN"/>
        </w:rPr>
        <w:t>年末单位发放离退休费的</w:t>
      </w:r>
      <w:r>
        <w:rPr>
          <w:rFonts w:hint="eastAsia" w:ascii="Times New Roman" w:hAnsi="Times New Roman" w:eastAsia="方正仿宋_GBK" w:cs="方正仿宋_GBK"/>
          <w:i w:val="0"/>
          <w:iCs w:val="0"/>
          <w:strike w:val="0"/>
          <w:dstrike w:val="0"/>
          <w:color w:val="auto"/>
          <w:kern w:val="0"/>
          <w:sz w:val="30"/>
          <w:szCs w:val="30"/>
          <w:highlight w:val="none"/>
        </w:rPr>
        <w:t>离</w:t>
      </w:r>
      <w:r>
        <w:rPr>
          <w:rFonts w:hint="eastAsia" w:ascii="Times New Roman" w:hAnsi="Times New Roman" w:eastAsia="方正仿宋_GBK" w:cs="方正仿宋_GBK"/>
          <w:i w:val="0"/>
          <w:iCs w:val="0"/>
          <w:kern w:val="0"/>
          <w:sz w:val="30"/>
          <w:szCs w:val="30"/>
          <w:highlight w:val="none"/>
        </w:rPr>
        <w:t>退休人员</w:t>
      </w:r>
      <w:r>
        <w:rPr>
          <w:rFonts w:hint="eastAsia" w:ascii="Times New Roman" w:hAnsi="Times New Roman" w:eastAsia="方正仿宋_GBK" w:cs="方正仿宋_GBK"/>
          <w:i w:val="0"/>
          <w:iCs w:val="0"/>
          <w:kern w:val="0"/>
          <w:sz w:val="30"/>
          <w:szCs w:val="30"/>
          <w:highlight w:val="none"/>
          <w:lang w:eastAsia="zh-CN"/>
        </w:rPr>
        <w:t>共计</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离休</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kern w:val="0"/>
          <w:sz w:val="30"/>
          <w:szCs w:val="30"/>
          <w:highlight w:val="none"/>
        </w:rPr>
        <w:t>人，退休</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）。年末</w:t>
      </w:r>
      <w:r>
        <w:rPr>
          <w:rFonts w:hint="eastAsia" w:ascii="Times New Roman" w:hAnsi="Times New Roman" w:eastAsia="方正仿宋_GBK" w:cs="方正仿宋_GBK"/>
          <w:kern w:val="0"/>
          <w:sz w:val="30"/>
          <w:szCs w:val="30"/>
          <w:highlight w:val="none"/>
        </w:rPr>
        <w:t>由养老保险基金发放养老金的离退休人员</w:t>
      </w:r>
      <w:r>
        <w:rPr>
          <w:rFonts w:hint="eastAsia" w:ascii="Times New Roman" w:hAnsi="Times New Roman" w:eastAsia="方正仿宋_GBK" w:cs="方正仿宋_GBK"/>
          <w:color w:val="auto"/>
          <w:sz w:val="30"/>
          <w:szCs w:val="30"/>
          <w:lang w:val="en-US" w:eastAsia="zh-CN"/>
        </w:rPr>
        <w:t>3</w:t>
      </w:r>
      <w:r>
        <w:rPr>
          <w:rFonts w:hint="eastAsia" w:ascii="Times New Roman" w:hAnsi="Times New Roman" w:eastAsia="方正仿宋_GBK" w:cs="方正仿宋_GBK"/>
          <w:kern w:val="0"/>
          <w:sz w:val="30"/>
          <w:szCs w:val="30"/>
          <w:highlight w:val="none"/>
          <w:lang w:val="en-US" w:eastAsia="zh-CN"/>
        </w:rPr>
        <w:t>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离休</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kern w:val="0"/>
          <w:sz w:val="30"/>
          <w:szCs w:val="30"/>
          <w:highlight w:val="none"/>
        </w:rPr>
        <w:t>人，退休</w:t>
      </w:r>
      <w:r>
        <w:rPr>
          <w:rFonts w:hint="eastAsia" w:ascii="Times New Roman" w:hAnsi="Times New Roman" w:eastAsia="方正仿宋_GBK" w:cs="方正仿宋_GBK"/>
          <w:color w:val="auto"/>
          <w:sz w:val="30"/>
          <w:szCs w:val="30"/>
          <w:lang w:val="en-US" w:eastAsia="zh-CN"/>
        </w:rPr>
        <w:t>3</w:t>
      </w:r>
      <w:r>
        <w:rPr>
          <w:rFonts w:hint="eastAsia" w:ascii="Times New Roman" w:hAnsi="Times New Roman" w:eastAsia="方正仿宋_GBK" w:cs="方正仿宋_GBK"/>
          <w:kern w:val="0"/>
          <w:sz w:val="30"/>
          <w:szCs w:val="30"/>
          <w:highlight w:val="none"/>
        </w:rPr>
        <w:t>人</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rPr>
        <w:t>。</w:t>
      </w:r>
      <w:r>
        <w:rPr>
          <w:rFonts w:hint="eastAsia" w:ascii="Times New Roman" w:hAnsi="Times New Roman" w:eastAsia="方正仿宋_GBK" w:cs="方正仿宋_GBK"/>
          <w:kern w:val="0"/>
          <w:sz w:val="30"/>
          <w:szCs w:val="30"/>
          <w:highlight w:val="none"/>
          <w:lang w:val="en-US" w:eastAsia="zh-CN"/>
        </w:rPr>
        <w:t>年末学生</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kern w:val="0"/>
          <w:sz w:val="30"/>
          <w:szCs w:val="30"/>
          <w:highlight w:val="none"/>
          <w:lang w:val="en-US" w:eastAsia="zh-CN"/>
        </w:rPr>
        <w:t>人。年末遗属</w:t>
      </w:r>
      <w:r>
        <w:rPr>
          <w:rFonts w:hint="eastAsia" w:ascii="Times New Roman" w:hAnsi="Times New Roman" w:eastAsia="方正仿宋_GBK" w:cs="方正仿宋_GBK"/>
          <w:color w:val="auto"/>
          <w:sz w:val="30"/>
          <w:szCs w:val="30"/>
          <w:lang w:val="en-US" w:eastAsia="zh-CN"/>
        </w:rPr>
        <w:t>0</w:t>
      </w:r>
      <w:r>
        <w:rPr>
          <w:rFonts w:hint="eastAsia" w:ascii="Times New Roman" w:hAnsi="Times New Roman" w:eastAsia="方正仿宋_GBK" w:cs="方正仿宋_GBK"/>
          <w:kern w:val="0"/>
          <w:sz w:val="30"/>
          <w:szCs w:val="30"/>
          <w:highlight w:val="none"/>
          <w:lang w:val="en-US" w:eastAsia="zh-CN"/>
        </w:rPr>
        <w:t>人。</w:t>
      </w:r>
    </w:p>
    <w:p w14:paraId="1A70B3E5">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color w:val="FF0000"/>
          <w:kern w:val="0"/>
          <w:sz w:val="30"/>
          <w:szCs w:val="30"/>
          <w:highlight w:val="none"/>
        </w:rPr>
      </w:pPr>
      <w:r>
        <w:rPr>
          <w:rFonts w:hint="eastAsia" w:ascii="Times New Roman" w:hAnsi="Times New Roman" w:eastAsia="方正仿宋_GBK" w:cs="方正仿宋_GBK"/>
          <w:b w:val="0"/>
          <w:bCs w:val="0"/>
          <w:sz w:val="30"/>
          <w:szCs w:val="30"/>
          <w:highlight w:val="none"/>
          <w:u w:val="none"/>
          <w:lang w:val="en-US" w:eastAsia="zh-CN"/>
        </w:rPr>
        <w:t>车辆编制0辆，在编实有车辆0辆，超编0辆。</w:t>
      </w:r>
    </w:p>
    <w:p w14:paraId="65EAF774">
      <w:pPr>
        <w:pageBreakBefore w:val="0"/>
        <w:numPr>
          <w:numId w:val="0"/>
        </w:numPr>
        <w:kinsoku/>
        <w:overflowPunct/>
        <w:topLinePunct w:val="0"/>
        <w:bidi w:val="0"/>
        <w:adjustRightInd/>
        <w:snapToGrid w:val="0"/>
        <w:spacing w:line="590" w:lineRule="exact"/>
        <w:ind w:firstLine="600" w:firstLineChars="200"/>
        <w:textAlignment w:val="auto"/>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三、重点工作概述</w:t>
      </w:r>
    </w:p>
    <w:p w14:paraId="3A99D276">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楷体_GBK" w:cs="方正楷体_GBK"/>
          <w:kern w:val="0"/>
          <w:sz w:val="30"/>
          <w:szCs w:val="30"/>
          <w:highlight w:val="none"/>
          <w:lang w:val="en-US" w:eastAsia="zh-CN"/>
        </w:rPr>
        <w:t>（一）</w:t>
      </w:r>
      <w:r>
        <w:rPr>
          <w:rFonts w:hint="eastAsia" w:ascii="Times New Roman" w:hAnsi="Times New Roman" w:eastAsia="方正仿宋_GBK" w:cs="方正仿宋_GBK"/>
          <w:kern w:val="0"/>
          <w:sz w:val="30"/>
          <w:szCs w:val="30"/>
          <w:highlight w:val="none"/>
          <w:lang w:val="en-US" w:eastAsia="zh-CN"/>
        </w:rPr>
        <w:t>聚焦主责主业，巩固壮大主流思想舆论，主题报道入脑入心。</w:t>
      </w:r>
      <w:r>
        <w:rPr>
          <w:rFonts w:hint="eastAsia" w:ascii="Times New Roman" w:hAnsi="Times New Roman" w:eastAsia="方正仿宋_GBK" w:cs="方正仿宋_GBK"/>
          <w:kern w:val="0"/>
          <w:sz w:val="30"/>
          <w:szCs w:val="30"/>
          <w:highlight w:val="none"/>
        </w:rPr>
        <w:t>今年以来，</w:t>
      </w:r>
      <w:r>
        <w:rPr>
          <w:rFonts w:hint="eastAsia" w:ascii="Times New Roman" w:hAnsi="Times New Roman" w:eastAsia="方正仿宋_GBK" w:cs="方正仿宋_GBK"/>
          <w:kern w:val="0"/>
          <w:sz w:val="30"/>
          <w:szCs w:val="30"/>
          <w:highlight w:val="none"/>
          <w:lang w:eastAsia="zh-CN"/>
        </w:rPr>
        <w:t>县融媒体中心始终</w:t>
      </w:r>
      <w:r>
        <w:rPr>
          <w:rFonts w:hint="eastAsia" w:ascii="Times New Roman" w:hAnsi="Times New Roman" w:eastAsia="方正仿宋_GBK" w:cs="方正仿宋_GBK"/>
          <w:kern w:val="0"/>
          <w:sz w:val="30"/>
          <w:szCs w:val="30"/>
          <w:highlight w:val="none"/>
          <w:lang w:val="en-US" w:eastAsia="zh-CN"/>
        </w:rPr>
        <w:t>围绕县委、县政府的中心工作，</w:t>
      </w:r>
      <w:r>
        <w:rPr>
          <w:rFonts w:hint="eastAsia" w:ascii="Times New Roman" w:hAnsi="Times New Roman" w:eastAsia="方正仿宋_GBK" w:cs="方正仿宋_GBK"/>
          <w:kern w:val="0"/>
          <w:sz w:val="30"/>
          <w:szCs w:val="30"/>
          <w:highlight w:val="none"/>
        </w:rPr>
        <w:t>紧盯重大主题、瞄准重大节点、踩准时间节拍</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rPr>
        <w:t>制订年度宣传计划、月度宣传重点，谋划新闻宣传工作</w:t>
      </w:r>
      <w:r>
        <w:rPr>
          <w:rFonts w:hint="eastAsia" w:ascii="Times New Roman" w:hAnsi="Times New Roman" w:eastAsia="方正仿宋_GBK" w:cs="方正仿宋_GBK"/>
          <w:kern w:val="0"/>
          <w:sz w:val="30"/>
          <w:szCs w:val="30"/>
          <w:highlight w:val="none"/>
          <w:lang w:eastAsia="zh-CN"/>
        </w:rPr>
        <w:t>，精心</w:t>
      </w:r>
      <w:r>
        <w:rPr>
          <w:rFonts w:hint="eastAsia" w:ascii="Times New Roman" w:hAnsi="Times New Roman" w:eastAsia="方正仿宋_GBK" w:cs="方正仿宋_GBK"/>
          <w:kern w:val="0"/>
          <w:sz w:val="30"/>
          <w:szCs w:val="30"/>
          <w:highlight w:val="none"/>
        </w:rPr>
        <w:t>策划</w:t>
      </w:r>
      <w:r>
        <w:rPr>
          <w:rFonts w:hint="eastAsia" w:ascii="Times New Roman" w:hAnsi="Times New Roman" w:eastAsia="方正仿宋_GBK" w:cs="方正仿宋_GBK"/>
          <w:kern w:val="0"/>
          <w:sz w:val="30"/>
          <w:szCs w:val="30"/>
          <w:highlight w:val="none"/>
          <w:lang w:eastAsia="zh-CN"/>
        </w:rPr>
        <w:t>推出一系列主题报道。</w:t>
      </w:r>
      <w:r>
        <w:rPr>
          <w:rFonts w:hint="eastAsia" w:ascii="Times New Roman" w:hAnsi="Times New Roman" w:eastAsia="方正仿宋_GBK" w:cs="方正仿宋_GBK"/>
          <w:kern w:val="0"/>
          <w:sz w:val="30"/>
          <w:szCs w:val="30"/>
          <w:highlight w:val="none"/>
          <w:lang w:val="en-US" w:eastAsia="zh-CN"/>
        </w:rPr>
        <w:t>开设“学习贯彻党的二十届四中全会精神”、“决胜‘十四五’迈上新台阶”“牢记总书记嘱托 开创云南发展新局面”“锲而不舍落实中央八项规定精神”“走基层·看一线”</w:t>
      </w:r>
      <w:r>
        <w:rPr>
          <w:rFonts w:hint="eastAsia" w:ascii="Times New Roman" w:hAnsi="Times New Roman" w:eastAsia="方正仿宋_GBK" w:cs="方正仿宋_GBK"/>
          <w:kern w:val="0"/>
          <w:sz w:val="30"/>
          <w:szCs w:val="30"/>
          <w:highlight w:val="none"/>
          <w:lang w:eastAsia="zh-CN"/>
        </w:rPr>
        <w:t>“答好五问促增收”“文化中国行”“悦动华宁</w:t>
      </w:r>
      <w:r>
        <w:rPr>
          <w:rFonts w:hint="eastAsia" w:ascii="Times New Roman" w:hAnsi="Times New Roman" w:eastAsia="方正仿宋_GBK" w:cs="方正仿宋_GBK"/>
          <w:kern w:val="0"/>
          <w:sz w:val="30"/>
          <w:szCs w:val="30"/>
          <w:highlight w:val="none"/>
          <w:lang w:val="en-US" w:eastAsia="zh-CN"/>
        </w:rPr>
        <w:t>·桔时有约</w:t>
      </w:r>
      <w:r>
        <w:rPr>
          <w:rFonts w:hint="eastAsia" w:ascii="Times New Roman" w:hAnsi="Times New Roman" w:eastAsia="方正仿宋_GBK" w:cs="方正仿宋_GBK"/>
          <w:kern w:val="0"/>
          <w:sz w:val="30"/>
          <w:szCs w:val="30"/>
          <w:highlight w:val="none"/>
          <w:lang w:eastAsia="zh-CN"/>
        </w:rPr>
        <w:t>”</w:t>
      </w:r>
      <w:r>
        <w:rPr>
          <w:rFonts w:hint="eastAsia" w:ascii="Times New Roman" w:hAnsi="Times New Roman" w:eastAsia="方正仿宋_GBK" w:cs="方正仿宋_GBK"/>
          <w:kern w:val="0"/>
          <w:sz w:val="30"/>
          <w:szCs w:val="30"/>
          <w:highlight w:val="none"/>
          <w:lang w:val="en-US" w:eastAsia="zh-CN"/>
        </w:rPr>
        <w:t>等专题专栏，深入宣传报道全县上下在推动产业发展、项目建设、生态保护、社会治理、党的建设、农文旅融合、清廉文化建设等方面的新举措、新成效，为华宁经济社会高质量发展营造良好的舆论氛围。</w:t>
      </w:r>
      <w:r>
        <w:rPr>
          <w:rFonts w:hint="eastAsia" w:ascii="Times New Roman" w:hAnsi="Times New Roman" w:eastAsia="方正仿宋_GBK" w:cs="方正仿宋_GBK"/>
          <w:kern w:val="0"/>
          <w:sz w:val="30"/>
          <w:szCs w:val="30"/>
          <w:highlight w:val="none"/>
        </w:rPr>
        <w:t>截至</w:t>
      </w:r>
      <w:r>
        <w:rPr>
          <w:rFonts w:hint="eastAsia" w:ascii="Times New Roman" w:hAnsi="Times New Roman" w:eastAsia="方正仿宋_GBK" w:cs="方正仿宋_GBK"/>
          <w:kern w:val="0"/>
          <w:sz w:val="30"/>
          <w:szCs w:val="30"/>
          <w:highlight w:val="none"/>
          <w:lang w:val="en-US" w:eastAsia="zh-CN"/>
        </w:rPr>
        <w:t>目前，在《华宁新闻》节目播出新闻990条，有力展示了华宁形象。</w:t>
      </w:r>
    </w:p>
    <w:p w14:paraId="57B2E4D2">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楷体_GBK" w:cs="方正楷体_GBK"/>
          <w:kern w:val="0"/>
          <w:sz w:val="30"/>
          <w:szCs w:val="30"/>
          <w:highlight w:val="none"/>
          <w:lang w:val="en-US" w:eastAsia="zh-CN"/>
        </w:rPr>
        <w:t>（二）</w:t>
      </w:r>
      <w:r>
        <w:rPr>
          <w:rFonts w:hint="eastAsia" w:ascii="Times New Roman" w:hAnsi="Times New Roman" w:eastAsia="方正仿宋_GBK" w:cs="方正仿宋_GBK"/>
          <w:kern w:val="0"/>
          <w:sz w:val="30"/>
          <w:szCs w:val="30"/>
          <w:highlight w:val="none"/>
          <w:lang w:val="en-US" w:eastAsia="zh-CN"/>
        </w:rPr>
        <w:t>重大活动宣传有力有效。对“</w:t>
      </w:r>
      <w:r>
        <w:rPr>
          <w:rFonts w:hint="default" w:ascii="Times New Roman" w:hAnsi="Times New Roman" w:eastAsia="方正仿宋_GBK" w:cs="方正仿宋_GBK"/>
          <w:kern w:val="0"/>
          <w:sz w:val="30"/>
          <w:szCs w:val="30"/>
          <w:highlight w:val="none"/>
          <w:lang w:val="en-US" w:eastAsia="zh-CN"/>
        </w:rPr>
        <w:t>纪念中国人民抗日战争暨世界反法西斯战争胜利80周年</w:t>
      </w:r>
      <w:r>
        <w:rPr>
          <w:rFonts w:hint="eastAsia" w:ascii="Times New Roman" w:hAnsi="Times New Roman" w:eastAsia="方正仿宋_GBK" w:cs="方正仿宋_GBK"/>
          <w:kern w:val="0"/>
          <w:sz w:val="30"/>
          <w:szCs w:val="30"/>
          <w:highlight w:val="none"/>
          <w:lang w:val="en-US" w:eastAsia="zh-CN"/>
        </w:rPr>
        <w:t>”、国庆、县委全会、县“两会”、元旦节、春节、“三八”妇女节、“五一”劳动节、悦动华宁·桔时有约等重要会议和重大节庆活动进行全方位、多角度的宣传报道。通过新闻报道、短视频、专题推送等形式，及时准确地向全县人民传递活动信息。其中，《华宁：巡游演出闹新春 欢欢喜喜过大年》《华宁：新春开窑 游客沉浸式体验华宁陶文化与魅力》《华宁：踢出风采 游出乐趣 足球经济激发文旅新活力》在新华社客户端、中国网客户端推送。</w:t>
      </w:r>
    </w:p>
    <w:p w14:paraId="7C0C769F">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楷体_GBK" w:cs="方正楷体_GBK"/>
          <w:kern w:val="0"/>
          <w:sz w:val="30"/>
          <w:szCs w:val="30"/>
          <w:highlight w:val="none"/>
          <w:lang w:val="en-US" w:eastAsia="zh-CN"/>
        </w:rPr>
        <w:t>（三）</w:t>
      </w:r>
      <w:r>
        <w:rPr>
          <w:rFonts w:hint="eastAsia" w:ascii="Times New Roman" w:hAnsi="Times New Roman" w:eastAsia="方正仿宋_GBK" w:cs="方正仿宋_GBK"/>
          <w:kern w:val="0"/>
          <w:sz w:val="30"/>
          <w:szCs w:val="30"/>
          <w:highlight w:val="none"/>
          <w:lang w:val="en-US" w:eastAsia="zh-CN"/>
        </w:rPr>
        <w:t>对外传播破圈出彩。积极搭建与中央级、省级、市级媒体合作链路，以市级媒体平台为融合传播“核心平台圈”，携手新华社、云南广播电视台、云南日报社等中央、省级媒体平台为融合传播“拓展平台圈”，两个平台圈构建起内部融合、上下融合、场景融合、区域融合的“四维融合”场景，联动传播，全力提升向外宣传“融”效能，传播效果“破圈”，一大批优秀新闻作品登上中央和省、市主流媒体。一年来，华宁县共在中央级媒体刊播发华宁新闻161条次，在省级媒体刊播发华宁新闻1,988条次，在市级媒体刊播发华宁新闻共计843条次。其中，《华宁县：擦亮“三色”，提升干部素质能力》在半月谈网刊发，《玉溪华宁：通关提速 服务加码 助推高原特色农产品走向国际市场》在新华社客户端发布，《云南“华宁柑桔”受国际市场青睐 今年已出口</w:t>
      </w:r>
      <w:r>
        <w:rPr>
          <w:rFonts w:hint="default" w:ascii="Times New Roman" w:hAnsi="Times New Roman" w:eastAsia="方正仿宋_GBK" w:cs="方正仿宋_GBK"/>
          <w:kern w:val="0"/>
          <w:sz w:val="30"/>
          <w:szCs w:val="30"/>
          <w:highlight w:val="none"/>
          <w:lang w:val="en-US" w:eastAsia="zh-CN"/>
        </w:rPr>
        <w:t>7</w:t>
      </w:r>
      <w:r>
        <w:rPr>
          <w:rFonts w:hint="eastAsia" w:ascii="Times New Roman" w:hAnsi="Times New Roman" w:eastAsia="方正仿宋_GBK" w:cs="方正仿宋_GBK"/>
          <w:kern w:val="0"/>
          <w:sz w:val="30"/>
          <w:szCs w:val="30"/>
          <w:highlight w:val="none"/>
          <w:lang w:val="en-US" w:eastAsia="zh-CN"/>
        </w:rPr>
        <w:t>万余吨》《盘溪化工园区项目建设热潮涌动 产业集群加速成型》在中国网发布，《聚力惠民企业展现作为》在《云南日报》刊发。</w:t>
      </w:r>
    </w:p>
    <w:p w14:paraId="54C70819">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楷体_GBK" w:cs="方正楷体_GBK"/>
          <w:kern w:val="0"/>
          <w:sz w:val="30"/>
          <w:szCs w:val="30"/>
          <w:highlight w:val="none"/>
          <w:lang w:val="en-US" w:eastAsia="zh-CN"/>
        </w:rPr>
        <w:t>（四）</w:t>
      </w:r>
      <w:r>
        <w:rPr>
          <w:rFonts w:hint="eastAsia" w:ascii="Times New Roman" w:hAnsi="Times New Roman" w:eastAsia="方正仿宋_GBK" w:cs="方正仿宋_GBK"/>
          <w:kern w:val="0"/>
          <w:sz w:val="30"/>
          <w:szCs w:val="30"/>
          <w:highlight w:val="none"/>
          <w:lang w:val="en-US" w:eastAsia="zh-CN"/>
        </w:rPr>
        <w:t>深化媒体融合，提升融媒矩阵传播效能，融媒产品亮点纷呈。以“内容创新、技术赋能、矩阵联动”为抓手，聚焦短视频制作、微信公众号运营等核心业务，全面推进媒体深度融合。一是开设专栏及时转载推送中央、省级、市级媒体重点报道，“i华宁”APP“正能量稿池”共签发稿件43,272条。二是围绕重点工作和民生关切创作推出了一系列新媒体产品。结合“文体旅”融合、“有一种叫云南的生活”“跟着赛事去旅行”等主题宣传，从风土人情、美食美景等方面推介华宁。2025年，“华宁头条”微信公众号共推送信息3,580条次，“华宁头条”视频号、“华宁融媒”抖音、快手号发布短视频2,820条次。三是抓实“采、编、播”全链条生产，在产品生产上下功夫、在产品包装上下功夫、在产品发布流程上下功夫。推出《华宁新闻 每日摘要》《看华宁》《中秋好“食”节》等短视频专题合集，其中，看华宁”合集阅览量累计超397.6万次、“华宁新闻 每日摘要”合集阅览量累计超过125.3万次。</w:t>
      </w:r>
    </w:p>
    <w:p w14:paraId="5639A41A">
      <w:pPr>
        <w:pageBreakBefore w:val="0"/>
        <w:kinsoku/>
        <w:overflowPunct/>
        <w:topLinePunct w:val="0"/>
        <w:bidi w:val="0"/>
        <w:adjustRightInd/>
        <w:spacing w:line="590" w:lineRule="exact"/>
        <w:ind w:firstLine="600" w:firstLineChars="200"/>
        <w:textAlignment w:val="auto"/>
        <w:rPr>
          <w:rFonts w:hint="eastAsia" w:ascii="Times New Roman" w:hAnsi="Times New Roman" w:eastAsia="仿宋_GB2312" w:cs="Arial"/>
          <w:kern w:val="0"/>
          <w:sz w:val="30"/>
          <w:szCs w:val="30"/>
          <w:highlight w:val="none"/>
        </w:rPr>
      </w:pPr>
      <w:r>
        <w:rPr>
          <w:rFonts w:hint="eastAsia" w:ascii="Times New Roman" w:hAnsi="Times New Roman" w:eastAsia="方正楷体_GBK" w:cs="方正楷体_GBK"/>
          <w:kern w:val="0"/>
          <w:sz w:val="30"/>
          <w:szCs w:val="30"/>
          <w:highlight w:val="none"/>
          <w:lang w:val="en-US" w:eastAsia="zh-CN"/>
        </w:rPr>
        <w:t>（五）</w:t>
      </w:r>
      <w:r>
        <w:rPr>
          <w:rFonts w:hint="eastAsia" w:ascii="Times New Roman" w:hAnsi="Times New Roman" w:eastAsia="方正仿宋_GBK" w:cs="方正仿宋_GBK"/>
          <w:kern w:val="0"/>
          <w:sz w:val="30"/>
          <w:szCs w:val="30"/>
          <w:highlight w:val="none"/>
          <w:lang w:val="en-US" w:eastAsia="zh-CN"/>
        </w:rPr>
        <w:t>服务内容不断拓展。一是优化APP功能及布局，探索与相关单位部门的合作，开发贴近群众、功能适用的板块，内容吸引受众。二是发挥职能优势，坚持“线上做栏目、线下搞活动”，积极组织参与策划“民族团结故事我来讲”主题演讲比赛、华宁县</w:t>
      </w:r>
      <w:r>
        <w:rPr>
          <w:rFonts w:hint="default" w:ascii="Times New Roman" w:hAnsi="Times New Roman" w:eastAsia="方正仿宋_GBK" w:cs="方正仿宋_GBK"/>
          <w:kern w:val="0"/>
          <w:sz w:val="30"/>
          <w:szCs w:val="30"/>
          <w:highlight w:val="none"/>
          <w:lang w:val="en-US" w:eastAsia="zh-CN"/>
        </w:rPr>
        <w:t>2025</w:t>
      </w:r>
      <w:r>
        <w:rPr>
          <w:rFonts w:hint="eastAsia" w:ascii="Times New Roman" w:hAnsi="Times New Roman" w:eastAsia="方正仿宋_GBK" w:cs="方正仿宋_GBK"/>
          <w:kern w:val="0"/>
          <w:sz w:val="30"/>
          <w:szCs w:val="30"/>
          <w:highlight w:val="none"/>
          <w:lang w:val="en-US" w:eastAsia="zh-CN"/>
        </w:rPr>
        <w:t>年社会科学普及宣传周活动等活动，增强与受众的互动性和参与感，提升华宁融媒的影响力和服务力。今年以来，共参与线下活动</w:t>
      </w:r>
      <w:r>
        <w:rPr>
          <w:rFonts w:hint="default" w:ascii="Times New Roman" w:hAnsi="Times New Roman" w:eastAsia="方正仿宋_GBK" w:cs="方正仿宋_GBK"/>
          <w:kern w:val="0"/>
          <w:sz w:val="30"/>
          <w:szCs w:val="30"/>
          <w:highlight w:val="none"/>
          <w:lang w:val="en-US" w:eastAsia="zh-CN"/>
        </w:rPr>
        <w:t>17</w:t>
      </w:r>
      <w:r>
        <w:rPr>
          <w:rFonts w:hint="eastAsia" w:ascii="Times New Roman" w:hAnsi="Times New Roman" w:eastAsia="方正仿宋_GBK" w:cs="方正仿宋_GBK"/>
          <w:kern w:val="0"/>
          <w:sz w:val="30"/>
          <w:szCs w:val="30"/>
          <w:highlight w:val="none"/>
          <w:lang w:val="en-US" w:eastAsia="zh-CN"/>
        </w:rPr>
        <w:t>场次，协助做好《四季花开“香”约云南》等重大活动直播</w:t>
      </w:r>
      <w:r>
        <w:rPr>
          <w:rFonts w:hint="default" w:ascii="Times New Roman" w:hAnsi="Times New Roman" w:eastAsia="方正仿宋_GBK" w:cs="方正仿宋_GBK"/>
          <w:kern w:val="0"/>
          <w:sz w:val="30"/>
          <w:szCs w:val="30"/>
          <w:highlight w:val="none"/>
          <w:lang w:val="en-US" w:eastAsia="zh-CN"/>
        </w:rPr>
        <w:t>19</w:t>
      </w:r>
      <w:r>
        <w:rPr>
          <w:rFonts w:hint="eastAsia" w:ascii="Times New Roman" w:hAnsi="Times New Roman" w:eastAsia="方正仿宋_GBK" w:cs="方正仿宋_GBK"/>
          <w:kern w:val="0"/>
          <w:sz w:val="30"/>
          <w:szCs w:val="30"/>
          <w:highlight w:val="none"/>
          <w:lang w:val="en-US" w:eastAsia="zh-CN"/>
        </w:rPr>
        <w:t>场次。编排电视节目播出表</w:t>
      </w:r>
      <w:r>
        <w:rPr>
          <w:rFonts w:hint="default" w:ascii="Times New Roman" w:hAnsi="Times New Roman" w:eastAsia="方正仿宋_GBK" w:cs="方正仿宋_GBK"/>
          <w:kern w:val="0"/>
          <w:sz w:val="30"/>
          <w:szCs w:val="30"/>
          <w:highlight w:val="none"/>
          <w:lang w:val="en-US" w:eastAsia="zh-CN"/>
        </w:rPr>
        <w:t>3</w:t>
      </w:r>
      <w:r>
        <w:rPr>
          <w:rFonts w:hint="eastAsia" w:ascii="Times New Roman" w:hAnsi="Times New Roman" w:eastAsia="方正仿宋_GBK" w:cs="方正仿宋_GBK"/>
          <w:kern w:val="0"/>
          <w:sz w:val="30"/>
          <w:szCs w:val="30"/>
          <w:highlight w:val="none"/>
          <w:lang w:val="en-US" w:eastAsia="zh-CN"/>
        </w:rPr>
        <w:t>65期，共在电视媒体上播出普法宣传、森林防火、消防安全、交通安全、防灾减灾、防溺水等各类公益广告329个108,292次</w:t>
      </w:r>
      <w:r>
        <w:rPr>
          <w:rFonts w:hint="default" w:ascii="Times New Roman" w:hAnsi="Times New Roman" w:eastAsia="方正仿宋_GBK" w:cs="方正仿宋_GBK"/>
          <w:kern w:val="0"/>
          <w:sz w:val="30"/>
          <w:szCs w:val="30"/>
          <w:highlight w:val="none"/>
          <w:lang w:val="en-US" w:eastAsia="zh-CN"/>
        </w:rPr>
        <w:t>、标语</w:t>
      </w:r>
      <w:r>
        <w:rPr>
          <w:rFonts w:hint="eastAsia" w:ascii="Times New Roman" w:hAnsi="Times New Roman" w:eastAsia="方正仿宋_GBK" w:cs="方正仿宋_GBK"/>
          <w:kern w:val="0"/>
          <w:sz w:val="30"/>
          <w:szCs w:val="30"/>
          <w:highlight w:val="none"/>
          <w:lang w:val="en-US" w:eastAsia="zh-CN"/>
        </w:rPr>
        <w:t>467条31,202次。</w:t>
      </w:r>
    </w:p>
    <w:p w14:paraId="422A2E66">
      <w:pPr>
        <w:pageBreakBefore w:val="0"/>
        <w:kinsoku/>
        <w:overflowPunct/>
        <w:topLinePunct w:val="0"/>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 xml:space="preserve">第二部分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部门决算表</w:t>
      </w:r>
    </w:p>
    <w:p w14:paraId="6B2B5CAF">
      <w:pPr>
        <w:pageBreakBefore w:val="0"/>
        <w:kinsoku/>
        <w:overflowPunct/>
        <w:topLinePunct w:val="0"/>
        <w:bidi w:val="0"/>
        <w:adjustRightInd/>
        <w:spacing w:line="590" w:lineRule="exact"/>
        <w:ind w:firstLine="600" w:firstLineChars="200"/>
        <w:jc w:val="center"/>
        <w:textAlignment w:val="auto"/>
        <w:outlineLvl w:val="1"/>
        <w:rPr>
          <w:rFonts w:hint="eastAsia" w:ascii="Times New Roman" w:hAnsi="Times New Roman" w:eastAsia="方正仿宋_GBK" w:cs="方正仿宋_GBK"/>
          <w:sz w:val="30"/>
          <w:szCs w:val="30"/>
          <w:highlight w:val="none"/>
        </w:rPr>
      </w:pPr>
      <w:r>
        <w:rPr>
          <w:rFonts w:hint="eastAsia" w:ascii="Times New Roman" w:hAnsi="Times New Roman" w:eastAsia="方正仿宋_GBK" w:cs="方正仿宋_GBK"/>
          <w:sz w:val="30"/>
          <w:szCs w:val="30"/>
          <w:highlight w:val="none"/>
        </w:rPr>
        <w:t>（详见附件）</w:t>
      </w:r>
    </w:p>
    <w:p w14:paraId="02894D6B">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default" w:ascii="Times New Roman" w:hAnsi="Times New Roman" w:eastAsia="方正仿宋_GBK" w:cs="方正仿宋_GBK"/>
          <w:kern w:val="0"/>
          <w:sz w:val="30"/>
          <w:szCs w:val="30"/>
          <w:highlight w:val="none"/>
          <w:lang w:val="en-US" w:eastAsia="zh-CN"/>
        </w:rPr>
        <w:t>华宁县融媒体中心</w:t>
      </w:r>
      <w:r>
        <w:rPr>
          <w:rFonts w:hint="eastAsia" w:ascii="Times New Roman" w:hAnsi="Times New Roman" w:eastAsia="方正仿宋_GBK" w:cs="方正仿宋_GBK"/>
          <w:kern w:val="0"/>
          <w:sz w:val="30"/>
          <w:szCs w:val="30"/>
          <w:highlight w:val="none"/>
          <w:lang w:val="en-US" w:eastAsia="zh-CN"/>
        </w:rPr>
        <w:t>2025年</w:t>
      </w:r>
      <w:r>
        <w:rPr>
          <w:rFonts w:hint="default" w:ascii="Times New Roman" w:hAnsi="Times New Roman" w:eastAsia="方正仿宋_GBK" w:cs="方正仿宋_GBK"/>
          <w:kern w:val="0"/>
          <w:sz w:val="30"/>
          <w:szCs w:val="30"/>
          <w:highlight w:val="none"/>
          <w:lang w:val="en-US" w:eastAsia="zh-CN"/>
        </w:rPr>
        <w:t>没有国有资本经营收入，也没有使用国有资本经营安排的支出，故《国有资本经营预算财政拨款收入支出决算表》</w:t>
      </w:r>
      <w:r>
        <w:rPr>
          <w:rFonts w:hint="eastAsia" w:ascii="Times New Roman" w:hAnsi="Times New Roman" w:eastAsia="方正仿宋_GBK" w:cs="方正仿宋_GBK"/>
          <w:kern w:val="0"/>
          <w:sz w:val="30"/>
          <w:szCs w:val="30"/>
          <w:highlight w:val="none"/>
          <w:lang w:val="en-US" w:eastAsia="zh-CN"/>
        </w:rPr>
        <w:t>为空表</w:t>
      </w:r>
      <w:r>
        <w:rPr>
          <w:rFonts w:hint="default" w:ascii="Times New Roman" w:hAnsi="Times New Roman" w:eastAsia="方正仿宋_GBK" w:cs="方正仿宋_GBK"/>
          <w:kern w:val="0"/>
          <w:sz w:val="30"/>
          <w:szCs w:val="30"/>
          <w:highlight w:val="none"/>
          <w:lang w:val="en-US" w:eastAsia="zh-CN"/>
        </w:rPr>
        <w:t>。</w:t>
      </w:r>
    </w:p>
    <w:p w14:paraId="5D4B6B21">
      <w:pPr>
        <w:pageBreakBefore w:val="0"/>
        <w:kinsoku/>
        <w:overflowPunct/>
        <w:topLinePunct w:val="0"/>
        <w:bidi w:val="0"/>
        <w:adjustRightInd/>
        <w:spacing w:line="590" w:lineRule="exact"/>
        <w:jc w:val="center"/>
        <w:textAlignment w:val="auto"/>
        <w:outlineLvl w:val="0"/>
        <w:rPr>
          <w:rFonts w:hint="eastAsia" w:ascii="Times New Roman" w:hAnsi="Times New Roman" w:eastAsia="黑体"/>
          <w:sz w:val="32"/>
          <w:szCs w:val="32"/>
          <w:highlight w:val="none"/>
        </w:rPr>
      </w:pPr>
      <w:r>
        <w:rPr>
          <w:rFonts w:hint="eastAsia" w:ascii="Times New Roman" w:hAnsi="Times New Roman" w:eastAsia="黑体"/>
          <w:sz w:val="32"/>
          <w:szCs w:val="32"/>
          <w:highlight w:val="none"/>
        </w:rPr>
        <w:t>第三部</w:t>
      </w:r>
      <w:r>
        <w:rPr>
          <w:rFonts w:hint="eastAsia" w:ascii="Times New Roman" w:hAnsi="Times New Roman" w:eastAsia="黑体"/>
          <w:sz w:val="32"/>
          <w:szCs w:val="32"/>
          <w:highlight w:val="none"/>
          <w:lang w:eastAsia="zh-CN"/>
        </w:rPr>
        <w:t>分</w:t>
      </w:r>
      <w:r>
        <w:rPr>
          <w:rFonts w:hint="eastAsia" w:ascii="Times New Roman" w:hAnsi="Times New Roman" w:eastAsia="黑体"/>
          <w:sz w:val="32"/>
          <w:szCs w:val="32"/>
          <w:highlight w:val="none"/>
        </w:rPr>
        <w:t xml:space="preserve">  </w:t>
      </w:r>
      <w:r>
        <w:rPr>
          <w:rFonts w:hint="eastAsia" w:ascii="Times New Roman" w:hAnsi="Times New Roman" w:eastAsia="黑体"/>
          <w:sz w:val="32"/>
          <w:szCs w:val="32"/>
          <w:highlight w:val="none"/>
          <w:lang w:val="en-US" w:eastAsia="zh-CN"/>
        </w:rPr>
        <w:t>2025年度</w:t>
      </w:r>
      <w:r>
        <w:rPr>
          <w:rFonts w:hint="eastAsia" w:ascii="Times New Roman" w:hAnsi="Times New Roman" w:eastAsia="黑体"/>
          <w:sz w:val="32"/>
          <w:szCs w:val="32"/>
          <w:highlight w:val="none"/>
        </w:rPr>
        <w:t>部门决算情况说明</w:t>
      </w:r>
    </w:p>
    <w:p w14:paraId="68479FBC">
      <w:pPr>
        <w:pageBreakBefore w:val="0"/>
        <w:kinsoku/>
        <w:overflowPunct/>
        <w:topLinePunct w:val="0"/>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一、收入决算情况说明</w:t>
      </w:r>
    </w:p>
    <w:p w14:paraId="422375BA">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zh-CN" w:eastAsia="zh-CN"/>
        </w:rPr>
        <w:t>华宁县融媒体中心</w:t>
      </w:r>
      <w:r>
        <w:rPr>
          <w:rFonts w:hint="eastAsia" w:ascii="Times New Roman" w:hAnsi="Times New Roman" w:eastAsia="方正仿宋_GBK" w:cs="方正仿宋_GBK"/>
          <w:kern w:val="0"/>
          <w:sz w:val="30"/>
          <w:szCs w:val="30"/>
          <w:highlight w:val="none"/>
          <w:lang w:val="en-US" w:eastAsia="zh-CN"/>
        </w:rPr>
        <w:t>2025年度收入合计</w:t>
      </w:r>
      <w:r>
        <w:rPr>
          <w:rFonts w:hint="eastAsia" w:ascii="Times New Roman" w:hAnsi="Times New Roman" w:eastAsia="方正仿宋_GBK" w:cs="方正仿宋_GBK"/>
          <w:kern w:val="0"/>
          <w:sz w:val="30"/>
          <w:szCs w:val="30"/>
          <w:highlight w:val="none"/>
          <w:lang w:val="zh-CN" w:eastAsia="zh-CN"/>
        </w:rPr>
        <w:t>7,003,304.91</w:t>
      </w:r>
      <w:r>
        <w:rPr>
          <w:rFonts w:hint="eastAsia" w:ascii="Times New Roman" w:hAnsi="Times New Roman" w:eastAsia="方正仿宋_GBK" w:cs="方正仿宋_GBK"/>
          <w:kern w:val="0"/>
          <w:sz w:val="30"/>
          <w:szCs w:val="30"/>
          <w:highlight w:val="none"/>
          <w:lang w:val="en-US" w:eastAsia="zh-CN"/>
        </w:rPr>
        <w:t>元。其中：财政拨款收入</w:t>
      </w:r>
      <w:r>
        <w:rPr>
          <w:rFonts w:hint="eastAsia" w:ascii="Times New Roman" w:hAnsi="Times New Roman" w:eastAsia="方正仿宋_GBK" w:cs="方正仿宋_GBK"/>
          <w:kern w:val="0"/>
          <w:sz w:val="30"/>
          <w:szCs w:val="30"/>
          <w:highlight w:val="none"/>
          <w:lang w:val="zh-CN" w:eastAsia="zh-CN"/>
        </w:rPr>
        <w:t>6,979,304.91</w:t>
      </w:r>
      <w:r>
        <w:rPr>
          <w:rFonts w:hint="eastAsia" w:ascii="Times New Roman" w:hAnsi="Times New Roman" w:eastAsia="方正仿宋_GBK" w:cs="方正仿宋_GBK"/>
          <w:kern w:val="0"/>
          <w:sz w:val="30"/>
          <w:szCs w:val="30"/>
          <w:highlight w:val="none"/>
          <w:lang w:val="en-US" w:eastAsia="zh-CN"/>
        </w:rPr>
        <w:t>元，占总收入的</w:t>
      </w:r>
      <w:r>
        <w:rPr>
          <w:rFonts w:hint="eastAsia" w:ascii="Times New Roman" w:hAnsi="Times New Roman" w:eastAsia="方正仿宋_GBK" w:cs="方正仿宋_GBK"/>
          <w:kern w:val="0"/>
          <w:sz w:val="30"/>
          <w:szCs w:val="30"/>
          <w:highlight w:val="none"/>
          <w:lang w:val="zh-CN" w:eastAsia="zh-CN"/>
        </w:rPr>
        <w:t>99.66</w:t>
      </w:r>
      <w:r>
        <w:rPr>
          <w:rFonts w:hint="eastAsia" w:ascii="Times New Roman" w:hAnsi="Times New Roman" w:eastAsia="方正仿宋_GBK" w:cs="方正仿宋_GBK"/>
          <w:kern w:val="0"/>
          <w:sz w:val="30"/>
          <w:szCs w:val="30"/>
          <w:highlight w:val="none"/>
          <w:lang w:val="en-US" w:eastAsia="zh-CN"/>
        </w:rPr>
        <w:t>%；无上级补助收入；无事业收入；无经营收入；无附属单位上缴收入；其他收入</w:t>
      </w:r>
      <w:r>
        <w:rPr>
          <w:rFonts w:hint="eastAsia" w:ascii="Times New Roman" w:hAnsi="Times New Roman" w:eastAsia="方正仿宋_GBK" w:cs="方正仿宋_GBK"/>
          <w:kern w:val="0"/>
          <w:sz w:val="30"/>
          <w:szCs w:val="30"/>
          <w:highlight w:val="none"/>
          <w:lang w:val="zh-CN" w:eastAsia="zh-CN"/>
        </w:rPr>
        <w:t>24,000.00</w:t>
      </w:r>
      <w:r>
        <w:rPr>
          <w:rFonts w:hint="eastAsia" w:ascii="Times New Roman" w:hAnsi="Times New Roman" w:eastAsia="方正仿宋_GBK" w:cs="方正仿宋_GBK"/>
          <w:kern w:val="0"/>
          <w:sz w:val="30"/>
          <w:szCs w:val="30"/>
          <w:highlight w:val="none"/>
          <w:lang w:val="en-US" w:eastAsia="zh-CN"/>
        </w:rPr>
        <w:t>元，占总收入的</w:t>
      </w:r>
      <w:r>
        <w:rPr>
          <w:rFonts w:hint="eastAsia" w:ascii="Times New Roman" w:hAnsi="Times New Roman" w:eastAsia="方正仿宋_GBK" w:cs="方正仿宋_GBK"/>
          <w:kern w:val="0"/>
          <w:sz w:val="30"/>
          <w:szCs w:val="30"/>
          <w:highlight w:val="none"/>
          <w:lang w:val="zh-CN" w:eastAsia="zh-CN"/>
        </w:rPr>
        <w:t>0.34</w:t>
      </w:r>
      <w:r>
        <w:rPr>
          <w:rFonts w:hint="eastAsia" w:ascii="Times New Roman" w:hAnsi="Times New Roman" w:eastAsia="方正仿宋_GBK" w:cs="方正仿宋_GBK"/>
          <w:kern w:val="0"/>
          <w:sz w:val="30"/>
          <w:szCs w:val="30"/>
          <w:highlight w:val="none"/>
          <w:lang w:val="en-US" w:eastAsia="zh-CN"/>
        </w:rPr>
        <w:t>%。</w:t>
      </w:r>
    </w:p>
    <w:p w14:paraId="17BD45AC">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zh-CN" w:eastAsia="zh-CN"/>
        </w:rPr>
        <w:t>与上年相比，收入合计增加1,344,806.79元，增长23.77%。其中：财政拨款收入增加1,370,806.79元，增长24.44%；上级补助收入上下年度均无此项收入；事业收入上下年度均无此项收入；经营收入上下年度均无此项收入；附属单位上缴收入上下年度均无此项收入；其他收入减少26,000.00元，下降52.00%。</w:t>
      </w:r>
      <w:r>
        <w:rPr>
          <w:rFonts w:hint="eastAsia" w:ascii="Times New Roman" w:hAnsi="Times New Roman" w:eastAsia="方正仿宋_GBK" w:cs="方正仿宋_GBK"/>
          <w:kern w:val="0"/>
          <w:sz w:val="30"/>
          <w:szCs w:val="30"/>
          <w:highlight w:val="none"/>
          <w:lang w:val="en-US" w:eastAsia="zh-CN"/>
        </w:rPr>
        <w:t>主要原因是2024年华宁县委</w:t>
      </w:r>
      <w:bookmarkStart w:id="0" w:name="_GoBack"/>
      <w:bookmarkEnd w:id="0"/>
      <w:r>
        <w:rPr>
          <w:rFonts w:hint="eastAsia" w:ascii="Times New Roman" w:hAnsi="Times New Roman" w:eastAsia="方正仿宋_GBK" w:cs="方正仿宋_GBK"/>
          <w:kern w:val="0"/>
          <w:sz w:val="30"/>
          <w:szCs w:val="30"/>
          <w:highlight w:val="none"/>
          <w:lang w:val="en-US" w:eastAsia="zh-CN"/>
        </w:rPr>
        <w:t>政法委拨入普法直播宣传工作经费，2025年无该笔收入。</w:t>
      </w:r>
    </w:p>
    <w:p w14:paraId="287968B3">
      <w:pPr>
        <w:pageBreakBefore w:val="0"/>
        <w:kinsoku/>
        <w:overflowPunct/>
        <w:topLinePunct w:val="0"/>
        <w:bidi w:val="0"/>
        <w:adjustRightInd/>
        <w:spacing w:line="590" w:lineRule="exact"/>
        <w:ind w:firstLine="600" w:firstLineChars="200"/>
        <w:jc w:val="left"/>
        <w:textAlignment w:val="auto"/>
        <w:outlineLvl w:val="1"/>
        <w:rPr>
          <w:rFonts w:hint="eastAsia" w:ascii="Times New Roman" w:hAnsi="Times New Roman" w:eastAsia="黑体"/>
          <w:sz w:val="30"/>
          <w:szCs w:val="30"/>
          <w:highlight w:val="none"/>
        </w:rPr>
      </w:pPr>
      <w:r>
        <w:rPr>
          <w:rFonts w:hint="eastAsia" w:ascii="Times New Roman" w:hAnsi="Times New Roman" w:eastAsia="方正黑体_GBK" w:cs="方正黑体_GBK"/>
          <w:sz w:val="30"/>
          <w:szCs w:val="30"/>
          <w:highlight w:val="none"/>
        </w:rPr>
        <w:t>二、支出决算情况说明</w:t>
      </w:r>
    </w:p>
    <w:p w14:paraId="7AFC23B7">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zh-CN" w:eastAsia="zh-CN"/>
        </w:rPr>
        <w:t>华宁县融媒体中心</w:t>
      </w:r>
      <w:r>
        <w:rPr>
          <w:rFonts w:hint="eastAsia" w:ascii="Times New Roman" w:hAnsi="Times New Roman" w:eastAsia="方正仿宋_GBK" w:cs="方正仿宋_GBK"/>
          <w:kern w:val="0"/>
          <w:sz w:val="30"/>
          <w:szCs w:val="30"/>
          <w:highlight w:val="none"/>
          <w:lang w:val="en-US" w:eastAsia="zh-CN"/>
        </w:rPr>
        <w:t>2025年度</w:t>
      </w:r>
      <w:r>
        <w:rPr>
          <w:rFonts w:hint="eastAsia" w:ascii="Times New Roman" w:hAnsi="Times New Roman" w:eastAsia="方正仿宋_GBK" w:cs="方正仿宋_GBK"/>
          <w:kern w:val="0"/>
          <w:sz w:val="30"/>
          <w:szCs w:val="30"/>
          <w:highlight w:val="none"/>
          <w:lang w:val="zh-CN" w:eastAsia="zh-CN"/>
        </w:rPr>
        <w:t>支出合计6,999,304.91元。其中：基本支出5,664,868.72元，占总支出的80.93％；项目支出1,334,436.19元，占总支出的19.07％；无上缴上级支出；无经营支出；无对附属单位补助支出。</w:t>
      </w:r>
    </w:p>
    <w:p w14:paraId="51B8AE26">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zh-CN" w:eastAsia="zh-CN"/>
        </w:rPr>
        <w:t>与上年相比，支出合计增加1,335,791.49元，增长23.59%。其中：基本支出增加486,370.60元，增长9.39%；项目支出增加849,420.89元，增长175.13%；上缴上级支出上下年度均无此项支出；经营支出上下年度均无此项支出；对附属单位补助支出上下年度均无此项支出。主要原因是</w:t>
      </w:r>
      <w:r>
        <w:rPr>
          <w:rFonts w:hint="eastAsia" w:ascii="Times New Roman" w:hAnsi="Times New Roman" w:eastAsia="方正仿宋_GBK" w:cs="方正仿宋_GBK"/>
          <w:kern w:val="0"/>
          <w:sz w:val="30"/>
          <w:szCs w:val="30"/>
          <w:highlight w:val="none"/>
          <w:lang w:val="en-US" w:eastAsia="zh-CN"/>
        </w:rPr>
        <w:t>2025年工资调标导致基本支出增加和2025年债务化解支付华宁县融媒体中心建设、对外宣传合作等项目导致项目支出增加</w:t>
      </w:r>
      <w:r>
        <w:rPr>
          <w:rFonts w:hint="eastAsia" w:ascii="Times New Roman" w:hAnsi="Times New Roman" w:eastAsia="方正仿宋_GBK" w:cs="方正仿宋_GBK"/>
          <w:kern w:val="0"/>
          <w:sz w:val="30"/>
          <w:szCs w:val="30"/>
          <w:highlight w:val="none"/>
          <w:lang w:val="zh-CN" w:eastAsia="zh-CN"/>
        </w:rPr>
        <w:t>。</w:t>
      </w:r>
    </w:p>
    <w:p w14:paraId="5394E598">
      <w:pPr>
        <w:pageBreakBefore w:val="0"/>
        <w:widowControl/>
        <w:kinsoku/>
        <w:overflowPunct/>
        <w:topLinePunct w:val="0"/>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（一）基本支出情况</w:t>
      </w:r>
    </w:p>
    <w:p w14:paraId="19DEEA23">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2025年度</w:t>
      </w:r>
      <w:r>
        <w:rPr>
          <w:rFonts w:hint="eastAsia" w:ascii="Times New Roman" w:hAnsi="Times New Roman" w:eastAsia="方正仿宋_GBK" w:cs="方正仿宋_GBK"/>
          <w:kern w:val="0"/>
          <w:sz w:val="30"/>
          <w:szCs w:val="30"/>
          <w:highlight w:val="none"/>
          <w:lang w:val="zh-CN" w:eastAsia="zh-CN"/>
        </w:rPr>
        <w:t>用于保障华宁县融媒体中心机关、下属事业单位等机构正常运转的日常支出5,664,868.72元。其中：基本工资、津贴补贴等人员经费支出5,524,526.25元，占基本支出的97.52％；办公费、印刷费、水电费、办公设备购置等公用经费140,342.47元，占基本支出的2.48％。</w:t>
      </w:r>
    </w:p>
    <w:p w14:paraId="06A5DD8C">
      <w:pPr>
        <w:pageBreakBefore w:val="0"/>
        <w:widowControl/>
        <w:kinsoku/>
        <w:overflowPunct/>
        <w:topLinePunct w:val="0"/>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（二）项目支出情况</w:t>
      </w:r>
    </w:p>
    <w:p w14:paraId="3ACEA0FD">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2025年度用于保障</w:t>
      </w:r>
      <w:r>
        <w:rPr>
          <w:rFonts w:hint="eastAsia" w:ascii="Times New Roman" w:hAnsi="Times New Roman" w:eastAsia="方正仿宋_GBK" w:cs="方正仿宋_GBK"/>
          <w:kern w:val="0"/>
          <w:sz w:val="30"/>
          <w:szCs w:val="30"/>
          <w:highlight w:val="none"/>
          <w:lang w:val="zh-CN" w:eastAsia="zh-CN"/>
        </w:rPr>
        <w:t>华宁县融媒体中心</w:t>
      </w:r>
      <w:r>
        <w:rPr>
          <w:rFonts w:hint="eastAsia" w:ascii="Times New Roman" w:hAnsi="Times New Roman" w:eastAsia="方正仿宋_GBK" w:cs="方正仿宋_GBK"/>
          <w:kern w:val="0"/>
          <w:sz w:val="30"/>
          <w:szCs w:val="30"/>
          <w:highlight w:val="none"/>
          <w:lang w:val="en-US" w:eastAsia="zh-CN"/>
        </w:rPr>
        <w:t>机关、下属事业单位等机构为完成特定的行政工作任务或事业发展目标，用于专项业务工作的经费支出</w:t>
      </w:r>
      <w:r>
        <w:rPr>
          <w:rFonts w:hint="eastAsia" w:ascii="Times New Roman" w:hAnsi="Times New Roman" w:eastAsia="方正仿宋_GBK" w:cs="方正仿宋_GBK"/>
          <w:kern w:val="0"/>
          <w:sz w:val="30"/>
          <w:szCs w:val="30"/>
          <w:highlight w:val="none"/>
          <w:lang w:val="zh-CN" w:eastAsia="zh-CN"/>
        </w:rPr>
        <w:t>1</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val="zh-CN" w:eastAsia="zh-CN"/>
        </w:rPr>
        <w:t>334</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val="zh-CN" w:eastAsia="zh-CN"/>
        </w:rPr>
        <w:t>436.19</w:t>
      </w:r>
      <w:r>
        <w:rPr>
          <w:rFonts w:hint="eastAsia" w:ascii="Times New Roman" w:hAnsi="Times New Roman" w:eastAsia="方正仿宋_GBK" w:cs="方正仿宋_GBK"/>
          <w:kern w:val="0"/>
          <w:sz w:val="30"/>
          <w:szCs w:val="30"/>
          <w:highlight w:val="none"/>
          <w:lang w:val="en-US" w:eastAsia="zh-CN"/>
        </w:rPr>
        <w:t>元。其中：基本建设类项目支出</w:t>
      </w:r>
      <w:r>
        <w:rPr>
          <w:rFonts w:hint="eastAsia" w:ascii="Times New Roman" w:hAnsi="Times New Roman" w:eastAsia="方正仿宋_GBK" w:cs="方正仿宋_GBK"/>
          <w:kern w:val="0"/>
          <w:sz w:val="30"/>
          <w:szCs w:val="30"/>
          <w:highlight w:val="none"/>
          <w:lang w:val="zh-CN" w:eastAsia="zh-CN"/>
        </w:rPr>
        <w:t>162</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val="zh-CN" w:eastAsia="zh-CN"/>
        </w:rPr>
        <w:t>400.00</w:t>
      </w:r>
      <w:r>
        <w:rPr>
          <w:rFonts w:hint="eastAsia" w:ascii="Times New Roman" w:hAnsi="Times New Roman" w:eastAsia="方正仿宋_GBK" w:cs="方正仿宋_GBK"/>
          <w:kern w:val="0"/>
          <w:sz w:val="30"/>
          <w:szCs w:val="30"/>
          <w:highlight w:val="none"/>
          <w:lang w:val="en-US" w:eastAsia="zh-CN"/>
        </w:rPr>
        <w:t>元。</w:t>
      </w:r>
    </w:p>
    <w:p w14:paraId="3858064F">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华宁县融媒体中心建设项目经费153,000.00元，主要用于支付华宁县融媒体中心建设项目第一包标工程费用；</w:t>
      </w:r>
    </w:p>
    <w:p w14:paraId="660676EB">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华宁县融媒体中心发射台零星工程项目经费9,400.00元，主要用于支付华宁县融媒体中心发射台零星工程费用；</w:t>
      </w:r>
    </w:p>
    <w:p w14:paraId="66B4A3D4">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华宁县融媒体中心对外宣传合作项目经费957,000.00元，主要用于支付广播影视服务宣传、广告服务宣传费、政府宣传服务费、华宁县专属频道合作费、共建合作服务费、客户端技术开发服务费、华宁专属频道合作费；</w:t>
      </w:r>
    </w:p>
    <w:p w14:paraId="15F73B61">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2025年中央补助地方公共文化服务体系项目经费20,536.19元，主要用于支付发射台水电费用；</w:t>
      </w:r>
    </w:p>
    <w:p w14:paraId="7EAA0376">
      <w:pPr>
        <w:pageBreakBefore w:val="0"/>
        <w:widowControl/>
        <w:kinsoku/>
        <w:overflowPunct/>
        <w:topLinePunct w:val="0"/>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三、一般公共预算财政拨款支出决算情况说明</w:t>
      </w:r>
    </w:p>
    <w:p w14:paraId="1B9B5135">
      <w:pPr>
        <w:pageBreakBefore w:val="0"/>
        <w:widowControl/>
        <w:kinsoku/>
        <w:overflowPunct/>
        <w:topLinePunct w:val="0"/>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eastAsia="zh-CN"/>
        </w:rPr>
      </w:pPr>
      <w:r>
        <w:rPr>
          <w:rFonts w:hint="eastAsia" w:ascii="Times New Roman" w:hAnsi="Times New Roman" w:eastAsia="方正楷体_GBK" w:cs="方正楷体_GBK"/>
          <w:sz w:val="30"/>
          <w:szCs w:val="30"/>
          <w:highlight w:val="none"/>
          <w:lang w:eastAsia="zh-CN"/>
        </w:rPr>
        <w:t>（一）一般公共预算财政拨款支出决算总体情况</w:t>
      </w:r>
    </w:p>
    <w:p w14:paraId="6164A847">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zh-CN" w:eastAsia="zh-CN"/>
        </w:rPr>
        <w:t>华宁县融媒体中心</w:t>
      </w:r>
      <w:r>
        <w:rPr>
          <w:rFonts w:hint="eastAsia" w:ascii="Times New Roman" w:hAnsi="Times New Roman" w:eastAsia="方正仿宋_GBK" w:cs="方正仿宋_GBK"/>
          <w:kern w:val="0"/>
          <w:sz w:val="30"/>
          <w:szCs w:val="30"/>
          <w:highlight w:val="none"/>
          <w:lang w:val="en-US" w:eastAsia="zh-CN"/>
        </w:rPr>
        <w:t>2025年度一般公共预算财政拨款支出</w:t>
      </w:r>
      <w:r>
        <w:rPr>
          <w:rFonts w:hint="eastAsia" w:ascii="Times New Roman" w:hAnsi="Times New Roman" w:eastAsia="方正仿宋_GBK" w:cs="方正仿宋_GBK"/>
          <w:kern w:val="0"/>
          <w:sz w:val="30"/>
          <w:szCs w:val="30"/>
          <w:highlight w:val="none"/>
          <w:lang w:val="zh-CN" w:eastAsia="zh-CN"/>
        </w:rPr>
        <w:t>6,816,904.91</w:t>
      </w:r>
      <w:r>
        <w:rPr>
          <w:rFonts w:hint="eastAsia" w:ascii="Times New Roman" w:hAnsi="Times New Roman" w:eastAsia="方正仿宋_GBK" w:cs="方正仿宋_GBK"/>
          <w:kern w:val="0"/>
          <w:sz w:val="30"/>
          <w:szCs w:val="30"/>
          <w:highlight w:val="none"/>
          <w:lang w:val="en-US" w:eastAsia="zh-CN"/>
        </w:rPr>
        <w:t>元,占本年支出合计的</w:t>
      </w:r>
      <w:r>
        <w:rPr>
          <w:rFonts w:hint="eastAsia" w:ascii="Times New Roman" w:hAnsi="Times New Roman" w:eastAsia="方正仿宋_GBK" w:cs="方正仿宋_GBK"/>
          <w:kern w:val="0"/>
          <w:sz w:val="30"/>
          <w:szCs w:val="30"/>
          <w:highlight w:val="none"/>
          <w:lang w:val="zh-CN" w:eastAsia="zh-CN"/>
        </w:rPr>
        <w:t>97.39</w:t>
      </w:r>
      <w:r>
        <w:rPr>
          <w:rFonts w:hint="eastAsia" w:ascii="Times New Roman" w:hAnsi="Times New Roman" w:eastAsia="方正仿宋_GBK" w:cs="方正仿宋_GBK"/>
          <w:kern w:val="0"/>
          <w:sz w:val="30"/>
          <w:szCs w:val="30"/>
          <w:highlight w:val="none"/>
          <w:lang w:val="en-US" w:eastAsia="zh-CN"/>
        </w:rPr>
        <w:t>%。与上年相比增加</w:t>
      </w:r>
      <w:r>
        <w:rPr>
          <w:rFonts w:hint="eastAsia" w:ascii="Times New Roman" w:hAnsi="Times New Roman" w:eastAsia="方正仿宋_GBK" w:cs="方正仿宋_GBK"/>
          <w:kern w:val="0"/>
          <w:sz w:val="30"/>
          <w:szCs w:val="30"/>
          <w:highlight w:val="none"/>
          <w:lang w:val="zh-CN" w:eastAsia="zh-CN"/>
        </w:rPr>
        <w:t>1,208,406.79</w:t>
      </w:r>
      <w:r>
        <w:rPr>
          <w:rFonts w:hint="eastAsia" w:ascii="Times New Roman" w:hAnsi="Times New Roman" w:eastAsia="方正仿宋_GBK" w:cs="方正仿宋_GBK"/>
          <w:kern w:val="0"/>
          <w:sz w:val="30"/>
          <w:szCs w:val="30"/>
          <w:highlight w:val="none"/>
          <w:lang w:val="en-US" w:eastAsia="zh-CN"/>
        </w:rPr>
        <w:t>元，增长</w:t>
      </w:r>
      <w:r>
        <w:rPr>
          <w:rFonts w:hint="eastAsia" w:ascii="Times New Roman" w:hAnsi="Times New Roman" w:eastAsia="方正仿宋_GBK" w:cs="方正仿宋_GBK"/>
          <w:kern w:val="0"/>
          <w:sz w:val="30"/>
          <w:szCs w:val="30"/>
          <w:highlight w:val="none"/>
          <w:lang w:val="zh-CN" w:eastAsia="zh-CN"/>
        </w:rPr>
        <w:t>21.55</w:t>
      </w:r>
      <w:r>
        <w:rPr>
          <w:rFonts w:hint="eastAsia" w:ascii="Times New Roman" w:hAnsi="Times New Roman" w:eastAsia="方正仿宋_GBK" w:cs="方正仿宋_GBK"/>
          <w:kern w:val="0"/>
          <w:sz w:val="30"/>
          <w:szCs w:val="30"/>
          <w:highlight w:val="none"/>
          <w:lang w:val="en-US" w:eastAsia="zh-CN"/>
        </w:rPr>
        <w:t>%,完成年初预算的</w:t>
      </w:r>
      <w:r>
        <w:rPr>
          <w:rFonts w:hint="eastAsia" w:ascii="Times New Roman" w:hAnsi="Times New Roman" w:eastAsia="方正仿宋_GBK" w:cs="方正仿宋_GBK"/>
          <w:kern w:val="0"/>
          <w:sz w:val="30"/>
          <w:szCs w:val="30"/>
          <w:highlight w:val="none"/>
          <w:lang w:val="zh-CN" w:eastAsia="zh-CN"/>
        </w:rPr>
        <w:t>124.20</w:t>
      </w:r>
      <w:r>
        <w:rPr>
          <w:rFonts w:hint="eastAsia" w:ascii="Times New Roman" w:hAnsi="Times New Roman" w:eastAsia="方正仿宋_GBK" w:cs="方正仿宋_GBK"/>
          <w:kern w:val="0"/>
          <w:sz w:val="30"/>
          <w:szCs w:val="30"/>
          <w:highlight w:val="none"/>
          <w:lang w:val="en-US" w:eastAsia="zh-CN"/>
        </w:rPr>
        <w:t>%。</w:t>
      </w:r>
    </w:p>
    <w:p w14:paraId="01C3B65C">
      <w:pPr>
        <w:pageBreakBefore w:val="0"/>
        <w:widowControl/>
        <w:kinsoku/>
        <w:overflowPunct/>
        <w:topLinePunct w:val="0"/>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
          <w:sz w:val="30"/>
          <w:szCs w:val="30"/>
          <w:highlight w:val="none"/>
        </w:rPr>
      </w:pPr>
      <w:r>
        <w:rPr>
          <w:rFonts w:hint="eastAsia" w:ascii="Times New Roman" w:hAnsi="Times New Roman" w:eastAsia="方正楷体_GBK" w:cs="方正楷体_GBK"/>
          <w:sz w:val="30"/>
          <w:szCs w:val="30"/>
          <w:highlight w:val="none"/>
          <w:lang w:eastAsia="zh-CN"/>
        </w:rPr>
        <w:t>（二）一般公共预算财政拨款支出决算分功能分类科目情况</w:t>
      </w:r>
      <w:r>
        <w:rPr>
          <w:rFonts w:hint="eastAsia" w:ascii="Times New Roman" w:hAnsi="Times New Roman" w:eastAsia="楷体"/>
          <w:sz w:val="30"/>
          <w:szCs w:val="30"/>
          <w:highlight w:val="none"/>
        </w:rPr>
        <w:tab/>
      </w:r>
    </w:p>
    <w:p w14:paraId="7E16F9FD">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zh-CN" w:eastAsia="zh-CN"/>
        </w:rPr>
        <w:t>1.一般公共服务（类）支出5,320,906.45元，占一般公共预算财政拨款总支出的78.05%,完成年初预算的133.61</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val="zh-CN" w:eastAsia="zh-CN"/>
        </w:rPr>
        <w:t>。主要用于</w:t>
      </w:r>
      <w:r>
        <w:rPr>
          <w:rFonts w:hint="eastAsia" w:ascii="Times New Roman" w:hAnsi="Times New Roman" w:eastAsia="方正仿宋_GBK" w:cs="方正仿宋_GBK"/>
          <w:kern w:val="0"/>
          <w:sz w:val="30"/>
          <w:szCs w:val="30"/>
          <w:highlight w:val="none"/>
          <w:lang w:val="en-US" w:eastAsia="zh-CN"/>
        </w:rPr>
        <w:t>宣传管理975,000.00元、事业运行4,345,906.45元，支付工资福利支出、商品和服务支出</w:t>
      </w:r>
      <w:r>
        <w:rPr>
          <w:rFonts w:hint="eastAsia" w:ascii="Times New Roman" w:hAnsi="Times New Roman" w:eastAsia="方正仿宋_GBK" w:cs="方正仿宋_GBK"/>
          <w:kern w:val="0"/>
          <w:sz w:val="30"/>
          <w:szCs w:val="30"/>
          <w:highlight w:val="none"/>
          <w:lang w:val="zh-CN" w:eastAsia="zh-CN"/>
        </w:rPr>
        <w:t>；造成预决算差异的主要原因是</w:t>
      </w:r>
      <w:r>
        <w:rPr>
          <w:rFonts w:hint="eastAsia" w:ascii="Times New Roman" w:hAnsi="Times New Roman" w:eastAsia="方正仿宋_GBK" w:cs="方正仿宋_GBK"/>
          <w:kern w:val="0"/>
          <w:sz w:val="30"/>
          <w:szCs w:val="30"/>
          <w:highlight w:val="none"/>
          <w:lang w:val="en-US" w:eastAsia="zh-CN"/>
        </w:rPr>
        <w:t>2025年债务化解，导致2025年年初无此项预算</w:t>
      </w:r>
      <w:r>
        <w:rPr>
          <w:rFonts w:hint="eastAsia" w:ascii="Times New Roman" w:hAnsi="Times New Roman" w:eastAsia="方正仿宋_GBK" w:cs="方正仿宋_GBK"/>
          <w:kern w:val="0"/>
          <w:sz w:val="30"/>
          <w:szCs w:val="30"/>
          <w:highlight w:val="none"/>
          <w:lang w:val="zh-CN" w:eastAsia="zh-CN"/>
        </w:rPr>
        <w:t>。</w:t>
      </w:r>
    </w:p>
    <w:p w14:paraId="099205E6">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zh-CN" w:eastAsia="zh-CN"/>
        </w:rPr>
        <w:t>2.外交（类）支出0.00元，占一般公共预算财政拨款总支出的0.00%,年初无此项预算。</w:t>
      </w:r>
    </w:p>
    <w:p w14:paraId="44C6B3E6">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zh-CN" w:eastAsia="zh-CN"/>
        </w:rPr>
        <w:t>3.国防（类）支出0.00元，占一般公共预算财政拨款总支出的0.00%,年初无此项预算。</w:t>
      </w:r>
    </w:p>
    <w:p w14:paraId="14A1C87F">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zh-CN" w:eastAsia="zh-CN"/>
        </w:rPr>
        <w:t>4.公共安全（类）支出0.00元，占一般公共预算财政拨款总支出的0.00%,年初无此项预算。</w:t>
      </w:r>
    </w:p>
    <w:p w14:paraId="51690ED3">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5.教育（类）支出0.00元，占一般公共预算财政拨款总支出的0.00%</w:t>
      </w:r>
      <w:r>
        <w:rPr>
          <w:rFonts w:hint="eastAsia" w:ascii="Times New Roman" w:hAnsi="Times New Roman" w:eastAsia="方正仿宋_GBK" w:cs="方正仿宋_GBK"/>
          <w:kern w:val="0"/>
          <w:sz w:val="30"/>
          <w:szCs w:val="30"/>
          <w:highlight w:val="none"/>
          <w:lang w:val="zh-CN" w:eastAsia="zh-CN"/>
        </w:rPr>
        <w:t>,年初无此项预算。</w:t>
      </w:r>
    </w:p>
    <w:p w14:paraId="6DFAF5D1">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6.科学技术（类）支出0.00元，占一般公共预算财政拨款总支出的0.00%</w:t>
      </w:r>
      <w:r>
        <w:rPr>
          <w:rFonts w:hint="eastAsia" w:ascii="Times New Roman" w:hAnsi="Times New Roman" w:eastAsia="方正仿宋_GBK" w:cs="方正仿宋_GBK"/>
          <w:kern w:val="0"/>
          <w:sz w:val="30"/>
          <w:szCs w:val="30"/>
          <w:highlight w:val="none"/>
          <w:lang w:val="zh-CN" w:eastAsia="zh-CN"/>
        </w:rPr>
        <w:t>,年初无此项预算。</w:t>
      </w:r>
    </w:p>
    <w:p w14:paraId="1C2FCA01">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7.文化旅游体育与传媒（类）支出27,036.19元，占一般公共预算财政拨款总支出的0.40%</w:t>
      </w:r>
      <w:r>
        <w:rPr>
          <w:rFonts w:hint="eastAsia" w:ascii="Times New Roman" w:hAnsi="Times New Roman" w:eastAsia="方正仿宋_GBK" w:cs="方正仿宋_GBK"/>
          <w:kern w:val="0"/>
          <w:sz w:val="30"/>
          <w:szCs w:val="30"/>
          <w:highlight w:val="none"/>
          <w:lang w:val="zh-CN" w:eastAsia="zh-CN"/>
        </w:rPr>
        <w:t>,年初无此项预算。主要用于支付发射台日常水电费；造成预决算差异的主要原因是该笔资金为上级补助资金。</w:t>
      </w:r>
    </w:p>
    <w:p w14:paraId="02271C29">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8.社会保障和就业（类）支出631,067.11元，占一般公共预算财政拨款总支出的9.26%</w:t>
      </w:r>
      <w:r>
        <w:rPr>
          <w:rFonts w:hint="eastAsia" w:ascii="Times New Roman" w:hAnsi="Times New Roman" w:eastAsia="方正仿宋_GBK" w:cs="方正仿宋_GBK"/>
          <w:kern w:val="0"/>
          <w:sz w:val="30"/>
          <w:szCs w:val="30"/>
          <w:highlight w:val="none"/>
          <w:lang w:val="zh-CN" w:eastAsia="zh-CN"/>
        </w:rPr>
        <w:t>,完成年初预算的105.62</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val="zh-CN" w:eastAsia="zh-CN"/>
        </w:rPr>
        <w:t>。主要用于支付</w:t>
      </w:r>
      <w:r>
        <w:rPr>
          <w:rFonts w:hint="eastAsia" w:ascii="Times New Roman" w:hAnsi="Times New Roman" w:eastAsia="方正仿宋_GBK" w:cs="方正仿宋_GBK"/>
          <w:kern w:val="0"/>
          <w:sz w:val="30"/>
          <w:szCs w:val="30"/>
          <w:highlight w:val="none"/>
          <w:lang w:val="en-US" w:eastAsia="zh-CN"/>
        </w:rPr>
        <w:t>职工单位基本养老保险缴费</w:t>
      </w:r>
      <w:r>
        <w:rPr>
          <w:rFonts w:hint="eastAsia" w:ascii="Times New Roman" w:hAnsi="Times New Roman" w:eastAsia="方正仿宋_GBK" w:cs="方正仿宋_GBK"/>
          <w:kern w:val="0"/>
          <w:sz w:val="30"/>
          <w:szCs w:val="30"/>
          <w:highlight w:val="none"/>
          <w:lang w:val="zh-CN" w:eastAsia="zh-CN"/>
        </w:rPr>
        <w:t>；造成预决算差异的主要原因是财政困难，无法保障正常支付。</w:t>
      </w:r>
    </w:p>
    <w:p w14:paraId="03B8AA5D">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9.卫生健康（类）支出</w:t>
      </w:r>
      <w:r>
        <w:rPr>
          <w:rFonts w:hint="eastAsia" w:ascii="Times New Roman" w:hAnsi="Times New Roman" w:eastAsia="方正仿宋_GBK" w:cs="方正仿宋_GBK"/>
          <w:kern w:val="0"/>
          <w:sz w:val="30"/>
          <w:szCs w:val="30"/>
          <w:highlight w:val="none"/>
          <w:lang w:val="zh-CN" w:eastAsia="zh-CN"/>
        </w:rPr>
        <w:t>464,191.16元，占一般公共预算财政拨款总支出的6.81%,完成年初预算的100.66</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val="zh-CN" w:eastAsia="zh-CN"/>
        </w:rPr>
        <w:t>。主要用于</w:t>
      </w:r>
      <w:r>
        <w:rPr>
          <w:rFonts w:hint="eastAsia" w:ascii="Times New Roman" w:hAnsi="Times New Roman" w:eastAsia="方正仿宋_GBK" w:cs="方正仿宋_GBK"/>
          <w:kern w:val="0"/>
          <w:sz w:val="30"/>
          <w:szCs w:val="30"/>
          <w:highlight w:val="none"/>
          <w:lang w:val="en-US" w:eastAsia="zh-CN"/>
        </w:rPr>
        <w:t>事业单位医疗支出293,148.90元、公务员医疗补助支出149,732.26元、其他行政事业单位医疗支出21,310.00元</w:t>
      </w:r>
      <w:r>
        <w:rPr>
          <w:rFonts w:hint="eastAsia" w:ascii="Times New Roman" w:hAnsi="Times New Roman" w:eastAsia="方正仿宋_GBK" w:cs="方正仿宋_GBK"/>
          <w:kern w:val="0"/>
          <w:sz w:val="30"/>
          <w:szCs w:val="30"/>
          <w:highlight w:val="none"/>
          <w:lang w:val="zh-CN" w:eastAsia="zh-CN"/>
        </w:rPr>
        <w:t>；造成预决算差异的主要原因是财政困难，无法保障正常支付。</w:t>
      </w:r>
    </w:p>
    <w:p w14:paraId="16F31F53">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10.节能环保（类）支出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728A57B5">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11.城乡社区（类）支出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55F698C1">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12.农林水（类）支出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2FB5D085">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13.交通运输（类）支出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6DFF9D1E">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14.资源勘探工业信息等（类）支出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7859A383">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15.商业服务业等（类）支出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14AE272C">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16.金融（类）支出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5661EB9C">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17.援助其他地区（类）支出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61E16C7C">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18.自然资源海洋气象等（类）支出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3D2AAFD6">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19.住房保障（类）支出</w:t>
      </w:r>
      <w:r>
        <w:rPr>
          <w:rFonts w:hint="eastAsia" w:ascii="Times New Roman" w:hAnsi="Times New Roman" w:eastAsia="方正仿宋_GBK" w:cs="方正仿宋_GBK"/>
          <w:kern w:val="0"/>
          <w:sz w:val="30"/>
          <w:szCs w:val="30"/>
          <w:highlight w:val="none"/>
          <w:lang w:val="zh-CN" w:eastAsia="zh-CN"/>
        </w:rPr>
        <w:t>373,704.00元，占一般公共预算财政拨款总支出的5.48%,完成年初预算的83.51</w:t>
      </w:r>
      <w:r>
        <w:rPr>
          <w:rFonts w:hint="eastAsia"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val="zh-CN" w:eastAsia="zh-CN"/>
        </w:rPr>
        <w:t>。主要用于支付职工住房保障；造成预决算差异的主要原因是财政困难，无法保障正常支付。</w:t>
      </w:r>
    </w:p>
    <w:p w14:paraId="5CC407B5">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20.粮油物资储备（类）支出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6BD0B98C">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21.国有资本经营预算（类）支出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1941036F">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22.灾害防治及应急管理（类）支出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2E5E62C2">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23.其他（类）支出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0258D38B">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24.债务还本（类）支出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42CA54B5">
      <w:pPr>
        <w:pageBreakBefore w:val="0"/>
        <w:kinsoku/>
        <w:overflowPunct/>
        <w:topLinePunct w:val="0"/>
        <w:bidi w:val="0"/>
        <w:adjustRightInd/>
        <w:spacing w:line="590" w:lineRule="exact"/>
        <w:ind w:firstLine="600" w:firstLineChars="200"/>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en-US" w:eastAsia="zh-CN"/>
        </w:rPr>
        <w:t>25.债务付息（类）支出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1ABB6A61">
      <w:pPr>
        <w:pageBreakBefore w:val="0"/>
        <w:kinsoku/>
        <w:overflowPunct/>
        <w:topLinePunct w:val="0"/>
        <w:bidi w:val="0"/>
        <w:adjustRightInd/>
        <w:spacing w:line="590" w:lineRule="exact"/>
        <w:ind w:firstLine="600" w:firstLineChars="200"/>
        <w:textAlignment w:val="auto"/>
        <w:rPr>
          <w:rFonts w:hint="eastAsia" w:ascii="Times New Roman" w:hAnsi="Times New Roman" w:eastAsia="仿宋_GB2312" w:cs="Arial"/>
          <w:kern w:val="0"/>
          <w:sz w:val="30"/>
          <w:szCs w:val="30"/>
          <w:highlight w:val="none"/>
        </w:rPr>
      </w:pPr>
      <w:r>
        <w:rPr>
          <w:rFonts w:hint="eastAsia" w:ascii="Times New Roman" w:hAnsi="Times New Roman" w:eastAsia="方正仿宋_GBK" w:cs="方正仿宋_GBK"/>
          <w:kern w:val="0"/>
          <w:sz w:val="30"/>
          <w:szCs w:val="30"/>
          <w:highlight w:val="none"/>
          <w:lang w:val="en-US" w:eastAsia="zh-CN"/>
        </w:rPr>
        <w:t>26.抗疫特别国债安排（类）支出</w:t>
      </w:r>
      <w:r>
        <w:rPr>
          <w:rFonts w:hint="eastAsia" w:ascii="Times New Roman" w:hAnsi="Times New Roman" w:eastAsia="方正仿宋_GBK" w:cs="方正仿宋_GBK"/>
          <w:kern w:val="0"/>
          <w:sz w:val="30"/>
          <w:szCs w:val="30"/>
          <w:highlight w:val="none"/>
          <w:lang w:val="zh-CN" w:eastAsia="zh-CN"/>
        </w:rPr>
        <w:t>0.00元，占一般公共预算财政拨款总支出的0.00%,年初无此项预算。</w:t>
      </w:r>
    </w:p>
    <w:p w14:paraId="4E311A46">
      <w:pPr>
        <w:pageBreakBefore w:val="0"/>
        <w:widowControl/>
        <w:numPr>
          <w:numId w:val="0"/>
        </w:numPr>
        <w:kinsoku/>
        <w:overflowPunct/>
        <w:topLinePunct w:val="0"/>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lang w:eastAsia="zh-CN"/>
        </w:rPr>
        <w:t>四、</w:t>
      </w:r>
      <w:r>
        <w:rPr>
          <w:rFonts w:hint="eastAsia" w:ascii="Times New Roman" w:hAnsi="Times New Roman" w:eastAsia="方正黑体_GBK" w:cs="方正黑体_GBK"/>
          <w:sz w:val="30"/>
          <w:szCs w:val="30"/>
          <w:highlight w:val="none"/>
        </w:rPr>
        <w:t>财政拨款“三公”经费支出决算情况说明</w:t>
      </w:r>
    </w:p>
    <w:p w14:paraId="1DC467B7">
      <w:pPr>
        <w:pageBreakBefore w:val="0"/>
        <w:widowControl/>
        <w:kinsoku/>
        <w:overflowPunct/>
        <w:topLinePunct w:val="0"/>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（一）总体情况</w:t>
      </w:r>
    </w:p>
    <w:p w14:paraId="1571A85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仿宋_GB2312" w:cs="仿宋_GB2312"/>
          <w:color w:val="auto"/>
          <w:sz w:val="30"/>
          <w:szCs w:val="30"/>
          <w:lang w:eastAsia="zh-CN"/>
        </w:rPr>
      </w:pPr>
      <w:r>
        <w:rPr>
          <w:rFonts w:hint="eastAsia" w:ascii="Times New Roman" w:hAnsi="Times New Roman" w:eastAsia="方正仿宋_GBK" w:cs="方正仿宋_GBK"/>
          <w:kern w:val="0"/>
          <w:sz w:val="30"/>
          <w:szCs w:val="30"/>
          <w:highlight w:val="none"/>
          <w:lang w:val="en-US" w:eastAsia="zh-CN"/>
        </w:rPr>
        <w:t>2025年度</w:t>
      </w:r>
      <w:r>
        <w:rPr>
          <w:rFonts w:hint="eastAsia" w:ascii="Times New Roman" w:hAnsi="Times New Roman" w:eastAsia="方正仿宋_GBK" w:cs="方正仿宋_GBK"/>
          <w:kern w:val="0"/>
          <w:sz w:val="30"/>
          <w:szCs w:val="30"/>
          <w:highlight w:val="none"/>
          <w:lang w:val="zh-CN" w:eastAsia="zh-CN"/>
        </w:rPr>
        <w:t>财政拨款“三公”经费支出决算中，财政拨款“三公”经费支出年初预算为</w:t>
      </w:r>
      <w:r>
        <w:rPr>
          <w:rFonts w:hint="eastAsia" w:ascii="Times New Roman" w:hAnsi="Times New Roman" w:eastAsia="方正仿宋_GBK" w:cs="方正仿宋_GBK"/>
          <w:kern w:val="0"/>
          <w:sz w:val="30"/>
          <w:szCs w:val="30"/>
          <w:highlight w:val="none"/>
          <w:lang w:val="en-US" w:eastAsia="zh-CN"/>
        </w:rPr>
        <w:t>20,400.00</w:t>
      </w:r>
      <w:r>
        <w:rPr>
          <w:rFonts w:hint="eastAsia" w:ascii="Times New Roman" w:hAnsi="Times New Roman" w:eastAsia="方正仿宋_GBK" w:cs="方正仿宋_GBK"/>
          <w:kern w:val="0"/>
          <w:sz w:val="30"/>
          <w:szCs w:val="30"/>
          <w:highlight w:val="none"/>
          <w:lang w:val="zh-CN" w:eastAsia="zh-CN"/>
        </w:rPr>
        <w:t>元，决算为445.00元，完成年初预算的2.18%；支出决算较上年增加445.00</w:t>
      </w:r>
      <w:r>
        <w:rPr>
          <w:rFonts w:hint="eastAsia" w:ascii="Times New Roman" w:hAnsi="Times New Roman" w:eastAsia="方正仿宋_GBK" w:cs="方正仿宋_GBK"/>
          <w:kern w:val="0"/>
          <w:sz w:val="30"/>
          <w:szCs w:val="30"/>
          <w:highlight w:val="none"/>
          <w:lang w:val="en-US" w:eastAsia="zh-CN"/>
        </w:rPr>
        <w:t>元，上年无此项支出</w:t>
      </w:r>
      <w:r>
        <w:rPr>
          <w:rFonts w:hint="eastAsia" w:ascii="Times New Roman" w:hAnsi="Times New Roman" w:eastAsia="方正仿宋_GBK" w:cs="方正仿宋_GBK"/>
          <w:kern w:val="0"/>
          <w:sz w:val="30"/>
          <w:szCs w:val="30"/>
          <w:highlight w:val="none"/>
          <w:lang w:val="zh-CN" w:eastAsia="zh-CN"/>
        </w:rPr>
        <w:t>。</w:t>
      </w:r>
    </w:p>
    <w:p w14:paraId="55F7802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因公出国（境）费用支出年初预算为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元，决算为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元，占财政拨款“三公”经费总支出决算的</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%；公务用车购置费支出年初预算为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元，决算为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元，占财政拨款“三公”经费总支出决算的</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%；公务用车运行维护费支出年初预算为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元，决算为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元，占财政拨款“三公”经费总支出决算的</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%；公务接待费支出年初预算为</w:t>
      </w:r>
      <w:r>
        <w:rPr>
          <w:rFonts w:hint="eastAsia" w:ascii="Times New Roman" w:hAnsi="Times New Roman" w:eastAsia="方正仿宋_GBK" w:cs="方正仿宋_GBK"/>
          <w:kern w:val="0"/>
          <w:sz w:val="30"/>
          <w:szCs w:val="30"/>
          <w:highlight w:val="none"/>
          <w:lang w:val="zh-CN" w:eastAsia="zh-CN"/>
        </w:rPr>
        <w:t>20,400.00</w:t>
      </w:r>
      <w:r>
        <w:rPr>
          <w:rFonts w:hint="eastAsia" w:ascii="Times New Roman" w:hAnsi="Times New Roman" w:eastAsia="方正仿宋_GBK" w:cs="方正仿宋_GBK"/>
          <w:kern w:val="0"/>
          <w:sz w:val="30"/>
          <w:szCs w:val="30"/>
          <w:highlight w:val="none"/>
          <w:lang w:val="en-US" w:eastAsia="zh-CN"/>
        </w:rPr>
        <w:t>元，决算为</w:t>
      </w:r>
      <w:r>
        <w:rPr>
          <w:rFonts w:hint="eastAsia" w:ascii="Times New Roman" w:hAnsi="Times New Roman" w:eastAsia="方正仿宋_GBK" w:cs="方正仿宋_GBK"/>
          <w:kern w:val="0"/>
          <w:sz w:val="30"/>
          <w:szCs w:val="30"/>
          <w:highlight w:val="none"/>
          <w:lang w:val="zh-CN" w:eastAsia="zh-CN"/>
        </w:rPr>
        <w:t>445.00</w:t>
      </w:r>
      <w:r>
        <w:rPr>
          <w:rFonts w:hint="eastAsia" w:ascii="Times New Roman" w:hAnsi="Times New Roman" w:eastAsia="方正仿宋_GBK" w:cs="方正仿宋_GBK"/>
          <w:kern w:val="0"/>
          <w:sz w:val="30"/>
          <w:szCs w:val="30"/>
          <w:highlight w:val="none"/>
          <w:lang w:val="en-US" w:eastAsia="zh-CN"/>
        </w:rPr>
        <w:t>元，占财政拨款“三公”经费总支出决算的</w:t>
      </w:r>
      <w:r>
        <w:rPr>
          <w:rFonts w:hint="eastAsia" w:ascii="Times New Roman" w:hAnsi="Times New Roman" w:eastAsia="方正仿宋_GBK" w:cs="方正仿宋_GBK"/>
          <w:kern w:val="0"/>
          <w:sz w:val="30"/>
          <w:szCs w:val="30"/>
          <w:highlight w:val="none"/>
          <w:lang w:val="zh-CN" w:eastAsia="zh-CN"/>
        </w:rPr>
        <w:t>100.00</w:t>
      </w:r>
      <w:r>
        <w:rPr>
          <w:rFonts w:hint="eastAsia" w:ascii="Times New Roman" w:hAnsi="Times New Roman" w:eastAsia="方正仿宋_GBK" w:cs="方正仿宋_GBK"/>
          <w:kern w:val="0"/>
          <w:sz w:val="30"/>
          <w:szCs w:val="30"/>
          <w:highlight w:val="none"/>
          <w:lang w:val="en-US" w:eastAsia="zh-CN"/>
        </w:rPr>
        <w:t>%，完成年初预算的</w:t>
      </w:r>
      <w:r>
        <w:rPr>
          <w:rFonts w:hint="eastAsia" w:ascii="Times New Roman" w:hAnsi="Times New Roman" w:eastAsia="方正仿宋_GBK" w:cs="方正仿宋_GBK"/>
          <w:kern w:val="0"/>
          <w:sz w:val="30"/>
          <w:szCs w:val="30"/>
          <w:highlight w:val="none"/>
          <w:lang w:val="zh-CN" w:eastAsia="zh-CN"/>
        </w:rPr>
        <w:t>2.18</w:t>
      </w:r>
      <w:r>
        <w:rPr>
          <w:rFonts w:hint="eastAsia" w:ascii="Times New Roman" w:hAnsi="Times New Roman" w:eastAsia="方正仿宋_GBK" w:cs="方正仿宋_GBK"/>
          <w:kern w:val="0"/>
          <w:sz w:val="30"/>
          <w:szCs w:val="30"/>
          <w:highlight w:val="none"/>
          <w:lang w:val="en-US" w:eastAsia="zh-CN"/>
        </w:rPr>
        <w:t>%。</w:t>
      </w:r>
    </w:p>
    <w:p w14:paraId="4620A9A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因公出国（境）费用支出决算较上年增加</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元，上年无此项支出；公务用车购置费支出决算较上年增加</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元，上年无此项支出；公务用车运行维护费支出决算较上年增加</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元，上年无此项支出；公务接待费支出决算较上年增加</w:t>
      </w:r>
      <w:r>
        <w:rPr>
          <w:rFonts w:hint="eastAsia" w:ascii="Times New Roman" w:hAnsi="Times New Roman" w:eastAsia="方正仿宋_GBK" w:cs="方正仿宋_GBK"/>
          <w:kern w:val="0"/>
          <w:sz w:val="30"/>
          <w:szCs w:val="30"/>
          <w:highlight w:val="none"/>
          <w:lang w:val="zh-CN" w:eastAsia="zh-CN"/>
        </w:rPr>
        <w:t>445.00</w:t>
      </w:r>
      <w:r>
        <w:rPr>
          <w:rFonts w:hint="eastAsia" w:ascii="Times New Roman" w:hAnsi="Times New Roman" w:eastAsia="方正仿宋_GBK" w:cs="方正仿宋_GBK"/>
          <w:kern w:val="0"/>
          <w:sz w:val="30"/>
          <w:szCs w:val="30"/>
          <w:highlight w:val="none"/>
          <w:lang w:val="en-US" w:eastAsia="zh-CN"/>
        </w:rPr>
        <w:t>元，上年无此项支出；具体是国内接待费支出决算</w:t>
      </w:r>
      <w:r>
        <w:rPr>
          <w:rFonts w:hint="eastAsia" w:ascii="Times New Roman" w:hAnsi="Times New Roman" w:eastAsia="方正仿宋_GBK" w:cs="方正仿宋_GBK"/>
          <w:kern w:val="0"/>
          <w:sz w:val="30"/>
          <w:szCs w:val="30"/>
          <w:highlight w:val="none"/>
          <w:lang w:val="zh-CN" w:eastAsia="zh-CN"/>
        </w:rPr>
        <w:t>445.00</w:t>
      </w:r>
      <w:r>
        <w:rPr>
          <w:rFonts w:hint="eastAsia" w:ascii="Times New Roman" w:hAnsi="Times New Roman" w:eastAsia="方正仿宋_GBK" w:cs="方正仿宋_GBK"/>
          <w:kern w:val="0"/>
          <w:sz w:val="30"/>
          <w:szCs w:val="30"/>
          <w:highlight w:val="none"/>
          <w:lang w:val="en-US" w:eastAsia="zh-CN"/>
        </w:rPr>
        <w:t>元（其中：外事接待费支出决算</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元），较上年增加</w:t>
      </w:r>
      <w:r>
        <w:rPr>
          <w:rFonts w:hint="eastAsia" w:ascii="Times New Roman" w:hAnsi="Times New Roman" w:eastAsia="方正仿宋_GBK" w:cs="方正仿宋_GBK"/>
          <w:kern w:val="0"/>
          <w:sz w:val="30"/>
          <w:szCs w:val="30"/>
          <w:highlight w:val="none"/>
          <w:lang w:val="zh-CN" w:eastAsia="zh-CN"/>
        </w:rPr>
        <w:t>445.00</w:t>
      </w:r>
      <w:r>
        <w:rPr>
          <w:rFonts w:hint="eastAsia" w:ascii="Times New Roman" w:hAnsi="Times New Roman" w:eastAsia="方正仿宋_GBK" w:cs="方正仿宋_GBK"/>
          <w:kern w:val="0"/>
          <w:sz w:val="30"/>
          <w:szCs w:val="30"/>
          <w:highlight w:val="none"/>
          <w:lang w:val="en-US" w:eastAsia="zh-CN"/>
        </w:rPr>
        <w:t>元，上年无此项支出；国（境）外接待费支出决算</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元，较上年增加减</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元，上年无此项支出。</w:t>
      </w:r>
    </w:p>
    <w:p w14:paraId="1C86337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_GB2312" w:cs="楷体_GB2312"/>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（二）一般公共预算财政拨款“三公”经费支出决算情况说明</w:t>
      </w:r>
    </w:p>
    <w:p w14:paraId="7FF6AD1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2025年度一般公共预算财政拨款“三公”经费支出年初预算为</w:t>
      </w:r>
      <w:r>
        <w:rPr>
          <w:rFonts w:hint="eastAsia" w:ascii="Times New Roman" w:hAnsi="Times New Roman" w:eastAsia="方正仿宋_GBK" w:cs="方正仿宋_GBK"/>
          <w:kern w:val="0"/>
          <w:sz w:val="30"/>
          <w:szCs w:val="30"/>
          <w:highlight w:val="none"/>
          <w:lang w:val="zh-CN" w:eastAsia="zh-CN"/>
        </w:rPr>
        <w:t>20,400.00</w:t>
      </w:r>
      <w:r>
        <w:rPr>
          <w:rFonts w:hint="eastAsia" w:ascii="Times New Roman" w:hAnsi="Times New Roman" w:eastAsia="方正仿宋_GBK" w:cs="方正仿宋_GBK"/>
          <w:kern w:val="0"/>
          <w:sz w:val="30"/>
          <w:szCs w:val="30"/>
          <w:highlight w:val="none"/>
          <w:lang w:val="en-US" w:eastAsia="zh-CN"/>
        </w:rPr>
        <w:t>元，支出决算为</w:t>
      </w:r>
      <w:r>
        <w:rPr>
          <w:rFonts w:hint="eastAsia" w:ascii="Times New Roman" w:hAnsi="Times New Roman" w:eastAsia="方正仿宋_GBK" w:cs="方正仿宋_GBK"/>
          <w:kern w:val="0"/>
          <w:sz w:val="30"/>
          <w:szCs w:val="30"/>
          <w:highlight w:val="none"/>
          <w:lang w:val="zh-CN" w:eastAsia="zh-CN"/>
        </w:rPr>
        <w:t>445.00</w:t>
      </w:r>
      <w:r>
        <w:rPr>
          <w:rFonts w:hint="eastAsia" w:ascii="Times New Roman" w:hAnsi="Times New Roman" w:eastAsia="方正仿宋_GBK" w:cs="方正仿宋_GBK"/>
          <w:kern w:val="0"/>
          <w:sz w:val="30"/>
          <w:szCs w:val="30"/>
          <w:highlight w:val="none"/>
          <w:lang w:val="en-US" w:eastAsia="zh-CN"/>
        </w:rPr>
        <w:t>元，完成年初预算的</w:t>
      </w:r>
      <w:r>
        <w:rPr>
          <w:rFonts w:hint="eastAsia" w:ascii="Times New Roman" w:hAnsi="Times New Roman" w:eastAsia="方正仿宋_GBK" w:cs="方正仿宋_GBK"/>
          <w:kern w:val="0"/>
          <w:sz w:val="30"/>
          <w:szCs w:val="30"/>
          <w:highlight w:val="none"/>
          <w:lang w:val="zh-CN" w:eastAsia="zh-CN"/>
        </w:rPr>
        <w:t>2.18</w:t>
      </w:r>
      <w:r>
        <w:rPr>
          <w:rFonts w:hint="eastAsia" w:ascii="Times New Roman" w:hAnsi="Times New Roman" w:eastAsia="方正仿宋_GBK" w:cs="方正仿宋_GBK"/>
          <w:kern w:val="0"/>
          <w:sz w:val="30"/>
          <w:szCs w:val="30"/>
          <w:highlight w:val="none"/>
          <w:lang w:val="en-US" w:eastAsia="zh-CN"/>
        </w:rPr>
        <w:t>%，支出决算较上年增加</w:t>
      </w:r>
      <w:r>
        <w:rPr>
          <w:rFonts w:hint="eastAsia" w:ascii="Times New Roman" w:hAnsi="Times New Roman" w:eastAsia="方正仿宋_GBK" w:cs="方正仿宋_GBK"/>
          <w:kern w:val="0"/>
          <w:sz w:val="30"/>
          <w:szCs w:val="30"/>
          <w:highlight w:val="none"/>
          <w:lang w:val="zh-CN" w:eastAsia="zh-CN"/>
        </w:rPr>
        <w:t>445.00</w:t>
      </w:r>
      <w:r>
        <w:rPr>
          <w:rFonts w:hint="eastAsia" w:ascii="Times New Roman" w:hAnsi="Times New Roman" w:eastAsia="方正仿宋_GBK" w:cs="方正仿宋_GBK"/>
          <w:kern w:val="0"/>
          <w:sz w:val="30"/>
          <w:szCs w:val="30"/>
          <w:highlight w:val="none"/>
          <w:lang w:val="en-US" w:eastAsia="zh-CN"/>
        </w:rPr>
        <w:t>元，上年无此项支出。</w:t>
      </w:r>
    </w:p>
    <w:p w14:paraId="76EE298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一般公共预算财政拨款“三公”经费支出中：因公出国（境）费用支出年初预算为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元，决算为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元；公务用车购置费支出年初预算为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元，决算为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元；公务用车运行维护费支出年初预算为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元，决算为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元；公务接待费支出年初预算为</w:t>
      </w:r>
      <w:r>
        <w:rPr>
          <w:rFonts w:hint="eastAsia" w:ascii="Times New Roman" w:hAnsi="Times New Roman" w:eastAsia="方正仿宋_GBK" w:cs="方正仿宋_GBK"/>
          <w:kern w:val="0"/>
          <w:sz w:val="30"/>
          <w:szCs w:val="30"/>
          <w:highlight w:val="none"/>
          <w:lang w:val="zh-CN" w:eastAsia="zh-CN"/>
        </w:rPr>
        <w:t>20,400.00</w:t>
      </w:r>
      <w:r>
        <w:rPr>
          <w:rFonts w:hint="eastAsia" w:ascii="Times New Roman" w:hAnsi="Times New Roman" w:eastAsia="方正仿宋_GBK" w:cs="方正仿宋_GBK"/>
          <w:kern w:val="0"/>
          <w:sz w:val="30"/>
          <w:szCs w:val="30"/>
          <w:highlight w:val="none"/>
          <w:lang w:val="en-US" w:eastAsia="zh-CN"/>
        </w:rPr>
        <w:t>元，决算为</w:t>
      </w:r>
      <w:r>
        <w:rPr>
          <w:rFonts w:hint="eastAsia" w:ascii="Times New Roman" w:hAnsi="Times New Roman" w:eastAsia="方正仿宋_GBK" w:cs="方正仿宋_GBK"/>
          <w:kern w:val="0"/>
          <w:sz w:val="30"/>
          <w:szCs w:val="30"/>
          <w:highlight w:val="none"/>
          <w:lang w:val="zh-CN" w:eastAsia="zh-CN"/>
        </w:rPr>
        <w:t>445.00</w:t>
      </w:r>
      <w:r>
        <w:rPr>
          <w:rFonts w:hint="eastAsia" w:ascii="Times New Roman" w:hAnsi="Times New Roman" w:eastAsia="方正仿宋_GBK" w:cs="方正仿宋_GBK"/>
          <w:kern w:val="0"/>
          <w:sz w:val="30"/>
          <w:szCs w:val="30"/>
          <w:highlight w:val="none"/>
          <w:lang w:val="en-US" w:eastAsia="zh-CN"/>
        </w:rPr>
        <w:t>元，完成年初预算的</w:t>
      </w:r>
      <w:r>
        <w:rPr>
          <w:rFonts w:hint="eastAsia" w:ascii="Times New Roman" w:hAnsi="Times New Roman" w:eastAsia="方正仿宋_GBK" w:cs="方正仿宋_GBK"/>
          <w:kern w:val="0"/>
          <w:sz w:val="30"/>
          <w:szCs w:val="30"/>
          <w:highlight w:val="none"/>
          <w:lang w:val="zh-CN" w:eastAsia="zh-CN"/>
        </w:rPr>
        <w:t>2.18</w:t>
      </w:r>
      <w:r>
        <w:rPr>
          <w:rFonts w:hint="eastAsia" w:ascii="Times New Roman" w:hAnsi="Times New Roman" w:eastAsia="方正仿宋_GBK" w:cs="方正仿宋_GBK"/>
          <w:kern w:val="0"/>
          <w:sz w:val="30"/>
          <w:szCs w:val="30"/>
          <w:highlight w:val="none"/>
          <w:lang w:val="en-US" w:eastAsia="zh-CN"/>
        </w:rPr>
        <w:t>%。2025年度一般公共预算财政拨款“三公”经费支出决算数大于年初预算数的主要原因是本单位厉行节约，加强三公经费的管理，上年年无接待费用支出，导致2025年公务接待费增加。</w:t>
      </w:r>
    </w:p>
    <w:p w14:paraId="5BB60B3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一般公共预算财政拨款“三公”经费支出中：因公出国（境）费用支出决算增加</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元，上年无此项支出；公务用车购置费支出决算增加</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元，上年无此项支出；公务用车运行维护费支出决算增加</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元，上年无此项支出；公务接待费支出决算增加</w:t>
      </w:r>
      <w:r>
        <w:rPr>
          <w:rFonts w:hint="eastAsia" w:ascii="Times New Roman" w:hAnsi="Times New Roman" w:eastAsia="方正仿宋_GBK" w:cs="方正仿宋_GBK"/>
          <w:kern w:val="0"/>
          <w:sz w:val="30"/>
          <w:szCs w:val="30"/>
          <w:highlight w:val="none"/>
          <w:lang w:val="zh-CN" w:eastAsia="zh-CN"/>
        </w:rPr>
        <w:t>445.00</w:t>
      </w:r>
      <w:r>
        <w:rPr>
          <w:rFonts w:hint="eastAsia" w:ascii="Times New Roman" w:hAnsi="Times New Roman" w:eastAsia="方正仿宋_GBK" w:cs="方正仿宋_GBK"/>
          <w:kern w:val="0"/>
          <w:sz w:val="30"/>
          <w:szCs w:val="30"/>
          <w:highlight w:val="none"/>
          <w:lang w:val="en-US" w:eastAsia="zh-CN"/>
        </w:rPr>
        <w:t>元，上年无此项支出</w:t>
      </w:r>
      <w:r>
        <w:rPr>
          <w:rFonts w:hint="default" w:ascii="Times New Roman" w:hAnsi="Times New Roman" w:eastAsia="方正仿宋_GBK" w:cs="方正仿宋_GBK"/>
          <w:kern w:val="0"/>
          <w:sz w:val="30"/>
          <w:szCs w:val="30"/>
          <w:highlight w:val="none"/>
          <w:lang w:val="en-US" w:eastAsia="zh-CN"/>
        </w:rPr>
        <w:t>,</w:t>
      </w:r>
      <w:r>
        <w:rPr>
          <w:rFonts w:hint="eastAsia" w:ascii="Times New Roman" w:hAnsi="Times New Roman" w:eastAsia="方正仿宋_GBK" w:cs="方正仿宋_GBK"/>
          <w:kern w:val="0"/>
          <w:sz w:val="30"/>
          <w:szCs w:val="30"/>
          <w:highlight w:val="none"/>
          <w:lang w:val="en-US" w:eastAsia="zh-CN"/>
        </w:rPr>
        <w:t>具体是国内接待费支出决算</w:t>
      </w:r>
      <w:r>
        <w:rPr>
          <w:rFonts w:hint="eastAsia" w:ascii="Times New Roman" w:hAnsi="Times New Roman" w:eastAsia="方正仿宋_GBK" w:cs="方正仿宋_GBK"/>
          <w:kern w:val="0"/>
          <w:sz w:val="30"/>
          <w:szCs w:val="30"/>
          <w:highlight w:val="none"/>
          <w:lang w:val="zh-CN" w:eastAsia="zh-CN"/>
        </w:rPr>
        <w:t>445.00</w:t>
      </w:r>
      <w:r>
        <w:rPr>
          <w:rFonts w:hint="eastAsia" w:ascii="Times New Roman" w:hAnsi="Times New Roman" w:eastAsia="方正仿宋_GBK" w:cs="方正仿宋_GBK"/>
          <w:kern w:val="0"/>
          <w:sz w:val="30"/>
          <w:szCs w:val="30"/>
          <w:highlight w:val="none"/>
          <w:lang w:val="en-US" w:eastAsia="zh-CN"/>
        </w:rPr>
        <w:t>元（其中：外事接待费支出决算</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元），较上年增加</w:t>
      </w:r>
      <w:r>
        <w:rPr>
          <w:rFonts w:hint="default"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en-US" w:eastAsia="zh-CN"/>
        </w:rPr>
        <w:t>元，上年无此项支出；国（境）外接待费支出决算</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元较上年增加</w:t>
      </w:r>
      <w:r>
        <w:rPr>
          <w:rFonts w:hint="default"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en-US" w:eastAsia="zh-CN"/>
        </w:rPr>
        <w:t>元，上年无此项支出。2025年度一般公共预算财政拨款“三公”经费支出决算增加的主要原因是本单位厉行节约，加强三公经费的管理，上年无接待费用支出，导致2025年公务接待费增加。</w:t>
      </w:r>
    </w:p>
    <w:p w14:paraId="1036239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一般公共预算财政拨款“三公”经费支出实物量的具体情况：</w:t>
      </w:r>
    </w:p>
    <w:p w14:paraId="6B11080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1.安排因公出国（境）团组</w:t>
      </w:r>
      <w:r>
        <w:rPr>
          <w:rFonts w:hint="eastAsia" w:ascii="Times New Roman" w:hAnsi="Times New Roman" w:eastAsia="方正仿宋_GBK" w:cs="方正仿宋_GBK"/>
          <w:kern w:val="0"/>
          <w:sz w:val="30"/>
          <w:szCs w:val="30"/>
          <w:highlight w:val="none"/>
          <w:lang w:val="zh-CN" w:eastAsia="zh-CN"/>
        </w:rPr>
        <w:t>0</w:t>
      </w:r>
      <w:r>
        <w:rPr>
          <w:rFonts w:hint="eastAsia" w:ascii="Times New Roman" w:hAnsi="Times New Roman" w:eastAsia="方正仿宋_GBK" w:cs="方正仿宋_GBK"/>
          <w:kern w:val="0"/>
          <w:sz w:val="30"/>
          <w:szCs w:val="30"/>
          <w:highlight w:val="none"/>
          <w:lang w:val="en-US" w:eastAsia="zh-CN"/>
        </w:rPr>
        <w:t>个，累计</w:t>
      </w:r>
      <w:r>
        <w:rPr>
          <w:rFonts w:hint="eastAsia" w:ascii="Times New Roman" w:hAnsi="Times New Roman" w:eastAsia="方正仿宋_GBK" w:cs="方正仿宋_GBK"/>
          <w:kern w:val="0"/>
          <w:sz w:val="30"/>
          <w:szCs w:val="30"/>
          <w:highlight w:val="none"/>
          <w:lang w:val="zh-CN" w:eastAsia="zh-CN"/>
        </w:rPr>
        <w:t>0</w:t>
      </w:r>
      <w:r>
        <w:rPr>
          <w:rFonts w:hint="eastAsia" w:ascii="Times New Roman" w:hAnsi="Times New Roman" w:eastAsia="方正仿宋_GBK" w:cs="方正仿宋_GBK"/>
          <w:kern w:val="0"/>
          <w:sz w:val="30"/>
          <w:szCs w:val="30"/>
          <w:highlight w:val="none"/>
          <w:lang w:val="en-US" w:eastAsia="zh-CN"/>
        </w:rPr>
        <w:t>人次。华宁县融媒体中心无此事项。</w:t>
      </w:r>
    </w:p>
    <w:p w14:paraId="0D626BB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2.购置车辆</w:t>
      </w:r>
      <w:r>
        <w:rPr>
          <w:rFonts w:hint="eastAsia" w:ascii="Times New Roman" w:hAnsi="Times New Roman" w:eastAsia="方正仿宋_GBK" w:cs="方正仿宋_GBK"/>
          <w:kern w:val="0"/>
          <w:sz w:val="30"/>
          <w:szCs w:val="30"/>
          <w:highlight w:val="none"/>
          <w:lang w:val="zh-CN" w:eastAsia="zh-CN"/>
        </w:rPr>
        <w:t>0</w:t>
      </w:r>
      <w:r>
        <w:rPr>
          <w:rFonts w:hint="eastAsia" w:ascii="Times New Roman" w:hAnsi="Times New Roman" w:eastAsia="方正仿宋_GBK" w:cs="方正仿宋_GBK"/>
          <w:kern w:val="0"/>
          <w:sz w:val="30"/>
          <w:szCs w:val="30"/>
          <w:highlight w:val="none"/>
          <w:lang w:val="en-US" w:eastAsia="zh-CN"/>
        </w:rPr>
        <w:t>辆。华宁县融媒体中心无此事项。</w:t>
      </w:r>
    </w:p>
    <w:p w14:paraId="0B5B6BB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3.安排国内公务接待</w:t>
      </w:r>
      <w:r>
        <w:rPr>
          <w:rFonts w:hint="eastAsia" w:ascii="Times New Roman" w:hAnsi="Times New Roman" w:eastAsia="方正仿宋_GBK" w:cs="方正仿宋_GBK"/>
          <w:kern w:val="0"/>
          <w:sz w:val="30"/>
          <w:szCs w:val="30"/>
          <w:highlight w:val="none"/>
          <w:lang w:val="zh-CN" w:eastAsia="zh-CN"/>
        </w:rPr>
        <w:t>2</w:t>
      </w:r>
      <w:r>
        <w:rPr>
          <w:rFonts w:hint="eastAsia" w:ascii="Times New Roman" w:hAnsi="Times New Roman" w:eastAsia="方正仿宋_GBK" w:cs="方正仿宋_GBK"/>
          <w:kern w:val="0"/>
          <w:sz w:val="30"/>
          <w:szCs w:val="30"/>
          <w:highlight w:val="none"/>
          <w:lang w:val="en-US" w:eastAsia="zh-CN"/>
        </w:rPr>
        <w:t>批次（其中：外事接待</w:t>
      </w:r>
      <w:r>
        <w:rPr>
          <w:rFonts w:hint="eastAsia" w:ascii="Times New Roman" w:hAnsi="Times New Roman" w:eastAsia="方正仿宋_GBK" w:cs="方正仿宋_GBK"/>
          <w:kern w:val="0"/>
          <w:sz w:val="30"/>
          <w:szCs w:val="30"/>
          <w:highlight w:val="none"/>
          <w:lang w:val="zh-CN" w:eastAsia="zh-CN"/>
        </w:rPr>
        <w:t>0</w:t>
      </w:r>
      <w:r>
        <w:rPr>
          <w:rFonts w:hint="eastAsia" w:ascii="Times New Roman" w:hAnsi="Times New Roman" w:eastAsia="方正仿宋_GBK" w:cs="方正仿宋_GBK"/>
          <w:kern w:val="0"/>
          <w:sz w:val="30"/>
          <w:szCs w:val="30"/>
          <w:highlight w:val="none"/>
          <w:lang w:val="en-US" w:eastAsia="zh-CN"/>
        </w:rPr>
        <w:t>批次），接待人次</w:t>
      </w:r>
      <w:r>
        <w:rPr>
          <w:rFonts w:hint="eastAsia" w:ascii="Times New Roman" w:hAnsi="Times New Roman" w:eastAsia="方正仿宋_GBK" w:cs="方正仿宋_GBK"/>
          <w:kern w:val="0"/>
          <w:sz w:val="30"/>
          <w:szCs w:val="30"/>
          <w:highlight w:val="none"/>
          <w:lang w:val="zh-CN" w:eastAsia="zh-CN"/>
        </w:rPr>
        <w:t>8</w:t>
      </w:r>
      <w:r>
        <w:rPr>
          <w:rFonts w:hint="eastAsia" w:ascii="Times New Roman" w:hAnsi="Times New Roman" w:eastAsia="方正仿宋_GBK" w:cs="方正仿宋_GBK"/>
          <w:kern w:val="0"/>
          <w:sz w:val="30"/>
          <w:szCs w:val="30"/>
          <w:highlight w:val="none"/>
          <w:lang w:val="en-US" w:eastAsia="zh-CN"/>
        </w:rPr>
        <w:t>人（其中：外事接待人次</w:t>
      </w:r>
      <w:r>
        <w:rPr>
          <w:rFonts w:hint="eastAsia" w:ascii="Times New Roman" w:hAnsi="Times New Roman" w:eastAsia="方正仿宋_GBK" w:cs="方正仿宋_GBK"/>
          <w:kern w:val="0"/>
          <w:sz w:val="30"/>
          <w:szCs w:val="30"/>
          <w:highlight w:val="none"/>
          <w:lang w:val="zh-CN" w:eastAsia="zh-CN"/>
        </w:rPr>
        <w:t>0</w:t>
      </w:r>
      <w:r>
        <w:rPr>
          <w:rFonts w:hint="eastAsia" w:ascii="Times New Roman" w:hAnsi="Times New Roman" w:eastAsia="方正仿宋_GBK" w:cs="方正仿宋_GBK"/>
          <w:kern w:val="0"/>
          <w:sz w:val="30"/>
          <w:szCs w:val="30"/>
          <w:highlight w:val="none"/>
          <w:lang w:val="en-US" w:eastAsia="zh-CN"/>
        </w:rPr>
        <w:t>人）。主要用于上级部门到我单位调研指导相关工作，产生的接待批次2次及8人次发生的接待支出。安排国（境）外公务接待</w:t>
      </w:r>
      <w:r>
        <w:rPr>
          <w:rFonts w:hint="eastAsia" w:ascii="Times New Roman" w:hAnsi="Times New Roman" w:eastAsia="方正仿宋_GBK" w:cs="方正仿宋_GBK"/>
          <w:kern w:val="0"/>
          <w:sz w:val="30"/>
          <w:szCs w:val="30"/>
          <w:highlight w:val="none"/>
          <w:lang w:val="zh-CN" w:eastAsia="zh-CN"/>
        </w:rPr>
        <w:t>0</w:t>
      </w:r>
      <w:r>
        <w:rPr>
          <w:rFonts w:hint="eastAsia" w:ascii="Times New Roman" w:hAnsi="Times New Roman" w:eastAsia="方正仿宋_GBK" w:cs="方正仿宋_GBK"/>
          <w:kern w:val="0"/>
          <w:sz w:val="30"/>
          <w:szCs w:val="30"/>
          <w:highlight w:val="none"/>
          <w:lang w:val="en-US" w:eastAsia="zh-CN"/>
        </w:rPr>
        <w:t>批次，接待人次</w:t>
      </w:r>
      <w:r>
        <w:rPr>
          <w:rFonts w:hint="eastAsia" w:ascii="Times New Roman" w:hAnsi="Times New Roman" w:eastAsia="方正仿宋_GBK" w:cs="方正仿宋_GBK"/>
          <w:kern w:val="0"/>
          <w:sz w:val="30"/>
          <w:szCs w:val="30"/>
          <w:highlight w:val="none"/>
          <w:lang w:val="zh-CN" w:eastAsia="zh-CN"/>
        </w:rPr>
        <w:t>0</w:t>
      </w:r>
      <w:r>
        <w:rPr>
          <w:rFonts w:hint="eastAsia" w:ascii="Times New Roman" w:hAnsi="Times New Roman" w:eastAsia="方正仿宋_GBK" w:cs="方正仿宋_GBK"/>
          <w:kern w:val="0"/>
          <w:sz w:val="30"/>
          <w:szCs w:val="30"/>
          <w:highlight w:val="none"/>
          <w:lang w:val="en-US" w:eastAsia="zh-CN"/>
        </w:rPr>
        <w:t>人。</w:t>
      </w:r>
      <w:r>
        <w:rPr>
          <w:rFonts w:hint="default" w:ascii="Times New Roman" w:hAnsi="Times New Roman" w:eastAsia="方正仿宋_GBK" w:cs="方正仿宋_GBK"/>
          <w:kern w:val="0"/>
          <w:sz w:val="30"/>
          <w:szCs w:val="30"/>
          <w:highlight w:val="none"/>
          <w:lang w:val="en-US" w:eastAsia="zh-CN"/>
        </w:rPr>
        <w:t>华宁县融媒体中心无此事项</w:t>
      </w:r>
      <w:r>
        <w:rPr>
          <w:rFonts w:hint="eastAsia" w:ascii="Times New Roman" w:hAnsi="Times New Roman" w:eastAsia="方正仿宋_GBK" w:cs="方正仿宋_GBK"/>
          <w:kern w:val="0"/>
          <w:sz w:val="30"/>
          <w:szCs w:val="30"/>
          <w:highlight w:val="none"/>
          <w:lang w:val="en-US" w:eastAsia="zh-CN"/>
        </w:rPr>
        <w:t>。</w:t>
      </w:r>
    </w:p>
    <w:p w14:paraId="03AAE7A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（三）需要说明的事项</w:t>
      </w:r>
    </w:p>
    <w:p w14:paraId="38D1FD3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仿宋_GB2312"/>
          <w:sz w:val="30"/>
          <w:szCs w:val="30"/>
          <w:highlight w:val="none"/>
          <w:lang w:eastAsia="zh-CN"/>
        </w:rPr>
      </w:pPr>
      <w:r>
        <w:rPr>
          <w:rFonts w:hint="eastAsia" w:ascii="Times New Roman" w:hAnsi="Times New Roman" w:eastAsia="方正仿宋_GBK" w:cs="方正仿宋_GBK"/>
          <w:kern w:val="0"/>
          <w:sz w:val="30"/>
          <w:szCs w:val="30"/>
          <w:highlight w:val="none"/>
          <w:lang w:val="en-US" w:eastAsia="zh-CN"/>
        </w:rPr>
        <w:t>不存在需要说明的事项。</w:t>
      </w:r>
    </w:p>
    <w:p w14:paraId="0574A731">
      <w:pPr>
        <w:pageBreakBefore w:val="0"/>
        <w:widowControl/>
        <w:kinsoku/>
        <w:overflowPunct/>
        <w:topLinePunct w:val="0"/>
        <w:bidi w:val="0"/>
        <w:adjustRightInd/>
        <w:snapToGrid w:val="0"/>
        <w:spacing w:before="100" w:after="100" w:line="590" w:lineRule="exact"/>
        <w:jc w:val="center"/>
        <w:textAlignment w:val="auto"/>
        <w:outlineLvl w:val="0"/>
        <w:rPr>
          <w:rFonts w:hint="eastAsia" w:ascii="Times New Roman" w:hAnsi="Times New Roman" w:eastAsia="仿宋_GB2312"/>
          <w:sz w:val="32"/>
          <w:szCs w:val="32"/>
          <w:highlight w:val="none"/>
        </w:rPr>
      </w:pPr>
      <w:r>
        <w:rPr>
          <w:rFonts w:hint="eastAsia" w:ascii="Times New Roman" w:hAnsi="Times New Roman" w:eastAsia="方正黑体_GBK" w:cs="方正黑体_GBK"/>
          <w:sz w:val="32"/>
          <w:szCs w:val="32"/>
          <w:highlight w:val="none"/>
        </w:rPr>
        <w:t>第四部分  其他重要事项及相关口径情况说明</w:t>
      </w:r>
    </w:p>
    <w:p w14:paraId="4A62A91F">
      <w:pPr>
        <w:pageBreakBefore w:val="0"/>
        <w:widowControl/>
        <w:kinsoku/>
        <w:overflowPunct/>
        <w:topLinePunct w:val="0"/>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一、机关运行经费支出情况</w:t>
      </w:r>
    </w:p>
    <w:p w14:paraId="3DE209C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zh-CN" w:eastAsia="zh-CN"/>
        </w:rPr>
        <w:t>华宁县融媒体中心</w:t>
      </w:r>
      <w:r>
        <w:rPr>
          <w:rFonts w:hint="eastAsia" w:ascii="Times New Roman" w:hAnsi="Times New Roman" w:eastAsia="方正仿宋_GBK" w:cs="方正仿宋_GBK"/>
          <w:kern w:val="0"/>
          <w:sz w:val="30"/>
          <w:szCs w:val="30"/>
          <w:highlight w:val="none"/>
          <w:lang w:val="en-US" w:eastAsia="zh-CN"/>
        </w:rPr>
        <w:t>2025年机关运行经费支出0.00元，比上年增加0.00元，增长</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%,主要原因是</w:t>
      </w:r>
      <w:r>
        <w:rPr>
          <w:rFonts w:hint="default" w:ascii="Times New Roman" w:hAnsi="Times New Roman" w:eastAsia="方正仿宋_GBK" w:cs="方正仿宋_GBK"/>
          <w:kern w:val="0"/>
          <w:sz w:val="30"/>
          <w:szCs w:val="30"/>
          <w:highlight w:val="none"/>
          <w:lang w:val="en-US" w:eastAsia="zh-CN"/>
        </w:rPr>
        <w:t>华宁县融媒体中心无此事项</w:t>
      </w:r>
      <w:r>
        <w:rPr>
          <w:rFonts w:hint="eastAsia" w:ascii="Times New Roman" w:hAnsi="Times New Roman" w:eastAsia="方正仿宋_GBK" w:cs="方正仿宋_GBK"/>
          <w:kern w:val="0"/>
          <w:sz w:val="30"/>
          <w:szCs w:val="30"/>
          <w:highlight w:val="none"/>
          <w:lang w:val="en-US" w:eastAsia="zh-CN"/>
        </w:rPr>
        <w:t>。</w:t>
      </w:r>
    </w:p>
    <w:p w14:paraId="4AAA2A23">
      <w:pPr>
        <w:pageBreakBefore w:val="0"/>
        <w:widowControl/>
        <w:kinsoku/>
        <w:overflowPunct/>
        <w:topLinePunct w:val="0"/>
        <w:bidi w:val="0"/>
        <w:adjustRightInd/>
        <w:spacing w:line="590" w:lineRule="exact"/>
        <w:ind w:firstLine="600" w:firstLineChars="200"/>
        <w:textAlignment w:val="auto"/>
        <w:outlineLvl w:val="1"/>
        <w:rPr>
          <w:rFonts w:hint="eastAsia" w:ascii="Times New Roman" w:hAnsi="Times New Roman" w:eastAsia="黑体" w:cs="黑体"/>
          <w:sz w:val="30"/>
          <w:szCs w:val="30"/>
          <w:highlight w:val="none"/>
          <w:lang w:eastAsia="zh-CN"/>
        </w:rPr>
      </w:pPr>
      <w:r>
        <w:rPr>
          <w:rFonts w:hint="eastAsia" w:ascii="Times New Roman" w:hAnsi="Times New Roman" w:eastAsia="方正黑体_GBK" w:cs="方正黑体_GBK"/>
          <w:sz w:val="30"/>
          <w:szCs w:val="30"/>
          <w:highlight w:val="none"/>
          <w:lang w:val="en-US" w:eastAsia="zh-CN"/>
        </w:rPr>
        <w:t>二、国有资产占用情况</w:t>
      </w:r>
    </w:p>
    <w:p w14:paraId="695E0DB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zh-CN" w:eastAsia="zh-CN"/>
        </w:rPr>
        <w:t>截至2025年末，华宁县融媒体中心资产总额</w:t>
      </w:r>
      <w:r>
        <w:rPr>
          <w:rFonts w:hint="eastAsia" w:ascii="Times New Roman" w:hAnsi="Times New Roman" w:eastAsia="方正仿宋_GBK" w:cs="方正仿宋_GBK"/>
          <w:kern w:val="0"/>
          <w:sz w:val="30"/>
          <w:szCs w:val="30"/>
          <w:highlight w:val="none"/>
          <w:lang w:val="en-US" w:eastAsia="zh-CN"/>
        </w:rPr>
        <w:t>818,663.24</w:t>
      </w:r>
      <w:r>
        <w:rPr>
          <w:rFonts w:hint="eastAsia" w:ascii="Times New Roman" w:hAnsi="Times New Roman" w:eastAsia="方正仿宋_GBK" w:cs="方正仿宋_GBK"/>
          <w:kern w:val="0"/>
          <w:sz w:val="30"/>
          <w:szCs w:val="30"/>
          <w:highlight w:val="none"/>
          <w:lang w:val="zh-CN" w:eastAsia="zh-CN"/>
        </w:rPr>
        <w:t>元，其中，流动资产</w:t>
      </w:r>
      <w:r>
        <w:rPr>
          <w:rFonts w:hint="eastAsia" w:ascii="Times New Roman" w:hAnsi="Times New Roman" w:eastAsia="方正仿宋_GBK" w:cs="方正仿宋_GBK"/>
          <w:kern w:val="0"/>
          <w:sz w:val="30"/>
          <w:szCs w:val="30"/>
          <w:highlight w:val="none"/>
          <w:lang w:val="en-US" w:eastAsia="zh-CN"/>
        </w:rPr>
        <w:t>5,881.17</w:t>
      </w:r>
      <w:r>
        <w:rPr>
          <w:rFonts w:hint="eastAsia" w:ascii="Times New Roman" w:hAnsi="Times New Roman" w:eastAsia="方正仿宋_GBK" w:cs="方正仿宋_GBK"/>
          <w:kern w:val="0"/>
          <w:sz w:val="30"/>
          <w:szCs w:val="30"/>
          <w:highlight w:val="none"/>
          <w:lang w:val="zh-CN" w:eastAsia="zh-CN"/>
        </w:rPr>
        <w:t>元，固定资产</w:t>
      </w:r>
      <w:r>
        <w:rPr>
          <w:rFonts w:hint="eastAsia" w:ascii="Times New Roman" w:hAnsi="Times New Roman" w:eastAsia="方正仿宋_GBK" w:cs="方正仿宋_GBK"/>
          <w:kern w:val="0"/>
          <w:sz w:val="30"/>
          <w:szCs w:val="30"/>
          <w:highlight w:val="none"/>
          <w:lang w:val="en-US" w:eastAsia="zh-CN"/>
        </w:rPr>
        <w:t>812,782.07</w:t>
      </w:r>
      <w:r>
        <w:rPr>
          <w:rFonts w:hint="eastAsia" w:ascii="Times New Roman" w:hAnsi="Times New Roman" w:eastAsia="方正仿宋_GBK" w:cs="方正仿宋_GBK"/>
          <w:kern w:val="0"/>
          <w:sz w:val="30"/>
          <w:szCs w:val="30"/>
          <w:highlight w:val="none"/>
          <w:lang w:val="zh-CN" w:eastAsia="zh-CN"/>
        </w:rPr>
        <w:t>元（净值），对外投资及有价证券</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元，在建工程</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元，无形资产</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元（净值），其他资产</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元（净值）（具体内容详见附表）。与上年相比，本年资产总额减少</w:t>
      </w:r>
      <w:r>
        <w:rPr>
          <w:rFonts w:hint="eastAsia" w:ascii="Times New Roman" w:hAnsi="Times New Roman" w:eastAsia="方正仿宋_GBK" w:cs="方正仿宋_GBK"/>
          <w:kern w:val="0"/>
          <w:sz w:val="30"/>
          <w:szCs w:val="30"/>
          <w:highlight w:val="none"/>
          <w:lang w:val="en-US" w:eastAsia="zh-CN"/>
        </w:rPr>
        <w:t>925,931.99</w:t>
      </w:r>
      <w:r>
        <w:rPr>
          <w:rFonts w:hint="eastAsia" w:ascii="Times New Roman" w:hAnsi="Times New Roman" w:eastAsia="方正仿宋_GBK" w:cs="方正仿宋_GBK"/>
          <w:kern w:val="0"/>
          <w:sz w:val="30"/>
          <w:szCs w:val="30"/>
          <w:highlight w:val="none"/>
          <w:lang w:val="zh-CN" w:eastAsia="zh-CN"/>
        </w:rPr>
        <w:t>元，其中固定资产减少</w:t>
      </w:r>
      <w:r>
        <w:rPr>
          <w:rFonts w:hint="eastAsia" w:ascii="Times New Roman" w:hAnsi="Times New Roman" w:eastAsia="方正仿宋_GBK" w:cs="方正仿宋_GBK"/>
          <w:kern w:val="0"/>
          <w:sz w:val="30"/>
          <w:szCs w:val="30"/>
          <w:highlight w:val="none"/>
          <w:lang w:val="en-US" w:eastAsia="zh-CN"/>
        </w:rPr>
        <w:t>928,984.61</w:t>
      </w:r>
      <w:r>
        <w:rPr>
          <w:rFonts w:hint="eastAsia" w:ascii="Times New Roman" w:hAnsi="Times New Roman" w:eastAsia="方正仿宋_GBK" w:cs="方正仿宋_GBK"/>
          <w:kern w:val="0"/>
          <w:sz w:val="30"/>
          <w:szCs w:val="30"/>
          <w:highlight w:val="none"/>
          <w:lang w:val="zh-CN" w:eastAsia="zh-CN"/>
        </w:rPr>
        <w:t>元。处置房屋建筑物</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平方米，账面原值</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元；处置车辆</w:t>
      </w:r>
      <w:r>
        <w:rPr>
          <w:rFonts w:hint="eastAsia" w:ascii="Times New Roman" w:hAnsi="Times New Roman" w:eastAsia="方正仿宋_GBK" w:cs="方正仿宋_GBK"/>
          <w:kern w:val="0"/>
          <w:sz w:val="30"/>
          <w:szCs w:val="30"/>
          <w:highlight w:val="none"/>
          <w:lang w:val="en-US" w:eastAsia="zh-CN"/>
        </w:rPr>
        <w:t>0</w:t>
      </w:r>
      <w:r>
        <w:rPr>
          <w:rFonts w:hint="eastAsia" w:ascii="Times New Roman" w:hAnsi="Times New Roman" w:eastAsia="方正仿宋_GBK" w:cs="方正仿宋_GBK"/>
          <w:kern w:val="0"/>
          <w:sz w:val="30"/>
          <w:szCs w:val="30"/>
          <w:highlight w:val="none"/>
          <w:lang w:val="zh-CN" w:eastAsia="zh-CN"/>
        </w:rPr>
        <w:t>辆，账面原值</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元；报废报损资产</w:t>
      </w:r>
      <w:r>
        <w:rPr>
          <w:rFonts w:hint="eastAsia" w:ascii="Times New Roman" w:hAnsi="Times New Roman" w:eastAsia="方正仿宋_GBK" w:cs="方正仿宋_GBK"/>
          <w:kern w:val="0"/>
          <w:sz w:val="30"/>
          <w:szCs w:val="30"/>
          <w:highlight w:val="none"/>
          <w:lang w:val="en-US" w:eastAsia="zh-CN"/>
        </w:rPr>
        <w:t>0</w:t>
      </w:r>
      <w:r>
        <w:rPr>
          <w:rFonts w:hint="eastAsia" w:ascii="Times New Roman" w:hAnsi="Times New Roman" w:eastAsia="方正仿宋_GBK" w:cs="方正仿宋_GBK"/>
          <w:kern w:val="0"/>
          <w:sz w:val="30"/>
          <w:szCs w:val="30"/>
          <w:highlight w:val="none"/>
          <w:lang w:val="zh-CN" w:eastAsia="zh-CN"/>
        </w:rPr>
        <w:t>项，账面原值</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元，实现资产处置收入</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元；出租房屋</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平方米，账面原值</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元，实现资产使用收入</w:t>
      </w:r>
      <w:r>
        <w:rPr>
          <w:rFonts w:hint="eastAsia" w:ascii="Times New Roman" w:hAnsi="Times New Roman" w:eastAsia="方正仿宋_GBK" w:cs="方正仿宋_GBK"/>
          <w:kern w:val="0"/>
          <w:sz w:val="30"/>
          <w:szCs w:val="30"/>
          <w:highlight w:val="none"/>
          <w:lang w:val="en-US" w:eastAsia="zh-CN"/>
        </w:rPr>
        <w:t>0.00</w:t>
      </w:r>
      <w:r>
        <w:rPr>
          <w:rFonts w:hint="eastAsia" w:ascii="Times New Roman" w:hAnsi="Times New Roman" w:eastAsia="方正仿宋_GBK" w:cs="方正仿宋_GBK"/>
          <w:kern w:val="0"/>
          <w:sz w:val="30"/>
          <w:szCs w:val="30"/>
          <w:highlight w:val="none"/>
          <w:lang w:val="zh-CN" w:eastAsia="zh-CN"/>
        </w:rPr>
        <w:t>元。</w:t>
      </w:r>
    </w:p>
    <w:p w14:paraId="43F0B14E">
      <w:pPr>
        <w:keepNext w:val="0"/>
        <w:keepLines w:val="0"/>
        <w:pageBreakBefore w:val="0"/>
        <w:widowControl/>
        <w:numPr>
          <w:ilvl w:val="0"/>
          <w:numId w:val="0"/>
        </w:numPr>
        <w:kinsoku/>
        <w:wordWrap/>
        <w:overflowPunct/>
        <w:topLinePunct w:val="0"/>
        <w:autoSpaceDE/>
        <w:autoSpaceDN/>
        <w:bidi w:val="0"/>
        <w:adjustRightInd/>
        <w:snapToGrid w:val="0"/>
        <w:spacing w:line="240" w:lineRule="auto"/>
        <w:ind w:firstLine="0" w:firstLineChars="0"/>
        <w:jc w:val="left"/>
        <w:textAlignment w:val="auto"/>
        <w:rPr>
          <w:rFonts w:hint="eastAsia" w:ascii="Times New Roman" w:hAnsi="Times New Roman" w:eastAsia="方正仿宋_GBK" w:cs="方正仿宋_GBK"/>
          <w:kern w:val="0"/>
          <w:sz w:val="30"/>
          <w:szCs w:val="30"/>
          <w:highlight w:val="none"/>
          <w:lang w:val="zh-CN" w:eastAsia="zh-CN"/>
        </w:rPr>
      </w:pPr>
      <w:r>
        <w:rPr>
          <w:rFonts w:hint="eastAsia" w:ascii="Times New Roman" w:hAnsi="Times New Roman" w:eastAsia="方正仿宋_GBK" w:cs="方正仿宋_GBK"/>
          <w:kern w:val="0"/>
          <w:sz w:val="30"/>
          <w:szCs w:val="30"/>
          <w:highlight w:val="none"/>
          <w:lang w:val="zh-CN" w:eastAsia="zh-CN"/>
        </w:rPr>
        <w:t>（国有资产占有使用情况表详见附表）</w:t>
      </w:r>
    </w:p>
    <w:p w14:paraId="1C820E58">
      <w:pPr>
        <w:pageBreakBefore w:val="0"/>
        <w:widowControl/>
        <w:kinsoku/>
        <w:overflowPunct/>
        <w:topLinePunct w:val="0"/>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三、政府采购支出情况</w:t>
      </w:r>
    </w:p>
    <w:p w14:paraId="3268ABE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2025年度，部门政府采购支出总额</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元，其中：政府采购货物支出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元；政府采购工程支出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元；政府采购服务支出</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元。授予中小企业合同金额</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元，其中：授予小微企业合同金额</w:t>
      </w:r>
      <w:r>
        <w:rPr>
          <w:rFonts w:hint="eastAsia" w:ascii="Times New Roman" w:hAnsi="Times New Roman" w:eastAsia="方正仿宋_GBK" w:cs="方正仿宋_GBK"/>
          <w:kern w:val="0"/>
          <w:sz w:val="30"/>
          <w:szCs w:val="30"/>
          <w:highlight w:val="none"/>
          <w:lang w:val="zh-CN" w:eastAsia="zh-CN"/>
        </w:rPr>
        <w:t>0.00</w:t>
      </w:r>
      <w:r>
        <w:rPr>
          <w:rFonts w:hint="eastAsia" w:ascii="Times New Roman" w:hAnsi="Times New Roman" w:eastAsia="方正仿宋_GBK" w:cs="方正仿宋_GBK"/>
          <w:kern w:val="0"/>
          <w:sz w:val="30"/>
          <w:szCs w:val="30"/>
          <w:highlight w:val="none"/>
          <w:lang w:val="en-US" w:eastAsia="zh-CN"/>
        </w:rPr>
        <w:t>元。（以上“政府采购工程支出”不包括适用《中华人民共和国招标投标法》的“政府采购工程项目”支出情况）。</w:t>
      </w:r>
    </w:p>
    <w:p w14:paraId="4975EBBE">
      <w:pPr>
        <w:pageBreakBefore w:val="0"/>
        <w:widowControl/>
        <w:kinsoku/>
        <w:overflowPunct/>
        <w:topLinePunct w:val="0"/>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四、部门绩效自评情况</w:t>
      </w:r>
    </w:p>
    <w:p w14:paraId="036ACBFB">
      <w:pPr>
        <w:pageBreakBefore w:val="0"/>
        <w:widowControl/>
        <w:kinsoku/>
        <w:overflowPunct/>
        <w:topLinePunct w:val="0"/>
        <w:bidi w:val="0"/>
        <w:adjustRightInd/>
        <w:snapToGrid w:val="0"/>
        <w:spacing w:before="100" w:after="100" w:line="590" w:lineRule="exact"/>
        <w:ind w:firstLine="600"/>
        <w:jc w:val="left"/>
        <w:textAlignment w:val="auto"/>
        <w:rPr>
          <w:rFonts w:hint="eastAsia" w:ascii="Times New Roman" w:hAnsi="Times New Roman" w:eastAsia="仿宋_GB2312" w:cs="仿宋_GB2312"/>
          <w:color w:val="FF000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部门绩效自评情况详见附表。</w:t>
      </w:r>
    </w:p>
    <w:p w14:paraId="15102A50">
      <w:pPr>
        <w:pageBreakBefore w:val="0"/>
        <w:widowControl/>
        <w:kinsoku/>
        <w:overflowPunct/>
        <w:topLinePunct w:val="0"/>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五、其他重要事项情况说明</w:t>
      </w:r>
    </w:p>
    <w:p w14:paraId="630FB032">
      <w:pPr>
        <w:pageBreakBefore w:val="0"/>
        <w:widowControl/>
        <w:kinsoku/>
        <w:overflowPunct/>
        <w:topLinePunct w:val="0"/>
        <w:bidi w:val="0"/>
        <w:adjustRightInd/>
        <w:snapToGrid w:val="0"/>
        <w:spacing w:before="100" w:after="100" w:line="590" w:lineRule="exact"/>
        <w:ind w:firstLine="6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我单位无其他重要事项情况说明。</w:t>
      </w:r>
    </w:p>
    <w:p w14:paraId="795F7C08">
      <w:pPr>
        <w:pageBreakBefore w:val="0"/>
        <w:widowControl/>
        <w:kinsoku/>
        <w:overflowPunct/>
        <w:topLinePunct w:val="0"/>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六、相关口径说明</w:t>
      </w:r>
    </w:p>
    <w:p w14:paraId="51CDEE73">
      <w:pPr>
        <w:pageBreakBefore w:val="0"/>
        <w:kinsoku/>
        <w:overflowPunct/>
        <w:topLinePunct w:val="0"/>
        <w:bidi w:val="0"/>
        <w:adjustRightInd/>
        <w:spacing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w:t>
      </w:r>
      <w:r>
        <w:rPr>
          <w:rFonts w:hint="eastAsia" w:ascii="Times New Roman" w:hAnsi="Times New Roman" w:eastAsia="方正仿宋_GBK" w:cs="方正仿宋_GBK"/>
          <w:kern w:val="0"/>
          <w:sz w:val="30"/>
          <w:szCs w:val="30"/>
          <w:highlight w:val="none"/>
          <w:lang w:val="en-US" w:eastAsia="zh-CN"/>
        </w:rPr>
        <w:t>基本支出中人员经费包括工资福利支出和对个人和家庭的补助，公用经费包括商品和服务支出、资本性支出等人员经费以外的支出。</w:t>
      </w:r>
    </w:p>
    <w:p w14:paraId="75AC6A9C">
      <w:pPr>
        <w:pageBreakBefore w:val="0"/>
        <w:kinsoku/>
        <w:overflowPunct/>
        <w:topLinePunct w:val="0"/>
        <w:bidi w:val="0"/>
        <w:adjustRightInd/>
        <w:spacing w:line="590" w:lineRule="exact"/>
        <w:ind w:firstLine="600" w:firstLineChars="200"/>
        <w:jc w:val="left"/>
        <w:textAlignment w:val="auto"/>
        <w:rPr>
          <w:rFonts w:hint="eastAsia" w:ascii="Times New Roman" w:hAnsi="Times New Roman" w:eastAsia="仿宋_GB2312" w:cs="方正小标宋简体"/>
          <w:sz w:val="30"/>
          <w:szCs w:val="30"/>
          <w:highlight w:val="none"/>
        </w:rPr>
      </w:pPr>
      <w:r>
        <w:rPr>
          <w:rFonts w:hint="eastAsia" w:ascii="Times New Roman" w:hAnsi="Times New Roman" w:eastAsia="方正楷体_GBK" w:cs="方正楷体_GBK"/>
          <w:sz w:val="30"/>
          <w:szCs w:val="30"/>
          <w:highlight w:val="none"/>
          <w:lang w:val="en-US" w:eastAsia="zh-CN"/>
        </w:rPr>
        <w:t>（二）</w:t>
      </w:r>
      <w:r>
        <w:rPr>
          <w:rFonts w:hint="eastAsia" w:ascii="Times New Roman" w:hAnsi="Times New Roman" w:eastAsia="方正仿宋_GBK" w:cs="方正仿宋_GBK"/>
          <w:kern w:val="0"/>
          <w:sz w:val="30"/>
          <w:szCs w:val="30"/>
          <w:highlight w:val="none"/>
          <w:lang w:val="en-US" w:eastAsia="zh-CN"/>
        </w:rPr>
        <w:t>机关运行经费指行政单位和参照公务员法管理的事业单位使用一般公共预算财政拨款安排的基本支出中的公用经费支出。</w:t>
      </w:r>
    </w:p>
    <w:p w14:paraId="685F5C57">
      <w:pPr>
        <w:pageBreakBefore w:val="0"/>
        <w:kinsoku/>
        <w:overflowPunct/>
        <w:topLinePunct w:val="0"/>
        <w:bidi w:val="0"/>
        <w:adjustRightInd/>
        <w:spacing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w:t>
      </w:r>
      <w:r>
        <w:rPr>
          <w:rFonts w:hint="eastAsia" w:ascii="Times New Roman" w:hAnsi="Times New Roman" w:eastAsia="方正仿宋_GBK" w:cs="方正仿宋_GBK"/>
          <w:kern w:val="0"/>
          <w:sz w:val="30"/>
          <w:szCs w:val="30"/>
          <w:highlight w:val="none"/>
          <w:lang w:val="en-US" w:eastAsia="zh-CN"/>
        </w:rPr>
        <w:t>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5CC20291">
      <w:pPr>
        <w:pageBreakBefore w:val="0"/>
        <w:kinsoku/>
        <w:overflowPunct/>
        <w:topLinePunct w:val="0"/>
        <w:bidi w:val="0"/>
        <w:adjustRightInd/>
        <w:spacing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（四）</w:t>
      </w:r>
      <w:r>
        <w:rPr>
          <w:rFonts w:hint="eastAsia" w:ascii="Times New Roman" w:hAnsi="Times New Roman" w:eastAsia="方正仿宋_GBK" w:cs="方正仿宋_GBK"/>
          <w:kern w:val="0"/>
          <w:sz w:val="30"/>
          <w:szCs w:val="30"/>
          <w:highlight w:val="none"/>
          <w:lang w:val="en-US" w:eastAsia="zh-CN"/>
        </w:rPr>
        <w:t>本文所称财政拨款“三公”经费决算数是指各部门（含下属单位）当年通过本级财政拨款和以前年度财政拨款结转结余资金安排的因公出国（境）费用、公务用车购置及运行维护费和公务接待费支出数（包括基本支出和项目支出）。</w:t>
      </w:r>
    </w:p>
    <w:p w14:paraId="52450AE1">
      <w:pPr>
        <w:pageBreakBefore w:val="0"/>
        <w:kinsoku/>
        <w:overflowPunct/>
        <w:topLinePunct w:val="0"/>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38D297F5">
      <w:pPr>
        <w:pageBreakBefore w:val="0"/>
        <w:kinsoku/>
        <w:overflowPunct/>
        <w:topLinePunct w:val="0"/>
        <w:bidi w:val="0"/>
        <w:adjustRightInd/>
        <w:spacing w:line="590" w:lineRule="exact"/>
        <w:ind w:firstLine="600" w:firstLineChars="200"/>
        <w:jc w:val="left"/>
        <w:textAlignment w:val="auto"/>
        <w:rPr>
          <w:rFonts w:hint="eastAsia" w:ascii="Times New Roman" w:hAnsi="Times New Roman" w:eastAsia="方正仿宋_GBK" w:cs="方正仿宋_GBK"/>
          <w:kern w:val="0"/>
          <w:sz w:val="30"/>
          <w:szCs w:val="30"/>
          <w:highlight w:val="none"/>
          <w:lang w:val="en-US" w:eastAsia="zh-CN"/>
        </w:rPr>
      </w:pPr>
      <w:r>
        <w:rPr>
          <w:rFonts w:hint="eastAsia" w:ascii="Times New Roman" w:hAnsi="Times New Roman" w:eastAsia="方正仿宋_GBK" w:cs="方正仿宋_GBK"/>
          <w:kern w:val="0"/>
          <w:sz w:val="30"/>
          <w:szCs w:val="30"/>
          <w:highlight w:val="none"/>
          <w:lang w:val="en-US"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2DEF2EBD">
      <w:pPr>
        <w:keepNext w:val="0"/>
        <w:keepLines w:val="0"/>
        <w:pageBreakBefore w:val="0"/>
        <w:kinsoku/>
        <w:overflowPunct/>
        <w:topLinePunct w:val="0"/>
        <w:autoSpaceDE/>
        <w:autoSpaceDN/>
        <w:bidi w:val="0"/>
        <w:adjustRightInd/>
        <w:spacing w:line="590" w:lineRule="exact"/>
        <w:ind w:firstLine="420" w:firstLineChars="200"/>
        <w:jc w:val="left"/>
        <w:textAlignment w:val="auto"/>
        <w:rPr>
          <w:rFonts w:ascii="Times New Roman" w:hAnsi="Times New Roman"/>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超粗黑_GBK">
    <w:panose1 w:val="02000000000000000000"/>
    <w:charset w:val="86"/>
    <w:family w:val="auto"/>
    <w:pitch w:val="default"/>
    <w:sig w:usb0="A00002BF" w:usb1="38CF7CFA" w:usb2="00082016" w:usb3="00000000" w:csb0="00040001" w:csb1="00000000"/>
  </w:font>
  <w:font w:name="方正魏碑_GBK">
    <w:panose1 w:val="02000000000000000000"/>
    <w:charset w:val="86"/>
    <w:family w:val="auto"/>
    <w:pitch w:val="default"/>
    <w:sig w:usb0="A00002BF" w:usb1="39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美黑简体">
    <w:panose1 w:val="03000509000000000000"/>
    <w:charset w:val="86"/>
    <w:family w:val="auto"/>
    <w:pitch w:val="default"/>
    <w:sig w:usb0="00000001" w:usb1="080E0000" w:usb2="00000000" w:usb3="00000000" w:csb0="00040000" w:csb1="00000000"/>
  </w:font>
  <w:font w:name="方正细黑一_GBK">
    <w:panose1 w:val="02000000000000000000"/>
    <w:charset w:val="86"/>
    <w:family w:val="auto"/>
    <w:pitch w:val="default"/>
    <w:sig w:usb0="A00002BF" w:usb1="38CF7CFA" w:usb2="00082016" w:usb3="00000000" w:csb0="00040001" w:csb1="00000000"/>
  </w:font>
  <w:font w:name="方正行楷_GBK">
    <w:panose1 w:val="02000000000000000000"/>
    <w:charset w:val="86"/>
    <w:family w:val="auto"/>
    <w:pitch w:val="default"/>
    <w:sig w:usb0="A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方正粗黑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0E28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2A3FDC4">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62A3FDC4">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07A79">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59C6A1EB">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17995">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FF48D0"/>
    <w:rsid w:val="1EBBFA19"/>
    <w:rsid w:val="1FFEFC7E"/>
    <w:rsid w:val="39F6D0BF"/>
    <w:rsid w:val="3A6AA3B9"/>
    <w:rsid w:val="3BFDB824"/>
    <w:rsid w:val="3D1D0D4D"/>
    <w:rsid w:val="3EEDA49B"/>
    <w:rsid w:val="5FBFEE4B"/>
    <w:rsid w:val="69EE7C54"/>
    <w:rsid w:val="6A9F21C2"/>
    <w:rsid w:val="6EFF41AE"/>
    <w:rsid w:val="72F7680C"/>
    <w:rsid w:val="731FC4BA"/>
    <w:rsid w:val="77CFA2FA"/>
    <w:rsid w:val="77F92CEC"/>
    <w:rsid w:val="7ADE035E"/>
    <w:rsid w:val="7B63C7E1"/>
    <w:rsid w:val="7B7FD261"/>
    <w:rsid w:val="7F1F7CFE"/>
    <w:rsid w:val="7F5766F2"/>
    <w:rsid w:val="7F75B686"/>
    <w:rsid w:val="7FFF00C9"/>
    <w:rsid w:val="AEFFD469"/>
    <w:rsid w:val="B1FEC721"/>
    <w:rsid w:val="B59DADF6"/>
    <w:rsid w:val="B7DDA998"/>
    <w:rsid w:val="B7EFFBFD"/>
    <w:rsid w:val="BDFBE7BB"/>
    <w:rsid w:val="BE2D6630"/>
    <w:rsid w:val="BF8F508D"/>
    <w:rsid w:val="BFCF9324"/>
    <w:rsid w:val="CD4B94FA"/>
    <w:rsid w:val="DDFC554D"/>
    <w:rsid w:val="DF7331D2"/>
    <w:rsid w:val="DFF3FE6D"/>
    <w:rsid w:val="EEC7A710"/>
    <w:rsid w:val="EFFE9345"/>
    <w:rsid w:val="F4F9FEA2"/>
    <w:rsid w:val="F5BFCEDB"/>
    <w:rsid w:val="F63FFC1B"/>
    <w:rsid w:val="F6DD1DF5"/>
    <w:rsid w:val="F7CECAF2"/>
    <w:rsid w:val="FBD7DC48"/>
    <w:rsid w:val="FEF7745E"/>
    <w:rsid w:val="FEF927B6"/>
    <w:rsid w:val="FF2F5EBA"/>
    <w:rsid w:val="FF3B2CD6"/>
    <w:rsid w:val="FF7FFCC3"/>
    <w:rsid w:val="FFCB0621"/>
    <w:rsid w:val="FFFF4160"/>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2052-11.8.2.12309</vt:lpwstr>
  </property>
  <property xmlns="http://schemas.openxmlformats.org/officeDocument/2006/custom-properties" fmtid="{D5CDD505-2E9C-101B-9397-08002B2CF9AE}" name="ICV" pid="3">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b29f6a-656e-4dff-a2b4-538dd4ac1e81}">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45</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2025-07-01T01:23:00Z</dcterms:created>
  <dc:creator>jq</dc:creator>
  <cp:lastModifiedBy>kylin</cp:lastModifiedBy>
  <dcterms:modified xsi:type="dcterms:W3CDTF">2026-10-23T11:38:21Z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D16EBE2151858CA019D1DA6A351C2AE2_43</vt:lpwstr>
  </property>
</Properties>
</file>