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6CE6FC">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both"/>
        <w:textAlignment w:val="auto"/>
        <w:rPr>
          <w:rFonts w:hint="eastAsia" w:ascii="方正小标宋简体" w:hAnsi="方正小标宋简体" w:eastAsia="方正小标宋简体" w:cs="方正小标宋简体"/>
          <w:sz w:val="30"/>
          <w:szCs w:val="30"/>
          <w:highlight w:val="none"/>
          <w:lang w:val="en-US" w:eastAsia="zh-CN"/>
        </w:rPr>
      </w:pPr>
      <w:bookmarkStart w:id="0" w:name="_GoBack"/>
      <w:bookmarkEnd w:id="0"/>
      <w:r>
        <w:rPr>
          <w:rFonts w:ascii="Arial" w:hAnsi="Arial" w:eastAsia="宋体" w:cs="Arial"/>
          <w:b/>
          <w:i w:val="0"/>
          <w:caps w:val="0"/>
          <w:color w:val="000000"/>
          <w:spacing w:val="0"/>
          <w:sz w:val="30"/>
          <w:szCs w:val="30"/>
        </w:rPr>
        <w:t>监督索引号53042400632400201000</w:t>
      </w:r>
    </w:p>
    <w:p w14:paraId="0B9F9D4F">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华宁县土地储备中心</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37F71243">
      <w:pPr>
        <w:jc w:val="center"/>
        <w:rPr>
          <w:rFonts w:hint="eastAsia" w:ascii="方正小标宋简体" w:hAnsi="方正小标宋简体" w:eastAsia="方正小标宋简体" w:cs="方正小标宋简体"/>
          <w:sz w:val="36"/>
          <w:szCs w:val="36"/>
          <w:highlight w:val="none"/>
        </w:rPr>
      </w:pPr>
    </w:p>
    <w:p w14:paraId="50B14B60">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28FF285B">
      <w:pPr>
        <w:jc w:val="left"/>
        <w:rPr>
          <w:rFonts w:hint="eastAsia" w:ascii="黑体" w:hAnsi="黑体" w:eastAsia="黑体"/>
          <w:sz w:val="30"/>
          <w:szCs w:val="30"/>
          <w:highlight w:val="none"/>
        </w:rPr>
      </w:pPr>
    </w:p>
    <w:p w14:paraId="63B49AE5">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2E448B62">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0112CB95">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492ABAAE">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51EABC7C">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55CB034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580597D9">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461FC00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27511358">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17C36C7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77413115">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09DBE0F8">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4837D411">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04F7F978">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1233DB3A">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2E66409D">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295E024F">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1B59B0CC">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2F4D054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5A227CC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3F9135A9">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5B2FF77A">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4543EC47">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348ED12E">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1144A4C7">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5F8E4D37">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7D0C451C">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332F6DA3">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155C71C1">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45FA5D39">
      <w:pPr>
        <w:jc w:val="center"/>
        <w:rPr>
          <w:rFonts w:hint="eastAsia" w:ascii="黑体" w:hAnsi="黑体" w:eastAsia="黑体"/>
          <w:sz w:val="32"/>
          <w:szCs w:val="32"/>
          <w:highlight w:val="none"/>
        </w:rPr>
      </w:pPr>
    </w:p>
    <w:p w14:paraId="656866CB">
      <w:pPr>
        <w:jc w:val="center"/>
        <w:rPr>
          <w:rFonts w:hint="eastAsia" w:ascii="黑体" w:hAnsi="黑体" w:eastAsia="黑体"/>
          <w:sz w:val="32"/>
          <w:szCs w:val="32"/>
          <w:highlight w:val="none"/>
        </w:rPr>
      </w:pPr>
    </w:p>
    <w:p w14:paraId="19ED02F5">
      <w:pPr>
        <w:jc w:val="center"/>
        <w:rPr>
          <w:rFonts w:hint="eastAsia" w:ascii="黑体" w:hAnsi="黑体" w:eastAsia="黑体"/>
          <w:sz w:val="32"/>
          <w:szCs w:val="32"/>
          <w:highlight w:val="none"/>
        </w:rPr>
      </w:pPr>
    </w:p>
    <w:p w14:paraId="7D3B9CED">
      <w:pPr>
        <w:jc w:val="center"/>
        <w:rPr>
          <w:rFonts w:hint="eastAsia" w:ascii="黑体" w:hAnsi="黑体" w:eastAsia="黑体"/>
          <w:sz w:val="32"/>
          <w:szCs w:val="32"/>
          <w:highlight w:val="none"/>
        </w:rPr>
      </w:pPr>
    </w:p>
    <w:p w14:paraId="5177AC1F">
      <w:pPr>
        <w:jc w:val="center"/>
        <w:rPr>
          <w:rFonts w:hint="eastAsia" w:ascii="黑体" w:hAnsi="黑体" w:eastAsia="黑体"/>
          <w:sz w:val="32"/>
          <w:szCs w:val="32"/>
          <w:highlight w:val="none"/>
        </w:rPr>
      </w:pPr>
    </w:p>
    <w:p w14:paraId="3B93A24E">
      <w:pPr>
        <w:jc w:val="center"/>
        <w:rPr>
          <w:rFonts w:hint="eastAsia" w:ascii="黑体" w:hAnsi="黑体" w:eastAsia="黑体"/>
          <w:sz w:val="32"/>
          <w:szCs w:val="32"/>
          <w:highlight w:val="none"/>
        </w:rPr>
      </w:pPr>
    </w:p>
    <w:p w14:paraId="10D79852">
      <w:pPr>
        <w:jc w:val="center"/>
        <w:rPr>
          <w:rFonts w:hint="eastAsia" w:ascii="黑体" w:hAnsi="黑体" w:eastAsia="黑体"/>
          <w:sz w:val="32"/>
          <w:szCs w:val="32"/>
          <w:highlight w:val="none"/>
        </w:rPr>
      </w:pPr>
    </w:p>
    <w:p w14:paraId="69A6E18E">
      <w:pPr>
        <w:jc w:val="both"/>
        <w:rPr>
          <w:rFonts w:hint="eastAsia" w:ascii="黑体" w:hAnsi="黑体" w:eastAsia="黑体"/>
          <w:sz w:val="32"/>
          <w:szCs w:val="32"/>
          <w:highlight w:val="none"/>
        </w:rPr>
      </w:pPr>
    </w:p>
    <w:p w14:paraId="344968B0">
      <w:pPr>
        <w:keepNext w:val="0"/>
        <w:keepLines w:val="0"/>
        <w:pageBreakBefore w:val="0"/>
        <w:widowControl w:val="0"/>
        <w:kinsoku/>
        <w:wordWrap/>
        <w:overflowPunct/>
        <w:topLinePunct w:val="0"/>
        <w:autoSpaceDE/>
        <w:autoSpaceDN/>
        <w:bidi w:val="0"/>
        <w:spacing w:line="600" w:lineRule="exact"/>
        <w:ind w:left="0" w:leftChars="0" w:right="0" w:rightChars="0"/>
        <w:jc w:val="center"/>
        <w:textAlignment w:val="auto"/>
        <w:outlineLvl w:val="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 xml:space="preserve">第一部分  </w:t>
      </w:r>
      <w:r>
        <w:rPr>
          <w:rFonts w:hint="eastAsia" w:ascii="黑体" w:hAnsi="黑体" w:eastAsia="黑体"/>
          <w:color w:val="auto"/>
          <w:sz w:val="32"/>
          <w:szCs w:val="32"/>
          <w:highlight w:val="none"/>
          <w:lang w:eastAsia="zh-CN"/>
        </w:rPr>
        <w:t>单位</w:t>
      </w:r>
      <w:r>
        <w:rPr>
          <w:rFonts w:hint="eastAsia" w:ascii="黑体" w:hAnsi="黑体" w:eastAsia="黑体"/>
          <w:color w:val="auto"/>
          <w:sz w:val="32"/>
          <w:szCs w:val="32"/>
          <w:highlight w:val="none"/>
        </w:rPr>
        <w:t>概况</w:t>
      </w:r>
    </w:p>
    <w:p w14:paraId="10B1134E">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1"/>
        <w:rPr>
          <w:rFonts w:hint="eastAsia" w:ascii="黑体" w:hAnsi="黑体" w:eastAsia="黑体"/>
          <w:color w:val="auto"/>
          <w:sz w:val="30"/>
          <w:szCs w:val="30"/>
          <w:highlight w:val="none"/>
          <w:lang w:eastAsia="zh-CN"/>
        </w:rPr>
      </w:pPr>
      <w:r>
        <w:rPr>
          <w:rFonts w:hint="eastAsia" w:ascii="黑体" w:hAnsi="黑体" w:eastAsia="黑体"/>
          <w:color w:val="auto"/>
          <w:sz w:val="30"/>
          <w:szCs w:val="30"/>
          <w:highlight w:val="none"/>
        </w:rPr>
        <w:t>一、主要</w:t>
      </w:r>
      <w:r>
        <w:rPr>
          <w:rFonts w:hint="eastAsia" w:ascii="黑体" w:hAnsi="黑体" w:eastAsia="黑体"/>
          <w:color w:val="auto"/>
          <w:sz w:val="30"/>
          <w:szCs w:val="30"/>
          <w:highlight w:val="none"/>
          <w:lang w:eastAsia="zh-CN"/>
        </w:rPr>
        <w:t>职责</w:t>
      </w:r>
    </w:p>
    <w:p w14:paraId="09679D4D">
      <w:pPr>
        <w:pStyle w:val="4"/>
        <w:keepNext w:val="0"/>
        <w:keepLines w:val="0"/>
        <w:pageBreakBefore w:val="0"/>
        <w:widowControl w:val="0"/>
        <w:kinsoku/>
        <w:wordWrap/>
        <w:overflowPunct/>
        <w:topLinePunct w:val="0"/>
        <w:autoSpaceDE/>
        <w:autoSpaceDN/>
        <w:bidi w:val="0"/>
        <w:adjustRightInd w:val="0"/>
        <w:snapToGrid w:val="0"/>
        <w:spacing w:before="0" w:beforeLines="0" w:line="600" w:lineRule="exact"/>
        <w:ind w:left="0" w:leftChars="0" w:right="0" w:rightChars="0" w:firstLine="600" w:firstLineChars="200"/>
        <w:jc w:val="both"/>
        <w:textAlignment w:val="auto"/>
        <w:rPr>
          <w:rFonts w:hint="eastAsia"/>
          <w:bCs/>
          <w:color w:val="auto"/>
          <w:szCs w:val="30"/>
          <w:highlight w:val="none"/>
          <w:lang w:eastAsia="zh-CN"/>
        </w:rPr>
      </w:pPr>
      <w:r>
        <w:rPr>
          <w:rFonts w:hint="eastAsia"/>
          <w:bCs/>
          <w:color w:val="auto"/>
          <w:szCs w:val="30"/>
          <w:highlight w:val="none"/>
          <w:lang w:eastAsia="zh-CN"/>
        </w:rPr>
        <w:t>1.根据土地利用和总体规划、城镇规划和城区开发改造计划，制定土地储备计划；</w:t>
      </w:r>
    </w:p>
    <w:p w14:paraId="1ADB1D00">
      <w:pPr>
        <w:pStyle w:val="4"/>
        <w:keepNext w:val="0"/>
        <w:keepLines w:val="0"/>
        <w:pageBreakBefore w:val="0"/>
        <w:widowControl w:val="0"/>
        <w:kinsoku/>
        <w:wordWrap/>
        <w:overflowPunct/>
        <w:topLinePunct w:val="0"/>
        <w:autoSpaceDE/>
        <w:autoSpaceDN/>
        <w:bidi w:val="0"/>
        <w:adjustRightInd w:val="0"/>
        <w:snapToGrid w:val="0"/>
        <w:spacing w:before="0" w:beforeLines="0" w:line="600" w:lineRule="exact"/>
        <w:ind w:left="0" w:leftChars="0" w:right="0" w:rightChars="0" w:firstLine="600" w:firstLineChars="200"/>
        <w:jc w:val="both"/>
        <w:textAlignment w:val="auto"/>
        <w:rPr>
          <w:rFonts w:hint="eastAsia"/>
          <w:bCs/>
          <w:color w:val="auto"/>
          <w:szCs w:val="30"/>
          <w:highlight w:val="none"/>
          <w:lang w:eastAsia="zh-CN"/>
        </w:rPr>
      </w:pPr>
      <w:r>
        <w:rPr>
          <w:rFonts w:hint="eastAsia"/>
          <w:bCs/>
          <w:color w:val="auto"/>
          <w:szCs w:val="30"/>
          <w:highlight w:val="none"/>
          <w:lang w:eastAsia="zh-CN"/>
        </w:rPr>
        <w:t>2.对城镇规划区范围内需盘活的存量土地、旧城区改造的国有土地和依法收回的违法用地、闲置土地、待征土地及无主地给予安置补偿后，进行收购储备；</w:t>
      </w:r>
    </w:p>
    <w:p w14:paraId="6CEA1A7F">
      <w:pPr>
        <w:pStyle w:val="4"/>
        <w:keepNext w:val="0"/>
        <w:keepLines w:val="0"/>
        <w:pageBreakBefore w:val="0"/>
        <w:widowControl w:val="0"/>
        <w:kinsoku/>
        <w:wordWrap/>
        <w:overflowPunct/>
        <w:topLinePunct w:val="0"/>
        <w:autoSpaceDE/>
        <w:autoSpaceDN/>
        <w:bidi w:val="0"/>
        <w:adjustRightInd w:val="0"/>
        <w:snapToGrid w:val="0"/>
        <w:spacing w:before="0" w:beforeLines="0" w:line="600" w:lineRule="exact"/>
        <w:ind w:left="0" w:leftChars="0" w:right="0" w:rightChars="0" w:firstLine="600" w:firstLineChars="200"/>
        <w:jc w:val="both"/>
        <w:textAlignment w:val="auto"/>
        <w:rPr>
          <w:rFonts w:hint="eastAsia"/>
          <w:bCs/>
          <w:color w:val="auto"/>
          <w:szCs w:val="30"/>
          <w:highlight w:val="none"/>
          <w:lang w:eastAsia="zh-CN"/>
        </w:rPr>
      </w:pPr>
      <w:r>
        <w:rPr>
          <w:rFonts w:hint="eastAsia"/>
          <w:bCs/>
          <w:color w:val="auto"/>
          <w:szCs w:val="30"/>
          <w:highlight w:val="none"/>
          <w:lang w:eastAsia="zh-CN"/>
        </w:rPr>
        <w:t>3.根据土地利用总体规划、城镇规划及市场需求，适当储备新增建设用地，增强政府对土地供应的调控力度；</w:t>
      </w:r>
    </w:p>
    <w:p w14:paraId="347AFBA9">
      <w:pPr>
        <w:pStyle w:val="4"/>
        <w:keepNext w:val="0"/>
        <w:keepLines w:val="0"/>
        <w:pageBreakBefore w:val="0"/>
        <w:widowControl w:val="0"/>
        <w:kinsoku/>
        <w:wordWrap/>
        <w:overflowPunct/>
        <w:topLinePunct w:val="0"/>
        <w:autoSpaceDE/>
        <w:autoSpaceDN/>
        <w:bidi w:val="0"/>
        <w:adjustRightInd w:val="0"/>
        <w:snapToGrid w:val="0"/>
        <w:spacing w:before="0" w:beforeLines="0" w:line="600" w:lineRule="exact"/>
        <w:ind w:left="0" w:leftChars="0" w:right="0" w:rightChars="0" w:firstLine="600" w:firstLineChars="200"/>
        <w:jc w:val="both"/>
        <w:textAlignment w:val="auto"/>
        <w:rPr>
          <w:rFonts w:hint="eastAsia"/>
          <w:bCs/>
          <w:color w:val="auto"/>
          <w:szCs w:val="30"/>
          <w:highlight w:val="none"/>
          <w:lang w:eastAsia="zh-CN"/>
        </w:rPr>
      </w:pPr>
      <w:r>
        <w:rPr>
          <w:rFonts w:hint="eastAsia"/>
          <w:bCs/>
          <w:color w:val="auto"/>
          <w:szCs w:val="30"/>
          <w:highlight w:val="none"/>
          <w:lang w:eastAsia="zh-CN"/>
        </w:rPr>
        <w:t>4.在市土地储备中心的指导、监督下，加强与各部门配合，管理、运作土地储备；</w:t>
      </w:r>
    </w:p>
    <w:p w14:paraId="125E4BB2">
      <w:pPr>
        <w:pStyle w:val="4"/>
        <w:keepNext w:val="0"/>
        <w:keepLines w:val="0"/>
        <w:pageBreakBefore w:val="0"/>
        <w:widowControl w:val="0"/>
        <w:kinsoku/>
        <w:wordWrap/>
        <w:overflowPunct/>
        <w:topLinePunct w:val="0"/>
        <w:autoSpaceDE/>
        <w:autoSpaceDN/>
        <w:bidi w:val="0"/>
        <w:adjustRightInd w:val="0"/>
        <w:snapToGrid w:val="0"/>
        <w:spacing w:before="0" w:beforeLines="0" w:line="600" w:lineRule="exact"/>
        <w:ind w:left="0" w:leftChars="0" w:right="0" w:rightChars="0" w:firstLine="600" w:firstLineChars="200"/>
        <w:jc w:val="both"/>
        <w:textAlignment w:val="auto"/>
        <w:rPr>
          <w:rFonts w:hint="eastAsia"/>
          <w:bCs/>
          <w:color w:val="auto"/>
          <w:szCs w:val="30"/>
          <w:highlight w:val="none"/>
          <w:lang w:eastAsia="zh-CN"/>
        </w:rPr>
      </w:pPr>
      <w:r>
        <w:rPr>
          <w:rFonts w:hint="eastAsia"/>
          <w:bCs/>
          <w:color w:val="auto"/>
          <w:szCs w:val="30"/>
          <w:highlight w:val="none"/>
          <w:lang w:eastAsia="zh-CN"/>
        </w:rPr>
        <w:t>5.进行收购储备资金的测算、平衡，开展储备土地的前期开发、招商洽谈、出让、招标、拍卖及挂牌出让前期准备工作；</w:t>
      </w:r>
    </w:p>
    <w:p w14:paraId="57A0BE7B">
      <w:pPr>
        <w:pStyle w:val="4"/>
        <w:keepNext w:val="0"/>
        <w:keepLines w:val="0"/>
        <w:pageBreakBefore w:val="0"/>
        <w:widowControl w:val="0"/>
        <w:kinsoku/>
        <w:wordWrap/>
        <w:overflowPunct/>
        <w:topLinePunct w:val="0"/>
        <w:autoSpaceDE/>
        <w:autoSpaceDN/>
        <w:bidi w:val="0"/>
        <w:adjustRightInd w:val="0"/>
        <w:snapToGrid w:val="0"/>
        <w:spacing w:before="0" w:beforeLines="0" w:line="600" w:lineRule="exact"/>
        <w:ind w:left="0" w:leftChars="0" w:right="0" w:rightChars="0" w:firstLine="600" w:firstLineChars="200"/>
        <w:jc w:val="both"/>
        <w:textAlignment w:val="auto"/>
        <w:rPr>
          <w:rFonts w:hint="eastAsia"/>
          <w:bCs/>
          <w:color w:val="auto"/>
          <w:szCs w:val="30"/>
          <w:highlight w:val="none"/>
        </w:rPr>
      </w:pPr>
      <w:r>
        <w:rPr>
          <w:rFonts w:hint="eastAsia"/>
          <w:bCs/>
          <w:color w:val="auto"/>
          <w:szCs w:val="30"/>
          <w:highlight w:val="none"/>
          <w:lang w:eastAsia="zh-CN"/>
        </w:rPr>
        <w:t>6.制定土地储备方案，报土地储备审批。</w:t>
      </w:r>
    </w:p>
    <w:p w14:paraId="2420F45C">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二、基本情况</w:t>
      </w:r>
    </w:p>
    <w:p w14:paraId="5BD8082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（一）机构设置情况</w:t>
      </w:r>
    </w:p>
    <w:p w14:paraId="573CFB7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2"/>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我单位共设置3个内设机构，包括：办公室、交易股、收储股，所属单位0个。</w:t>
      </w:r>
    </w:p>
    <w:p w14:paraId="6411A930">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2"/>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我单位为基层预算单位，无下属单位。</w:t>
      </w:r>
    </w:p>
    <w:p w14:paraId="7E42BA1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lang w:eastAsia="zh-CN"/>
        </w:rPr>
        <w:t>（二）</w:t>
      </w:r>
      <w:r>
        <w:rPr>
          <w:rFonts w:hint="eastAsia" w:ascii="楷体" w:hAnsi="楷体" w:eastAsia="楷体"/>
          <w:color w:val="auto"/>
          <w:sz w:val="30"/>
          <w:szCs w:val="30"/>
          <w:highlight w:val="none"/>
        </w:rPr>
        <w:t>决算单位构成</w:t>
      </w:r>
    </w:p>
    <w:p w14:paraId="7A47DB9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2"/>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eastAsia="zh-CN"/>
        </w:rPr>
        <w:t>我单位作为华宁县自然资源局的二级预算单位纳入202</w:t>
      </w:r>
      <w:r>
        <w:rPr>
          <w:rFonts w:hint="eastAsia" w:ascii="仿宋_GB2312" w:eastAsia="仿宋_GB2312"/>
          <w:color w:val="auto"/>
          <w:sz w:val="30"/>
          <w:szCs w:val="30"/>
          <w:highlight w:val="none"/>
          <w:lang w:val="en-US" w:eastAsia="zh-CN"/>
        </w:rPr>
        <w:t>5</w:t>
      </w:r>
      <w:r>
        <w:rPr>
          <w:rFonts w:hint="eastAsia" w:ascii="仿宋_GB2312" w:eastAsia="仿宋_GB2312"/>
          <w:color w:val="auto"/>
          <w:sz w:val="30"/>
          <w:szCs w:val="30"/>
          <w:highlight w:val="none"/>
          <w:lang w:eastAsia="zh-CN"/>
        </w:rPr>
        <w:t>年度部门决算编报范围。</w:t>
      </w:r>
    </w:p>
    <w:p w14:paraId="55013045">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w:t>
      </w:r>
      <w:r>
        <w:rPr>
          <w:rFonts w:hint="eastAsia" w:ascii="楷体" w:hAnsi="楷体" w:eastAsia="楷体"/>
          <w:color w:val="auto"/>
          <w:sz w:val="30"/>
          <w:szCs w:val="30"/>
          <w:highlight w:val="none"/>
          <w:lang w:eastAsia="zh-CN"/>
        </w:rPr>
        <w:t>三</w:t>
      </w:r>
      <w:r>
        <w:rPr>
          <w:rFonts w:hint="eastAsia" w:ascii="楷体" w:hAnsi="楷体" w:eastAsia="楷体"/>
          <w:color w:val="auto"/>
          <w:sz w:val="30"/>
          <w:szCs w:val="30"/>
          <w:highlight w:val="none"/>
        </w:rPr>
        <w:t>）</w:t>
      </w:r>
      <w:r>
        <w:rPr>
          <w:rFonts w:hint="eastAsia" w:ascii="楷体" w:hAnsi="楷体" w:eastAsia="楷体"/>
          <w:color w:val="auto"/>
          <w:sz w:val="30"/>
          <w:szCs w:val="30"/>
          <w:highlight w:val="none"/>
          <w:lang w:eastAsia="zh-CN"/>
        </w:rPr>
        <w:t>单位</w:t>
      </w:r>
      <w:r>
        <w:rPr>
          <w:rFonts w:hint="eastAsia" w:ascii="楷体" w:hAnsi="楷体" w:eastAsia="楷体"/>
          <w:color w:val="auto"/>
          <w:sz w:val="30"/>
          <w:szCs w:val="30"/>
          <w:highlight w:val="none"/>
        </w:rPr>
        <w:t xml:space="preserve">人员和车辆的编制及实有情况 </w:t>
      </w:r>
    </w:p>
    <w:p w14:paraId="37749AB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lang w:eastAsia="zh-CN"/>
        </w:rPr>
        <w:t>我单位</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rPr>
        <w:t>年末</w:t>
      </w:r>
      <w:r>
        <w:rPr>
          <w:rFonts w:hint="eastAsia" w:ascii="仿宋_GB2312" w:eastAsia="仿宋_GB2312"/>
          <w:color w:val="auto"/>
          <w:sz w:val="30"/>
          <w:szCs w:val="30"/>
          <w:highlight w:val="none"/>
          <w:lang w:eastAsia="zh-CN"/>
        </w:rPr>
        <w:t>编制内</w:t>
      </w:r>
      <w:r>
        <w:rPr>
          <w:rFonts w:hint="eastAsia" w:ascii="仿宋_GB2312" w:eastAsia="仿宋_GB2312"/>
          <w:color w:val="auto"/>
          <w:sz w:val="30"/>
          <w:szCs w:val="30"/>
          <w:highlight w:val="none"/>
        </w:rPr>
        <w:t>实有人员</w:t>
      </w:r>
      <w:r>
        <w:rPr>
          <w:rFonts w:hint="eastAsia" w:ascii="仿宋_GB2312" w:hAnsi="仿宋_GB2312" w:eastAsia="仿宋_GB2312" w:cs="仿宋_GB2312"/>
          <w:color w:val="auto"/>
          <w:sz w:val="30"/>
          <w:szCs w:val="30"/>
          <w:lang w:val="en-US" w:eastAsia="zh-CN"/>
        </w:rPr>
        <w:t>5</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（调出</w:t>
      </w:r>
      <w:r>
        <w:rPr>
          <w:rFonts w:hint="eastAsia" w:ascii="仿宋_GB2312" w:hAnsi="宋体" w:eastAsia="仿宋_GB2312" w:cs="Arial"/>
          <w:color w:val="auto"/>
          <w:kern w:val="0"/>
          <w:sz w:val="30"/>
          <w:szCs w:val="30"/>
          <w:highlight w:val="none"/>
          <w:lang w:val="en-US" w:eastAsia="zh-CN"/>
        </w:rPr>
        <w:t>2人，又招考2人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b w:val="0"/>
          <w:bCs w:val="0"/>
          <w:color w:val="auto"/>
          <w:kern w:val="0"/>
          <w:sz w:val="30"/>
          <w:szCs w:val="30"/>
          <w:highlight w:val="none"/>
          <w:lang w:eastAsia="zh-CN"/>
        </w:rPr>
        <w:t>包括</w:t>
      </w:r>
      <w:r>
        <w:rPr>
          <w:rFonts w:hint="eastAsia" w:ascii="仿宋_GB2312" w:hAnsi="宋体" w:eastAsia="仿宋_GB2312" w:cs="Arial"/>
          <w:color w:val="auto"/>
          <w:kern w:val="0"/>
          <w:sz w:val="30"/>
          <w:szCs w:val="30"/>
          <w:highlight w:val="none"/>
          <w:lang w:eastAsia="zh-CN"/>
        </w:rPr>
        <w:t>财政拨款开支经费的</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5</w:t>
      </w:r>
      <w:r>
        <w:rPr>
          <w:rFonts w:hint="eastAsia" w:ascii="仿宋_GB2312" w:hAnsi="宋体" w:eastAsia="仿宋_GB2312" w:cs="Arial"/>
          <w:color w:val="auto"/>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p>
    <w:p w14:paraId="4493B525">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val="en-US" w:eastAsia="zh-CN"/>
        </w:rPr>
      </w:pPr>
      <w:r>
        <w:rPr>
          <w:rFonts w:hint="eastAsia" w:ascii="仿宋_GB2312" w:eastAsia="仿宋_GB2312"/>
          <w:color w:val="auto"/>
          <w:sz w:val="30"/>
          <w:szCs w:val="30"/>
          <w:highlight w:val="none"/>
          <w:lang w:eastAsia="zh-CN"/>
        </w:rPr>
        <w:t>我单位</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rPr>
        <w:t>年末</w:t>
      </w:r>
      <w:r>
        <w:rPr>
          <w:rFonts w:hint="eastAsia" w:ascii="仿宋_GB2312" w:eastAsia="仿宋_GB2312"/>
          <w:color w:val="auto"/>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color w:val="auto"/>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color w:val="auto"/>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color w:val="auto"/>
          <w:sz w:val="30"/>
          <w:szCs w:val="30"/>
          <w:highlight w:val="none"/>
          <w:lang w:eastAsia="zh-CN"/>
        </w:rPr>
        <w:t>人。</w:t>
      </w:r>
    </w:p>
    <w:p w14:paraId="2E4CFB7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color w:val="auto"/>
          <w:kern w:val="0"/>
          <w:sz w:val="30"/>
          <w:szCs w:val="30"/>
          <w:highlight w:val="none"/>
        </w:rPr>
        <w:t>退休人员</w:t>
      </w:r>
      <w:r>
        <w:rPr>
          <w:rFonts w:hint="eastAsia" w:ascii="仿宋_GB2312" w:hAnsi="宋体" w:eastAsia="仿宋_GB2312" w:cs="Arial"/>
          <w:i w:val="0"/>
          <w:iCs w:val="0"/>
          <w:color w:val="auto"/>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）。年末</w:t>
      </w:r>
      <w:r>
        <w:rPr>
          <w:rFonts w:hint="eastAsia" w:ascii="仿宋_GB2312" w:hAnsi="宋体" w:eastAsia="仿宋_GB2312" w:cs="Arial"/>
          <w:color w:val="auto"/>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lang w:val="en-US" w:eastAsia="zh-CN"/>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w:t>
      </w:r>
    </w:p>
    <w:p w14:paraId="248DE90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b w:val="0"/>
          <w:bCs w:val="0"/>
          <w:color w:val="auto"/>
          <w:sz w:val="30"/>
          <w:szCs w:val="30"/>
          <w:highlight w:val="none"/>
          <w:u w:val="none"/>
          <w:lang w:val="en-US" w:eastAsia="zh-CN"/>
        </w:rPr>
        <w:t>车辆编制0辆，在编实有车辆0辆，超编0辆。</w:t>
      </w:r>
    </w:p>
    <w:p w14:paraId="1C69A40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1"/>
        <w:rPr>
          <w:rFonts w:hint="eastAsia" w:ascii="黑体" w:hAnsi="黑体" w:eastAsia="黑体"/>
          <w:color w:val="auto"/>
          <w:sz w:val="30"/>
          <w:szCs w:val="30"/>
          <w:highlight w:val="none"/>
          <w:lang w:eastAsia="zh-CN"/>
        </w:rPr>
      </w:pPr>
      <w:r>
        <w:rPr>
          <w:rFonts w:hint="eastAsia" w:ascii="黑体" w:hAnsi="黑体" w:eastAsia="黑体"/>
          <w:color w:val="auto"/>
          <w:sz w:val="30"/>
          <w:szCs w:val="30"/>
          <w:highlight w:val="none"/>
          <w:lang w:eastAsia="zh-CN"/>
        </w:rPr>
        <w:t>三、重点工作概述</w:t>
      </w:r>
    </w:p>
    <w:p w14:paraId="3FACDD0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9"/>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lang w:val="en-US" w:eastAsia="zh-CN"/>
        </w:rPr>
        <w:t>1.</w:t>
      </w:r>
      <w:r>
        <w:rPr>
          <w:rFonts w:hint="eastAsia" w:ascii="仿宋_GB2312" w:hAnsi="仿宋_GB2312" w:eastAsia="仿宋_GB2312" w:cs="仿宋_GB2312"/>
          <w:color w:val="auto"/>
          <w:sz w:val="30"/>
          <w:szCs w:val="30"/>
          <w:highlight w:val="none"/>
        </w:rPr>
        <w:t>用地保障能力显著增强。收储土地6455.88亩，供应土地5675.12亩，处置批而未供土地超5000亩、闲置土地超1054.86亩；全力保障澄华高速、滇中引水、光伏风电等重大项目用地，工业园区“标准地”供应实现常态化。</w:t>
      </w:r>
    </w:p>
    <w:p w14:paraId="7176876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9"/>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lang w:val="en-US" w:eastAsia="zh-CN"/>
        </w:rPr>
        <w:t>2.</w:t>
      </w:r>
      <w:r>
        <w:rPr>
          <w:rFonts w:hint="eastAsia" w:ascii="仿宋_GB2312" w:hAnsi="仿宋_GB2312" w:eastAsia="仿宋_GB2312" w:cs="仿宋_GB2312"/>
          <w:color w:val="auto"/>
          <w:sz w:val="30"/>
          <w:szCs w:val="30"/>
          <w:highlight w:val="none"/>
        </w:rPr>
        <w:t>土地节约集约与用地保障扎实推进。批而未供土地处置面积372.0645亩，处置率达30.93%；闲置土地处置4宗（面积69.207亩），处置率22.76%，均按期完成处置任务。新增盘溪化工园区北片区土地收储项目（459.3亩，总投资约2.69亿元）纳入2025年第一批次城镇建设用地报批计划。</w:t>
      </w:r>
    </w:p>
    <w:p w14:paraId="42A7BF8E">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outlineLvl w:val="9"/>
        <w:rPr>
          <w:rFonts w:hint="eastAsia" w:ascii="方正仿宋_GBK" w:hAnsi="方正仿宋_GBK" w:eastAsia="方正仿宋_GBK" w:cs="方正仿宋_GBK"/>
          <w:color w:val="auto"/>
          <w:sz w:val="30"/>
          <w:szCs w:val="30"/>
          <w:highlight w:val="none"/>
        </w:rPr>
      </w:pPr>
      <w:r>
        <w:rPr>
          <w:rFonts w:hint="eastAsia" w:ascii="仿宋_GB2312" w:hAnsi="仿宋_GB2312" w:eastAsia="仿宋_GB2312" w:cs="仿宋_GB2312"/>
          <w:color w:val="auto"/>
          <w:sz w:val="30"/>
          <w:szCs w:val="30"/>
          <w:highlight w:val="none"/>
          <w:lang w:val="en-US" w:eastAsia="zh-CN"/>
        </w:rPr>
        <w:t>3.</w:t>
      </w:r>
      <w:r>
        <w:rPr>
          <w:rFonts w:hint="eastAsia" w:ascii="仿宋_GB2312" w:hAnsi="仿宋_GB2312" w:eastAsia="仿宋_GB2312" w:cs="仿宋_GB2312"/>
          <w:color w:val="auto"/>
          <w:sz w:val="30"/>
          <w:szCs w:val="30"/>
          <w:highlight w:val="none"/>
        </w:rPr>
        <w:t>土地储备专项债券项目有序推进。申报2个土地储备专项债券项目，资金需求总额6900万元。</w:t>
      </w:r>
    </w:p>
    <w:p w14:paraId="11600FF4">
      <w:pPr>
        <w:keepNext w:val="0"/>
        <w:keepLines w:val="0"/>
        <w:pageBreakBefore w:val="0"/>
        <w:widowControl w:val="0"/>
        <w:kinsoku/>
        <w:wordWrap/>
        <w:overflowPunct/>
        <w:topLinePunct w:val="0"/>
        <w:autoSpaceDE/>
        <w:autoSpaceDN/>
        <w:bidi w:val="0"/>
        <w:spacing w:line="600" w:lineRule="exact"/>
        <w:ind w:left="0" w:leftChars="0" w:right="0" w:rightChars="0" w:firstLine="600" w:firstLineChars="200"/>
        <w:jc w:val="left"/>
        <w:textAlignment w:val="auto"/>
        <w:rPr>
          <w:rFonts w:hint="eastAsia" w:ascii="仿宋_GB2312" w:hAnsi="宋体" w:eastAsia="仿宋_GB2312" w:cs="Arial"/>
          <w:color w:val="auto"/>
          <w:kern w:val="0"/>
          <w:sz w:val="30"/>
          <w:szCs w:val="30"/>
          <w:highlight w:val="none"/>
        </w:rPr>
      </w:pPr>
    </w:p>
    <w:p w14:paraId="03514D06">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jc w:val="center"/>
        <w:textAlignment w:val="auto"/>
        <w:outlineLvl w:val="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 xml:space="preserve">第二部分  </w:t>
      </w:r>
      <w:r>
        <w:rPr>
          <w:rFonts w:hint="eastAsia" w:ascii="黑体" w:hAnsi="黑体" w:eastAsia="黑体"/>
          <w:color w:val="auto"/>
          <w:sz w:val="32"/>
          <w:szCs w:val="32"/>
          <w:highlight w:val="none"/>
          <w:lang w:val="en-US" w:eastAsia="zh-CN"/>
        </w:rPr>
        <w:t>2025年度</w:t>
      </w:r>
      <w:r>
        <w:rPr>
          <w:rFonts w:hint="eastAsia" w:ascii="黑体" w:hAnsi="黑体" w:eastAsia="黑体"/>
          <w:color w:val="auto"/>
          <w:sz w:val="32"/>
          <w:szCs w:val="32"/>
          <w:highlight w:val="none"/>
        </w:rPr>
        <w:t>部门决算表</w:t>
      </w:r>
    </w:p>
    <w:p w14:paraId="2C7A285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jc w:val="center"/>
        <w:textAlignment w:val="auto"/>
        <w:outlineLvl w:val="1"/>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（详见附件）</w:t>
      </w:r>
    </w:p>
    <w:p w14:paraId="1F5C7827">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eastAsia="zh-CN"/>
        </w:rPr>
        <w:t>除涉密信息外，《收入决算表》、《支出决算表》、《一般公共预算财政拨款支出决算表》、《政府性基金预算财政拨款收入支出决算表》和《国有资本经营预算财政拨款支出决算表》、应当细化公开到功能分类项级科目，《一般公共预算财政拨款基本支出决算明细表》应当细化公开到经济分类款级科目。没有数据的表格要零报告，即要求公开的表格为空表，要在该部分文档和公开附表中对应的空表备注说明原因并注明为空表。</w:t>
      </w:r>
      <w:r>
        <w:rPr>
          <w:rFonts w:hint="eastAsia" w:ascii="仿宋_GB2312" w:eastAsia="仿宋_GB2312"/>
          <w:b w:val="0"/>
          <w:bCs w:val="0"/>
          <w:color w:val="auto"/>
          <w:sz w:val="30"/>
          <w:szCs w:val="30"/>
          <w:highlight w:val="none"/>
          <w:lang w:eastAsia="zh-CN"/>
        </w:rPr>
        <w:t>例如：</w:t>
      </w:r>
      <w:r>
        <w:rPr>
          <w:rFonts w:hint="eastAsia" w:ascii="仿宋_GB2312" w:eastAsia="仿宋_GB2312"/>
          <w:color w:val="auto"/>
          <w:sz w:val="30"/>
          <w:szCs w:val="30"/>
          <w:highlight w:val="none"/>
          <w:lang w:eastAsia="zh-CN"/>
        </w:rPr>
        <w:t>本单位</w:t>
      </w:r>
      <w:r>
        <w:rPr>
          <w:rFonts w:hint="eastAsia" w:ascii="仿宋_GB2312" w:eastAsia="仿宋_GB2312"/>
          <w:color w:val="auto"/>
          <w:sz w:val="30"/>
          <w:szCs w:val="30"/>
          <w:highlight w:val="none"/>
          <w:lang w:val="en-US" w:eastAsia="zh-CN"/>
        </w:rPr>
        <w:t>2026</w:t>
      </w:r>
      <w:r>
        <w:rPr>
          <w:rFonts w:hint="eastAsia" w:ascii="仿宋_GB2312" w:eastAsia="仿宋_GB2312"/>
          <w:color w:val="auto"/>
          <w:sz w:val="30"/>
          <w:szCs w:val="30"/>
          <w:highlight w:val="none"/>
          <w:lang w:eastAsia="zh-CN"/>
        </w:rPr>
        <w:t>年度无国有资本经营预算财政拨款收入，《国有资本经营预算财政拨款收入支出决算表》为空表。</w:t>
      </w:r>
    </w:p>
    <w:p w14:paraId="62CA88B0">
      <w:pPr>
        <w:keepNext w:val="0"/>
        <w:keepLines w:val="0"/>
        <w:pageBreakBefore w:val="0"/>
        <w:kinsoku/>
        <w:overflowPunct/>
        <w:topLinePunct w:val="0"/>
        <w:autoSpaceDE/>
        <w:autoSpaceDN/>
        <w:bidi w:val="0"/>
        <w:spacing w:line="600" w:lineRule="exact"/>
        <w:ind w:left="0" w:leftChars="0" w:right="0" w:rightChars="0" w:firstLine="600" w:firstLineChars="200"/>
        <w:jc w:val="left"/>
        <w:textAlignment w:val="auto"/>
        <w:rPr>
          <w:rFonts w:hint="eastAsia" w:ascii="仿宋_GB2312" w:eastAsia="仿宋_GB2312"/>
          <w:color w:val="auto"/>
          <w:sz w:val="30"/>
          <w:szCs w:val="30"/>
          <w:highlight w:val="none"/>
          <w:lang w:eastAsia="zh-CN"/>
        </w:rPr>
      </w:pPr>
    </w:p>
    <w:p w14:paraId="6E1682FE">
      <w:pPr>
        <w:keepNext w:val="0"/>
        <w:keepLines w:val="0"/>
        <w:pageBreakBefore w:val="0"/>
        <w:kinsoku/>
        <w:overflowPunct/>
        <w:topLinePunct w:val="0"/>
        <w:autoSpaceDE/>
        <w:autoSpaceDN/>
        <w:bidi w:val="0"/>
        <w:adjustRightInd/>
        <w:spacing w:line="600" w:lineRule="exact"/>
        <w:ind w:left="0" w:leftChars="0" w:right="0" w:rightChars="0"/>
        <w:jc w:val="center"/>
        <w:textAlignment w:val="auto"/>
        <w:outlineLvl w:val="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第三部</w:t>
      </w:r>
      <w:r>
        <w:rPr>
          <w:rFonts w:hint="eastAsia" w:ascii="黑体" w:hAnsi="黑体" w:eastAsia="黑体"/>
          <w:color w:val="auto"/>
          <w:sz w:val="32"/>
          <w:szCs w:val="32"/>
          <w:highlight w:val="none"/>
          <w:lang w:eastAsia="zh-CN"/>
        </w:rPr>
        <w:t>分</w:t>
      </w:r>
      <w:r>
        <w:rPr>
          <w:rFonts w:hint="eastAsia" w:ascii="黑体" w:hAnsi="黑体" w:eastAsia="黑体"/>
          <w:color w:val="auto"/>
          <w:sz w:val="32"/>
          <w:szCs w:val="32"/>
          <w:highlight w:val="none"/>
        </w:rPr>
        <w:t xml:space="preserve">  </w:t>
      </w:r>
      <w:r>
        <w:rPr>
          <w:rFonts w:hint="eastAsia" w:ascii="黑体" w:hAnsi="黑体" w:eastAsia="黑体"/>
          <w:color w:val="auto"/>
          <w:sz w:val="32"/>
          <w:szCs w:val="32"/>
          <w:highlight w:val="none"/>
          <w:lang w:val="en-US" w:eastAsia="zh-CN"/>
        </w:rPr>
        <w:t>2025年度</w:t>
      </w:r>
      <w:r>
        <w:rPr>
          <w:rFonts w:hint="eastAsia" w:ascii="黑体" w:hAnsi="黑体" w:eastAsia="黑体"/>
          <w:color w:val="auto"/>
          <w:sz w:val="32"/>
          <w:szCs w:val="32"/>
          <w:highlight w:val="none"/>
        </w:rPr>
        <w:t>部门决算情况说明</w:t>
      </w:r>
    </w:p>
    <w:p w14:paraId="3F2955E2">
      <w:pPr>
        <w:keepNext w:val="0"/>
        <w:keepLines w:val="0"/>
        <w:pageBreakBefore w:val="0"/>
        <w:kinsoku/>
        <w:overflowPunct/>
        <w:topLinePunct w:val="0"/>
        <w:autoSpaceDE/>
        <w:autoSpaceDN/>
        <w:bidi w:val="0"/>
        <w:adjustRightInd/>
        <w:spacing w:line="600" w:lineRule="exact"/>
        <w:ind w:left="0" w:leftChars="0" w:right="0" w:rightChars="0" w:firstLine="600" w:firstLineChars="200"/>
        <w:jc w:val="both"/>
        <w:textAlignment w:val="auto"/>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一、收入决算情况说明</w:t>
      </w:r>
    </w:p>
    <w:p w14:paraId="03EC3463">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lang w:eastAsia="zh-CN"/>
        </w:rPr>
      </w:pPr>
      <w:r>
        <w:rPr>
          <w:rFonts w:hint="eastAsia" w:ascii="仿宋_GB2312" w:hAnsi="仿宋_GB2312" w:eastAsia="仿宋_GB2312" w:cs="仿宋_GB2312"/>
          <w:color w:val="auto"/>
          <w:sz w:val="30"/>
          <w:lang w:val="zh-CN"/>
        </w:rPr>
        <w:t>华宁县土地储备中心</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收入合计</w:t>
      </w:r>
      <w:r>
        <w:rPr>
          <w:rFonts w:hint="eastAsia" w:ascii="仿宋_GB2312" w:hAnsi="仿宋_GB2312" w:eastAsia="仿宋_GB2312" w:cs="仿宋_GB2312"/>
          <w:color w:val="auto"/>
          <w:sz w:val="30"/>
          <w:lang w:val="zh-CN"/>
        </w:rPr>
        <w:t>11956716.94</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。其中：财政拨款收入</w:t>
      </w:r>
      <w:r>
        <w:rPr>
          <w:rFonts w:hint="eastAsia" w:ascii="仿宋_GB2312" w:hAnsi="仿宋_GB2312" w:eastAsia="仿宋_GB2312" w:cs="仿宋_GB2312"/>
          <w:color w:val="auto"/>
          <w:sz w:val="30"/>
          <w:lang w:val="zh-CN"/>
        </w:rPr>
        <w:t>11956716.94</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100.00</w:t>
      </w:r>
      <w:r>
        <w:rPr>
          <w:rFonts w:hint="eastAsia" w:ascii="仿宋_GB2312" w:eastAsia="仿宋_GB2312"/>
          <w:color w:val="auto"/>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；附属单位</w:t>
      </w:r>
      <w:r>
        <w:rPr>
          <w:rFonts w:hint="eastAsia" w:ascii="仿宋_GB2312" w:eastAsia="仿宋_GB2312"/>
          <w:color w:val="auto"/>
          <w:sz w:val="30"/>
          <w:szCs w:val="30"/>
          <w:highlight w:val="none"/>
          <w:lang w:eastAsia="zh-CN"/>
        </w:rPr>
        <w:t>上缴</w:t>
      </w:r>
      <w:r>
        <w:rPr>
          <w:rFonts w:hint="eastAsia" w:ascii="仿宋_GB2312" w:eastAsia="仿宋_GB2312"/>
          <w:color w:val="auto"/>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；其他收入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p>
    <w:p w14:paraId="4CC8438B">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与上年</w:t>
      </w:r>
      <w:r>
        <w:rPr>
          <w:rFonts w:hint="eastAsia" w:ascii="仿宋_GB2312" w:eastAsia="仿宋_GB2312"/>
          <w:color w:val="auto"/>
          <w:sz w:val="30"/>
          <w:szCs w:val="30"/>
          <w:highlight w:val="none"/>
          <w:lang w:eastAsia="zh-CN"/>
        </w:rPr>
        <w:t>相比，</w:t>
      </w:r>
      <w:r>
        <w:rPr>
          <w:rFonts w:hint="eastAsia" w:ascii="仿宋_GB2312" w:eastAsia="仿宋_GB2312"/>
          <w:color w:val="auto"/>
          <w:sz w:val="30"/>
          <w:szCs w:val="30"/>
          <w:highlight w:val="none"/>
        </w:rPr>
        <w:t>收入合计</w:t>
      </w:r>
      <w:r>
        <w:rPr>
          <w:rFonts w:hint="eastAsia" w:ascii="仿宋_GB2312" w:eastAsia="仿宋_GB2312"/>
          <w:color w:val="auto"/>
          <w:sz w:val="30"/>
          <w:szCs w:val="30"/>
          <w:highlight w:val="none"/>
          <w:lang w:val="en-US" w:eastAsia="zh-CN"/>
        </w:rPr>
        <w:t>减少</w:t>
      </w:r>
      <w:r>
        <w:rPr>
          <w:rFonts w:hint="eastAsia" w:ascii="仿宋_GB2312" w:hAnsi="仿宋_GB2312" w:eastAsia="仿宋_GB2312" w:cs="仿宋_GB2312"/>
          <w:color w:val="auto"/>
          <w:sz w:val="30"/>
          <w:lang w:val="zh-CN"/>
        </w:rPr>
        <w:t>71681325.97</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lang w:val="en-US" w:eastAsia="zh-CN"/>
        </w:rPr>
        <w:t>下降</w:t>
      </w:r>
      <w:r>
        <w:rPr>
          <w:rFonts w:hint="eastAsia" w:ascii="仿宋_GB2312" w:hAnsi="仿宋_GB2312" w:eastAsia="仿宋_GB2312" w:cs="仿宋_GB2312"/>
          <w:color w:val="auto"/>
          <w:sz w:val="30"/>
          <w:lang w:val="zh-CN"/>
        </w:rPr>
        <w:t>85.70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。其中：</w:t>
      </w:r>
      <w:r>
        <w:rPr>
          <w:rFonts w:hint="eastAsia" w:ascii="仿宋_GB2312" w:eastAsia="仿宋_GB2312"/>
          <w:color w:val="auto"/>
          <w:sz w:val="30"/>
          <w:szCs w:val="30"/>
          <w:highlight w:val="none"/>
        </w:rPr>
        <w:t>财政拨款收入</w:t>
      </w:r>
      <w:r>
        <w:rPr>
          <w:rFonts w:hint="eastAsia" w:ascii="仿宋_GB2312" w:eastAsia="仿宋_GB2312"/>
          <w:color w:val="auto"/>
          <w:sz w:val="30"/>
          <w:szCs w:val="30"/>
          <w:highlight w:val="none"/>
          <w:lang w:val="en-US" w:eastAsia="zh-CN"/>
        </w:rPr>
        <w:t>减少</w:t>
      </w:r>
      <w:r>
        <w:rPr>
          <w:rFonts w:hint="eastAsia" w:ascii="仿宋_GB2312" w:hAnsi="仿宋_GB2312" w:eastAsia="仿宋_GB2312" w:cs="仿宋_GB2312"/>
          <w:color w:val="auto"/>
          <w:sz w:val="30"/>
          <w:lang w:val="zh-CN"/>
        </w:rPr>
        <w:t>71681325.97</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lang w:val="en-US" w:eastAsia="zh-CN"/>
        </w:rPr>
        <w:t>下降</w:t>
      </w:r>
      <w:r>
        <w:rPr>
          <w:rFonts w:hint="eastAsia" w:ascii="仿宋_GB2312" w:hAnsi="仿宋_GB2312" w:eastAsia="仿宋_GB2312" w:cs="仿宋_GB2312"/>
          <w:color w:val="auto"/>
          <w:sz w:val="30"/>
          <w:lang w:val="zh-CN"/>
        </w:rPr>
        <w:t>85.70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rPr>
        <w:t>上级补助收入</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元；事业收入增加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元；经营收入增加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元；附属单位上缴收入增加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元；其他收入增加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p>
    <w:p w14:paraId="706AEA01">
      <w:pPr>
        <w:keepNext w:val="0"/>
        <w:keepLines w:val="0"/>
        <w:pageBreakBefore w:val="0"/>
        <w:kinsoku/>
        <w:overflowPunct/>
        <w:topLinePunct w:val="0"/>
        <w:autoSpaceDE/>
        <w:autoSpaceDN/>
        <w:bidi w:val="0"/>
        <w:adjustRightInd/>
        <w:spacing w:line="600" w:lineRule="exact"/>
        <w:ind w:left="0" w:leftChars="0" w:right="0" w:rightChars="0" w:firstLine="600" w:firstLineChars="200"/>
        <w:jc w:val="both"/>
        <w:textAlignment w:val="auto"/>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二、支出决算情况说明</w:t>
      </w:r>
    </w:p>
    <w:p w14:paraId="7A3B8A24">
      <w:pPr>
        <w:keepNext w:val="0"/>
        <w:keepLines w:val="0"/>
        <w:pageBreakBefore w:val="0"/>
        <w:kinsoku/>
        <w:overflowPunct/>
        <w:topLinePunct w:val="0"/>
        <w:autoSpaceDE/>
        <w:autoSpaceDN/>
        <w:bidi w:val="0"/>
        <w:adjustRightInd/>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color w:val="auto"/>
          <w:sz w:val="30"/>
          <w:lang w:val="zh-CN"/>
        </w:rPr>
        <w:t>华宁县土地储备中心</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支出合计</w:t>
      </w:r>
      <w:r>
        <w:rPr>
          <w:rFonts w:hint="eastAsia" w:ascii="仿宋_GB2312" w:hAnsi="仿宋_GB2312" w:eastAsia="仿宋_GB2312" w:cs="仿宋_GB2312"/>
          <w:color w:val="auto"/>
          <w:sz w:val="30"/>
          <w:lang w:val="zh-CN"/>
        </w:rPr>
        <w:t>11956716.94</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。其中：</w:t>
      </w:r>
      <w:r>
        <w:rPr>
          <w:rFonts w:hint="eastAsia" w:ascii="仿宋_GB2312" w:hAnsi="宋体" w:eastAsia="仿宋_GB2312" w:cs="Arial"/>
          <w:color w:val="auto"/>
          <w:kern w:val="0"/>
          <w:sz w:val="30"/>
          <w:szCs w:val="30"/>
          <w:highlight w:val="none"/>
        </w:rPr>
        <w:t>基本支出</w:t>
      </w:r>
      <w:r>
        <w:rPr>
          <w:rFonts w:hint="eastAsia" w:ascii="仿宋_GB2312" w:hAnsi="仿宋_GB2312" w:eastAsia="仿宋_GB2312" w:cs="仿宋_GB2312"/>
          <w:color w:val="auto"/>
          <w:sz w:val="30"/>
          <w:lang w:val="zh-CN"/>
        </w:rPr>
        <w:t>786442.08</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6.58</w:t>
      </w:r>
      <w:r>
        <w:rPr>
          <w:rFonts w:hint="eastAsia" w:ascii="仿宋_GB2312" w:hAnsi="宋体" w:eastAsia="仿宋_GB2312" w:cs="Arial"/>
          <w:color w:val="auto"/>
          <w:kern w:val="0"/>
          <w:sz w:val="30"/>
          <w:szCs w:val="30"/>
          <w:highlight w:val="none"/>
        </w:rPr>
        <w:t>％；项目支出</w:t>
      </w:r>
      <w:r>
        <w:rPr>
          <w:rFonts w:hint="eastAsia" w:ascii="仿宋_GB2312" w:hAnsi="仿宋_GB2312" w:eastAsia="仿宋_GB2312" w:cs="仿宋_GB2312"/>
          <w:color w:val="auto"/>
          <w:sz w:val="30"/>
          <w:lang w:val="zh-CN"/>
        </w:rPr>
        <w:t>11170274.86</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93.42</w:t>
      </w:r>
      <w:r>
        <w:rPr>
          <w:rFonts w:hint="eastAsia" w:ascii="仿宋_GB2312" w:hAnsi="宋体" w:eastAsia="仿宋_GB2312" w:cs="Arial"/>
          <w:color w:val="auto"/>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p>
    <w:p w14:paraId="6074B648">
      <w:pPr>
        <w:keepNext w:val="0"/>
        <w:keepLines w:val="0"/>
        <w:pageBreakBefore w:val="0"/>
        <w:kinsoku/>
        <w:overflowPunct/>
        <w:topLinePunct w:val="0"/>
        <w:autoSpaceDE/>
        <w:autoSpaceDN/>
        <w:bidi w:val="0"/>
        <w:adjustRightInd/>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与上年</w:t>
      </w:r>
      <w:r>
        <w:rPr>
          <w:rFonts w:hint="eastAsia" w:ascii="仿宋_GB2312" w:eastAsia="仿宋_GB2312"/>
          <w:color w:val="auto"/>
          <w:sz w:val="30"/>
          <w:szCs w:val="30"/>
          <w:highlight w:val="none"/>
          <w:lang w:eastAsia="zh-CN"/>
        </w:rPr>
        <w:t>相比，支出</w:t>
      </w:r>
      <w:r>
        <w:rPr>
          <w:rFonts w:hint="eastAsia" w:ascii="仿宋_GB2312" w:eastAsia="仿宋_GB2312"/>
          <w:color w:val="auto"/>
          <w:sz w:val="30"/>
          <w:szCs w:val="30"/>
          <w:highlight w:val="none"/>
        </w:rPr>
        <w:t>合计</w:t>
      </w:r>
      <w:r>
        <w:rPr>
          <w:rFonts w:hint="eastAsia" w:ascii="仿宋_GB2312" w:eastAsia="仿宋_GB2312"/>
          <w:color w:val="auto"/>
          <w:sz w:val="30"/>
          <w:szCs w:val="30"/>
          <w:highlight w:val="none"/>
          <w:lang w:val="en-US" w:eastAsia="zh-CN"/>
        </w:rPr>
        <w:t>减少</w:t>
      </w:r>
      <w:r>
        <w:rPr>
          <w:rFonts w:hint="eastAsia" w:ascii="仿宋_GB2312" w:hAnsi="仿宋_GB2312" w:eastAsia="仿宋_GB2312" w:cs="仿宋_GB2312"/>
          <w:color w:val="auto"/>
          <w:sz w:val="30"/>
          <w:lang w:val="zh-CN"/>
        </w:rPr>
        <w:t>71681325.97</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lang w:val="en-US" w:eastAsia="zh-CN"/>
        </w:rPr>
        <w:t>下降</w:t>
      </w:r>
      <w:r>
        <w:rPr>
          <w:rFonts w:hint="eastAsia" w:ascii="仿宋_GB2312" w:hAnsi="仿宋_GB2312" w:eastAsia="仿宋_GB2312" w:cs="仿宋_GB2312"/>
          <w:color w:val="auto"/>
          <w:sz w:val="30"/>
          <w:lang w:val="zh-CN"/>
        </w:rPr>
        <w:t>85.70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。其中：</w:t>
      </w:r>
      <w:r>
        <w:rPr>
          <w:rFonts w:hint="eastAsia" w:ascii="仿宋_GB2312" w:hAnsi="宋体" w:eastAsia="仿宋_GB2312" w:cs="Arial"/>
          <w:color w:val="auto"/>
          <w:kern w:val="0"/>
          <w:sz w:val="30"/>
          <w:szCs w:val="30"/>
          <w:highlight w:val="none"/>
        </w:rPr>
        <w:t>基本支出</w:t>
      </w:r>
      <w:r>
        <w:rPr>
          <w:rFonts w:hint="eastAsia" w:ascii="仿宋_GB2312" w:eastAsia="仿宋_GB2312"/>
          <w:color w:val="auto"/>
          <w:sz w:val="30"/>
          <w:szCs w:val="30"/>
          <w:highlight w:val="none"/>
          <w:lang w:val="en-US" w:eastAsia="zh-CN"/>
        </w:rPr>
        <w:t>减少</w:t>
      </w:r>
      <w:r>
        <w:rPr>
          <w:rFonts w:hint="eastAsia" w:ascii="仿宋_GB2312" w:hAnsi="仿宋_GB2312" w:eastAsia="仿宋_GB2312" w:cs="仿宋_GB2312"/>
          <w:color w:val="auto"/>
          <w:sz w:val="30"/>
          <w:lang w:val="zh-CN"/>
        </w:rPr>
        <w:t>36888.88</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lang w:val="en-US" w:eastAsia="zh-CN"/>
        </w:rPr>
        <w:t>下降</w:t>
      </w:r>
      <w:r>
        <w:rPr>
          <w:rFonts w:hint="eastAsia" w:ascii="仿宋_GB2312" w:hAnsi="仿宋_GB2312" w:eastAsia="仿宋_GB2312" w:cs="仿宋_GB2312"/>
          <w:color w:val="auto"/>
          <w:sz w:val="30"/>
          <w:lang w:val="zh-CN"/>
        </w:rPr>
        <w:t>4.48</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；项目支出</w:t>
      </w:r>
      <w:r>
        <w:rPr>
          <w:rFonts w:hint="eastAsia" w:ascii="仿宋_GB2312" w:eastAsia="仿宋_GB2312"/>
          <w:color w:val="auto"/>
          <w:sz w:val="30"/>
          <w:szCs w:val="30"/>
          <w:highlight w:val="none"/>
          <w:lang w:val="en-US" w:eastAsia="zh-CN"/>
        </w:rPr>
        <w:t>减少</w:t>
      </w:r>
      <w:r>
        <w:rPr>
          <w:rFonts w:hint="eastAsia" w:ascii="仿宋_GB2312" w:hAnsi="仿宋_GB2312" w:eastAsia="仿宋_GB2312" w:cs="仿宋_GB2312"/>
          <w:color w:val="auto"/>
          <w:sz w:val="30"/>
          <w:lang w:val="zh-CN"/>
        </w:rPr>
        <w:t>71644437.09</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lang w:val="en-US" w:eastAsia="zh-CN"/>
        </w:rPr>
        <w:t>下降</w:t>
      </w:r>
      <w:r>
        <w:rPr>
          <w:rFonts w:hint="eastAsia" w:ascii="仿宋_GB2312" w:hAnsi="仿宋_GB2312" w:eastAsia="仿宋_GB2312" w:cs="仿宋_GB2312"/>
          <w:color w:val="auto"/>
          <w:sz w:val="30"/>
          <w:lang w:val="zh-CN"/>
        </w:rPr>
        <w:t>86.51</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；上缴上级支出增加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元；经营支出增加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元；对附属单位补助支出增加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主要原因</w:t>
      </w:r>
      <w:r>
        <w:rPr>
          <w:rFonts w:hint="eastAsia" w:ascii="仿宋_GB2312" w:eastAsia="仿宋_GB2312"/>
          <w:color w:val="auto"/>
          <w:sz w:val="30"/>
          <w:szCs w:val="30"/>
          <w:highlight w:val="none"/>
          <w:lang w:eastAsia="zh-CN"/>
        </w:rPr>
        <w:t>是</w:t>
      </w:r>
      <w:r>
        <w:rPr>
          <w:rFonts w:hint="eastAsia" w:ascii="仿宋_GB2312" w:eastAsia="仿宋_GB2312"/>
          <w:color w:val="auto"/>
          <w:sz w:val="30"/>
          <w:szCs w:val="30"/>
          <w:highlight w:val="none"/>
          <w:lang w:val="en-US" w:eastAsia="zh-CN"/>
        </w:rPr>
        <w:t>2025年财政结算土地成本减少</w:t>
      </w:r>
      <w:r>
        <w:rPr>
          <w:rFonts w:hint="eastAsia" w:ascii="仿宋_GB2312" w:eastAsia="仿宋_GB2312"/>
          <w:color w:val="auto"/>
          <w:sz w:val="30"/>
          <w:szCs w:val="30"/>
          <w:highlight w:val="none"/>
        </w:rPr>
        <w:t>。</w:t>
      </w:r>
    </w:p>
    <w:p w14:paraId="141E8118">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（一）基本支出情况</w:t>
      </w:r>
    </w:p>
    <w:p w14:paraId="50F7BDC3">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hAnsi="仿宋_GB2312" w:eastAsia="仿宋_GB2312" w:cs="仿宋_GB2312"/>
          <w:color w:val="auto"/>
          <w:sz w:val="30"/>
          <w:szCs w:val="30"/>
          <w:highlight w:val="none"/>
          <w:lang w:val="en-US" w:eastAsia="zh-CN"/>
        </w:rPr>
        <w:t>2025年度</w:t>
      </w:r>
      <w:r>
        <w:rPr>
          <w:rFonts w:hint="eastAsia" w:ascii="仿宋_GB2312" w:hAnsi="仿宋_GB2312" w:eastAsia="仿宋_GB2312" w:cs="仿宋_GB2312"/>
          <w:color w:val="auto"/>
          <w:sz w:val="30"/>
          <w:szCs w:val="30"/>
          <w:highlight w:val="none"/>
        </w:rPr>
        <w:t>用于保障</w:t>
      </w:r>
      <w:r>
        <w:rPr>
          <w:rFonts w:hint="eastAsia" w:ascii="仿宋_GB2312" w:hAnsi="仿宋_GB2312" w:eastAsia="仿宋_GB2312" w:cs="仿宋_GB2312"/>
          <w:color w:val="auto"/>
          <w:sz w:val="30"/>
          <w:lang w:val="zh-CN"/>
        </w:rPr>
        <w:t>华宁县土地储备中心</w:t>
      </w:r>
      <w:r>
        <w:rPr>
          <w:rFonts w:hint="eastAsia" w:ascii="仿宋_GB2312" w:hAnsi="仿宋_GB2312" w:eastAsia="仿宋_GB2312" w:cs="仿宋_GB2312"/>
          <w:color w:val="auto"/>
          <w:sz w:val="30"/>
          <w:szCs w:val="30"/>
          <w:highlight w:val="none"/>
        </w:rPr>
        <w:t>机构正常运转的日常支出</w:t>
      </w:r>
      <w:r>
        <w:rPr>
          <w:rFonts w:hint="eastAsia" w:ascii="仿宋_GB2312" w:hAnsi="仿宋_GB2312" w:eastAsia="仿宋_GB2312" w:cs="仿宋_GB2312"/>
          <w:color w:val="auto"/>
          <w:sz w:val="30"/>
          <w:lang w:val="zh-CN"/>
        </w:rPr>
        <w:t>786442.08</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highlight w:val="none"/>
          <w:lang w:eastAsia="zh-CN"/>
        </w:rPr>
        <w:t>其中：</w:t>
      </w:r>
      <w:r>
        <w:rPr>
          <w:rFonts w:hint="eastAsia" w:ascii="仿宋_GB2312" w:hAnsi="仿宋_GB2312" w:eastAsia="仿宋_GB2312" w:cs="仿宋_GB2312"/>
          <w:color w:val="auto"/>
          <w:sz w:val="30"/>
          <w:szCs w:val="30"/>
          <w:highlight w:val="none"/>
        </w:rPr>
        <w:t>基本工资、津贴补贴等人员经费支出</w:t>
      </w:r>
      <w:r>
        <w:rPr>
          <w:rFonts w:hint="eastAsia" w:ascii="仿宋_GB2312" w:hAnsi="仿宋_GB2312" w:eastAsia="仿宋_GB2312" w:cs="仿宋_GB2312"/>
          <w:color w:val="auto"/>
          <w:sz w:val="30"/>
          <w:lang w:val="zh-CN"/>
        </w:rPr>
        <w:t>776434.08</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占基本支出的</w:t>
      </w:r>
      <w:r>
        <w:rPr>
          <w:rFonts w:hint="eastAsia" w:ascii="仿宋_GB2312" w:hAnsi="仿宋_GB2312" w:eastAsia="仿宋_GB2312" w:cs="仿宋_GB2312"/>
          <w:color w:val="auto"/>
          <w:sz w:val="30"/>
          <w:lang w:val="zh-CN"/>
        </w:rPr>
        <w:t>98.73</w:t>
      </w:r>
      <w:r>
        <w:rPr>
          <w:rFonts w:hint="eastAsia" w:ascii="仿宋_GB2312" w:hAnsi="仿宋_GB2312" w:eastAsia="仿宋_GB2312" w:cs="仿宋_GB2312"/>
          <w:color w:val="auto"/>
          <w:sz w:val="30"/>
          <w:szCs w:val="30"/>
          <w:highlight w:val="none"/>
        </w:rPr>
        <w:t>％；办公费、印刷费、水电费、办公设备购置等公用经费</w:t>
      </w:r>
      <w:r>
        <w:rPr>
          <w:rFonts w:hint="eastAsia" w:ascii="仿宋_GB2312" w:hAnsi="仿宋_GB2312" w:eastAsia="仿宋_GB2312" w:cs="仿宋_GB2312"/>
          <w:color w:val="auto"/>
          <w:sz w:val="30"/>
          <w:lang w:val="zh-CN"/>
        </w:rPr>
        <w:t>10008.00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占基本支出的</w:t>
      </w:r>
      <w:r>
        <w:rPr>
          <w:rFonts w:hint="eastAsia" w:ascii="仿宋_GB2312" w:hAnsi="仿宋_GB2312" w:eastAsia="仿宋_GB2312" w:cs="仿宋_GB2312"/>
          <w:color w:val="auto"/>
          <w:sz w:val="30"/>
          <w:lang w:val="zh-CN"/>
        </w:rPr>
        <w:t>1.27</w:t>
      </w:r>
      <w:r>
        <w:rPr>
          <w:rFonts w:hint="eastAsia" w:ascii="仿宋_GB2312" w:hAnsi="仿宋_GB2312" w:eastAsia="仿宋_GB2312" w:cs="仿宋_GB2312"/>
          <w:color w:val="auto"/>
          <w:sz w:val="30"/>
          <w:szCs w:val="30"/>
          <w:highlight w:val="none"/>
        </w:rPr>
        <w:t>％。</w:t>
      </w:r>
    </w:p>
    <w:p w14:paraId="42D49967">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（二）项目支出情况</w:t>
      </w:r>
    </w:p>
    <w:p w14:paraId="04B31D41">
      <w:pPr>
        <w:keepNext w:val="0"/>
        <w:keepLines w:val="0"/>
        <w:pageBreakBefore w:val="0"/>
        <w:widowControl/>
        <w:kinsoku/>
        <w:wordWrap w:val="0"/>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用于保障</w:t>
      </w:r>
      <w:r>
        <w:rPr>
          <w:rFonts w:hint="eastAsia" w:ascii="仿宋_GB2312" w:hAnsi="仿宋_GB2312" w:eastAsia="仿宋_GB2312" w:cs="仿宋_GB2312"/>
          <w:color w:val="auto"/>
          <w:sz w:val="30"/>
          <w:lang w:val="zh-CN"/>
        </w:rPr>
        <w:t>华宁县土地储备中心</w:t>
      </w:r>
      <w:r>
        <w:rPr>
          <w:rFonts w:hint="eastAsia" w:ascii="仿宋_GB2312" w:eastAsia="仿宋_GB2312"/>
          <w:color w:val="auto"/>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11170274.86</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p>
    <w:p w14:paraId="16078F90">
      <w:pPr>
        <w:keepNext w:val="0"/>
        <w:keepLines w:val="0"/>
        <w:pageBreakBefore w:val="0"/>
        <w:widowControl/>
        <w:kinsoku/>
        <w:wordWrap w:val="0"/>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征地和拆迁补偿项目经费8744892.5元，主要用于根据经批准的土地补偿和拆迁方案，兑付征地和拆迁补偿费。</w:t>
      </w:r>
    </w:p>
    <w:p w14:paraId="1C334434">
      <w:pPr>
        <w:keepNext w:val="0"/>
        <w:keepLines w:val="0"/>
        <w:pageBreakBefore w:val="0"/>
        <w:widowControl/>
        <w:kinsoku/>
        <w:wordWrap w:val="0"/>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土地开发支出项目经费2161053</w:t>
      </w:r>
      <w:r>
        <w:rPr>
          <w:rFonts w:hint="eastAsia" w:ascii="仿宋_GB2312" w:eastAsia="仿宋_GB2312"/>
          <w:color w:val="auto"/>
          <w:sz w:val="30"/>
          <w:szCs w:val="30"/>
          <w:highlight w:val="none"/>
          <w:lang w:val="en-US" w:eastAsia="zh-CN"/>
        </w:rPr>
        <w:t>.00</w:t>
      </w:r>
      <w:r>
        <w:rPr>
          <w:rFonts w:hint="eastAsia" w:ascii="仿宋_GB2312" w:eastAsia="仿宋_GB2312"/>
          <w:color w:val="auto"/>
          <w:sz w:val="30"/>
          <w:szCs w:val="30"/>
          <w:highlight w:val="none"/>
        </w:rPr>
        <w:t>元，主要用于土地报批时缴纳的费用。</w:t>
      </w:r>
    </w:p>
    <w:p w14:paraId="1E9371F4">
      <w:pPr>
        <w:keepNext w:val="0"/>
        <w:keepLines w:val="0"/>
        <w:pageBreakBefore w:val="0"/>
        <w:widowControl/>
        <w:kinsoku/>
        <w:wordWrap w:val="0"/>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土地出让业务项目经费264329.36</w:t>
      </w:r>
      <w:r>
        <w:rPr>
          <w:rFonts w:hint="eastAsia" w:ascii="仿宋_GB2312" w:eastAsia="仿宋_GB2312"/>
          <w:color w:val="auto"/>
          <w:sz w:val="30"/>
          <w:szCs w:val="30"/>
          <w:highlight w:val="none"/>
          <w:lang w:val="en-US" w:eastAsia="zh-CN"/>
        </w:rPr>
        <w:t>.00</w:t>
      </w:r>
      <w:r>
        <w:rPr>
          <w:rFonts w:hint="eastAsia" w:ascii="仿宋_GB2312" w:eastAsia="仿宋_GB2312"/>
          <w:color w:val="auto"/>
          <w:sz w:val="30"/>
          <w:szCs w:val="30"/>
          <w:highlight w:val="none"/>
        </w:rPr>
        <w:t>元，主要用于支付与征地和拆迁项目有关的管理费用。</w:t>
      </w:r>
    </w:p>
    <w:p w14:paraId="6CD490AD">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三、一般公共预算财政拨款支出决算情况说明</w:t>
      </w:r>
    </w:p>
    <w:p w14:paraId="1CE6CC80">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（一）一般公共预算财政拨款支出决算总体情况</w:t>
      </w:r>
    </w:p>
    <w:p w14:paraId="1E3661DC">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color w:val="auto"/>
          <w:sz w:val="30"/>
          <w:lang w:val="zh-CN"/>
        </w:rPr>
        <w:t>华宁县土地储备中心</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一般公共预算财政拨款支出</w:t>
      </w:r>
      <w:r>
        <w:rPr>
          <w:rFonts w:hint="eastAsia" w:ascii="仿宋_GB2312" w:hAnsi="仿宋_GB2312" w:eastAsia="仿宋_GB2312" w:cs="仿宋_GB2312"/>
          <w:color w:val="auto"/>
          <w:kern w:val="0"/>
          <w:sz w:val="30"/>
          <w:lang w:val="zh-CN"/>
        </w:rPr>
        <w:t>786442.08</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,占本年支出合计的</w:t>
      </w:r>
      <w:r>
        <w:rPr>
          <w:rFonts w:hint="eastAsia" w:ascii="仿宋_GB2312" w:hAnsi="仿宋_GB2312" w:eastAsia="仿宋_GB2312" w:cs="仿宋_GB2312"/>
          <w:color w:val="auto"/>
          <w:sz w:val="30"/>
          <w:lang w:val="zh-CN"/>
        </w:rPr>
        <w:t>6.58</w:t>
      </w:r>
      <w:r>
        <w:rPr>
          <w:rFonts w:hint="eastAsia" w:ascii="仿宋_GB2312" w:hAnsi="宋体" w:eastAsia="仿宋_GB2312" w:cs="Arial"/>
          <w:color w:val="auto"/>
          <w:kern w:val="0"/>
          <w:sz w:val="30"/>
          <w:szCs w:val="30"/>
          <w:highlight w:val="none"/>
        </w:rPr>
        <w:t>%。与上年</w:t>
      </w:r>
      <w:r>
        <w:rPr>
          <w:rFonts w:hint="eastAsia" w:ascii="仿宋_GB2312" w:hAnsi="宋体" w:eastAsia="仿宋_GB2312" w:cs="Arial"/>
          <w:color w:val="auto"/>
          <w:kern w:val="0"/>
          <w:sz w:val="30"/>
          <w:szCs w:val="30"/>
          <w:highlight w:val="none"/>
          <w:lang w:eastAsia="zh-CN"/>
        </w:rPr>
        <w:t>相比</w:t>
      </w:r>
      <w:r>
        <w:rPr>
          <w:rFonts w:hint="eastAsia" w:ascii="仿宋_GB2312" w:hAnsi="宋体" w:eastAsia="仿宋_GB2312" w:cs="Arial"/>
          <w:color w:val="auto"/>
          <w:kern w:val="0"/>
          <w:sz w:val="30"/>
          <w:szCs w:val="30"/>
          <w:highlight w:val="none"/>
        </w:rPr>
        <w:t>减少</w:t>
      </w:r>
      <w:r>
        <w:rPr>
          <w:rFonts w:hint="eastAsia" w:ascii="仿宋_GB2312" w:hAnsi="仿宋_GB2312" w:eastAsia="仿宋_GB2312" w:cs="仿宋_GB2312"/>
          <w:color w:val="auto"/>
          <w:kern w:val="0"/>
          <w:sz w:val="30"/>
          <w:lang w:val="zh-CN"/>
        </w:rPr>
        <w:t>36888.88</w:t>
      </w:r>
      <w:r>
        <w:rPr>
          <w:rFonts w:hint="eastAsia" w:ascii="仿宋_GB2312" w:hAnsi="宋体" w:eastAsia="仿宋_GB2312" w:cs="Arial"/>
          <w:color w:val="auto"/>
          <w:kern w:val="0"/>
          <w:sz w:val="30"/>
          <w:szCs w:val="30"/>
          <w:highlight w:val="none"/>
        </w:rPr>
        <w:t>元，下降</w:t>
      </w:r>
      <w:r>
        <w:rPr>
          <w:rFonts w:hint="eastAsia" w:ascii="仿宋_GB2312" w:hAnsi="仿宋_GB2312" w:eastAsia="仿宋_GB2312" w:cs="仿宋_GB2312"/>
          <w:color w:val="auto"/>
          <w:kern w:val="0"/>
          <w:sz w:val="30"/>
          <w:lang w:val="zh-CN"/>
        </w:rPr>
        <w:t>4.48</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sz w:val="30"/>
          <w:lang w:val="zh-CN"/>
        </w:rPr>
        <w:t>109.74</w:t>
      </w:r>
      <w:r>
        <w:rPr>
          <w:rFonts w:hint="eastAsia" w:ascii="仿宋_GB2312" w:eastAsia="仿宋_GB2312"/>
          <w:color w:val="auto"/>
          <w:sz w:val="30"/>
          <w:szCs w:val="30"/>
          <w:highlight w:val="none"/>
          <w:lang w:val="en-US" w:eastAsia="zh-CN"/>
        </w:rPr>
        <w:t>%</w:t>
      </w:r>
      <w:r>
        <w:rPr>
          <w:rFonts w:hint="eastAsia" w:ascii="仿宋_GB2312" w:hAnsi="宋体" w:eastAsia="仿宋_GB2312" w:cs="Arial"/>
          <w:color w:val="auto"/>
          <w:kern w:val="0"/>
          <w:sz w:val="30"/>
          <w:szCs w:val="30"/>
          <w:highlight w:val="none"/>
        </w:rPr>
        <w:t>。</w:t>
      </w:r>
    </w:p>
    <w:p w14:paraId="4E11E77D">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（二）一般公共预算财政拨款支出决算</w:t>
      </w:r>
      <w:r>
        <w:rPr>
          <w:rFonts w:hint="eastAsia" w:ascii="楷体" w:hAnsi="楷体" w:eastAsia="楷体"/>
          <w:color w:val="auto"/>
          <w:sz w:val="30"/>
          <w:szCs w:val="30"/>
          <w:highlight w:val="none"/>
          <w:lang w:eastAsia="zh-CN"/>
        </w:rPr>
        <w:t>分功能分类科目情况</w:t>
      </w:r>
      <w:r>
        <w:rPr>
          <w:rFonts w:hint="eastAsia" w:ascii="楷体" w:hAnsi="楷体" w:eastAsia="楷体"/>
          <w:color w:val="auto"/>
          <w:sz w:val="30"/>
          <w:szCs w:val="30"/>
          <w:highlight w:val="none"/>
        </w:rPr>
        <w:tab/>
      </w:r>
    </w:p>
    <w:p w14:paraId="325D3475">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hAnsi="宋体" w:eastAsia="仿宋_GB2312" w:cs="Arial"/>
          <w:color w:val="auto"/>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354B1686">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rPr>
      </w:pPr>
      <w:r>
        <w:rPr>
          <w:rFonts w:hint="eastAsia" w:ascii="仿宋_GB2312" w:hAnsi="宋体" w:eastAsia="仿宋_GB2312" w:cs="Arial"/>
          <w:color w:val="auto"/>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619484D4">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rPr>
      </w:pPr>
      <w:r>
        <w:rPr>
          <w:rFonts w:hint="eastAsia" w:ascii="仿宋_GB2312" w:hAnsi="宋体" w:eastAsia="仿宋_GB2312" w:cs="Arial"/>
          <w:color w:val="auto"/>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7D0CD911">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宋体" w:eastAsia="仿宋_GB2312" w:cs="Arial"/>
          <w:color w:val="auto"/>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69CF1B47">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67A4675A">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7BA28813">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5C2B4BED">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77132.96</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9.81</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108.52</w:t>
      </w:r>
      <w:r>
        <w:rPr>
          <w:rFonts w:hint="eastAsia" w:ascii="仿宋_GB2312" w:eastAsia="仿宋_GB2312"/>
          <w:color w:val="auto"/>
          <w:sz w:val="30"/>
          <w:szCs w:val="30"/>
          <w:highlight w:val="none"/>
          <w:lang w:val="en-US" w:eastAsia="zh-CN"/>
        </w:rPr>
        <w:t>%</w:t>
      </w:r>
      <w:r>
        <w:rPr>
          <w:rFonts w:hint="eastAsia" w:ascii="仿宋_GB2312" w:hAnsi="宋体" w:eastAsia="仿宋_GB2312" w:cs="Arial"/>
          <w:color w:val="auto"/>
          <w:kern w:val="0"/>
          <w:sz w:val="30"/>
          <w:szCs w:val="30"/>
          <w:highlight w:val="none"/>
          <w:lang w:eastAsia="zh-CN"/>
        </w:rPr>
        <w:t>。主要用于行政事业单位养老支出，造成预决算差异的主要原因是补缴新入职人员养老保险及原职工漏缴养老保险。</w:t>
      </w:r>
    </w:p>
    <w:p w14:paraId="5C116EF9">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62848.14</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7.99</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108.01</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主要用于职工医疗保险支出，其中，事业单位医疗</w:t>
      </w:r>
      <w:r>
        <w:rPr>
          <w:rFonts w:hint="eastAsia" w:ascii="仿宋_GB2312" w:hAnsi="宋体" w:eastAsia="仿宋_GB2312" w:cs="Arial"/>
          <w:color w:val="auto"/>
          <w:kern w:val="0"/>
          <w:sz w:val="30"/>
          <w:szCs w:val="30"/>
          <w:highlight w:val="none"/>
          <w:lang w:val="en-US" w:eastAsia="zh-CN"/>
        </w:rPr>
        <w:t>39625.64</w:t>
      </w:r>
      <w:r>
        <w:rPr>
          <w:rFonts w:hint="eastAsia" w:ascii="仿宋_GB2312" w:hAnsi="宋体" w:eastAsia="仿宋_GB2312" w:cs="Arial"/>
          <w:color w:val="auto"/>
          <w:kern w:val="0"/>
          <w:sz w:val="30"/>
          <w:szCs w:val="30"/>
          <w:highlight w:val="none"/>
        </w:rPr>
        <w:t>元，公务员医疗补助</w:t>
      </w:r>
      <w:r>
        <w:rPr>
          <w:rFonts w:hint="eastAsia" w:ascii="仿宋_GB2312" w:hAnsi="宋体" w:eastAsia="仿宋_GB2312" w:cs="Arial"/>
          <w:color w:val="auto"/>
          <w:kern w:val="0"/>
          <w:sz w:val="30"/>
          <w:szCs w:val="30"/>
          <w:highlight w:val="none"/>
          <w:lang w:val="en-US" w:eastAsia="zh-CN"/>
        </w:rPr>
        <w:t>19144.54</w:t>
      </w:r>
      <w:r>
        <w:rPr>
          <w:rFonts w:hint="eastAsia" w:ascii="仿宋_GB2312" w:hAnsi="宋体" w:eastAsia="仿宋_GB2312" w:cs="Arial"/>
          <w:color w:val="auto"/>
          <w:kern w:val="0"/>
          <w:sz w:val="30"/>
          <w:szCs w:val="30"/>
          <w:highlight w:val="none"/>
        </w:rPr>
        <w:t>元,其他行政事业单位医疗支出</w:t>
      </w:r>
      <w:r>
        <w:rPr>
          <w:rFonts w:hint="eastAsia" w:ascii="仿宋_GB2312" w:hAnsi="宋体" w:eastAsia="仿宋_GB2312" w:cs="Arial"/>
          <w:color w:val="auto"/>
          <w:kern w:val="0"/>
          <w:sz w:val="30"/>
          <w:szCs w:val="30"/>
          <w:highlight w:val="none"/>
          <w:lang w:val="en-US" w:eastAsia="zh-CN"/>
        </w:rPr>
        <w:t>4077.96</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造成预决算差异的主要原因是补缴新入职人员医疗保险、公务员医疗补助和工伤保险。</w:t>
      </w:r>
    </w:p>
    <w:p w14:paraId="1926D99E">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390033B0">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6AF2981C">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67E55848">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76A1286A">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157FC191">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620451E9">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0B2952C6">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3BCEA3EE">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572597.98</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72.81</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108.65</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主要用于人员经费和单公用经费的支出；</w:t>
      </w:r>
      <w:r>
        <w:rPr>
          <w:rFonts w:hint="eastAsia" w:ascii="仿宋_GB2312" w:hAnsi="宋体" w:eastAsia="仿宋_GB2312" w:cs="Arial"/>
          <w:color w:val="auto"/>
          <w:kern w:val="0"/>
          <w:sz w:val="30"/>
          <w:szCs w:val="30"/>
          <w:highlight w:val="none"/>
          <w:lang w:eastAsia="zh-CN"/>
        </w:rPr>
        <w:t>造成预决算差异的主要原因是补发新入职人员</w:t>
      </w:r>
      <w:r>
        <w:rPr>
          <w:rFonts w:hint="eastAsia" w:ascii="仿宋_GB2312" w:hAnsi="宋体" w:eastAsia="仿宋_GB2312" w:cs="Arial"/>
          <w:color w:val="auto"/>
          <w:kern w:val="0"/>
          <w:sz w:val="30"/>
          <w:szCs w:val="30"/>
          <w:highlight w:val="none"/>
          <w:lang w:val="en-US" w:eastAsia="zh-CN"/>
        </w:rPr>
        <w:t>工资</w:t>
      </w:r>
      <w:r>
        <w:rPr>
          <w:rFonts w:hint="eastAsia" w:ascii="仿宋_GB2312" w:hAnsi="宋体" w:eastAsia="仿宋_GB2312" w:cs="Arial"/>
          <w:color w:val="auto"/>
          <w:kern w:val="0"/>
          <w:sz w:val="30"/>
          <w:szCs w:val="30"/>
          <w:highlight w:val="none"/>
          <w:lang w:eastAsia="zh-CN"/>
        </w:rPr>
        <w:t>。</w:t>
      </w:r>
    </w:p>
    <w:p w14:paraId="44D77CF2">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73863.00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9.39</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122.35</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主要用于缴纳职工住房公积金补助支出；</w:t>
      </w:r>
      <w:r>
        <w:rPr>
          <w:rFonts w:hint="eastAsia" w:ascii="仿宋_GB2312" w:hAnsi="宋体" w:eastAsia="仿宋_GB2312" w:cs="Arial"/>
          <w:color w:val="auto"/>
          <w:kern w:val="0"/>
          <w:sz w:val="30"/>
          <w:szCs w:val="30"/>
          <w:highlight w:val="none"/>
          <w:lang w:eastAsia="zh-CN"/>
        </w:rPr>
        <w:t>造成预决算差异的主要原因是住房公积金基数调整导致住房公积金增加。</w:t>
      </w:r>
    </w:p>
    <w:p w14:paraId="73459BED">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3DBA3962">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7B9C3F97">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14A11FC0">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1D20DDB4">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2515815C">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5C1EB7A3">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eastAsia="仿宋_GB2312"/>
          <w:color w:val="auto"/>
          <w:sz w:val="30"/>
          <w:szCs w:val="30"/>
          <w:highlight w:val="none"/>
        </w:rPr>
        <w:t>。</w:t>
      </w:r>
    </w:p>
    <w:p w14:paraId="0F9CDB78">
      <w:pPr>
        <w:keepNext w:val="0"/>
        <w:keepLines w:val="0"/>
        <w:pageBreakBefore w:val="0"/>
        <w:widowControl/>
        <w:numPr>
          <w:ilvl w:val="0"/>
          <w:numId w:val="1"/>
        </w:numPr>
        <w:kinsoku/>
        <w:overflowPunct/>
        <w:topLinePunct w:val="0"/>
        <w:autoSpaceDE/>
        <w:autoSpaceDN/>
        <w:bidi w:val="0"/>
        <w:adjustRightInd/>
        <w:snapToGrid w:val="0"/>
        <w:spacing w:line="600" w:lineRule="exact"/>
        <w:ind w:left="0" w:leftChars="0" w:right="0" w:rightChars="0" w:firstLine="600" w:firstLineChars="200"/>
        <w:jc w:val="both"/>
        <w:textAlignment w:val="auto"/>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财政拨款“三公”经费支出决算情况说明</w:t>
      </w:r>
    </w:p>
    <w:p w14:paraId="0D779519">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left="0" w:leftChars="0" w:right="0" w:rightChars="0" w:firstLine="600" w:firstLineChars="200"/>
        <w:jc w:val="both"/>
        <w:textAlignment w:val="auto"/>
        <w:outlineLvl w:val="2"/>
        <w:rPr>
          <w:rFonts w:hint="eastAsia" w:ascii="楷体_GB2312" w:hAnsi="楷体_GB2312" w:eastAsia="楷体_GB2312" w:cs="楷体_GB2312"/>
          <w:color w:val="auto"/>
          <w:kern w:val="0"/>
          <w:sz w:val="30"/>
          <w:szCs w:val="30"/>
          <w:highlight w:val="none"/>
          <w:lang w:val="en-US" w:eastAsia="zh-CN"/>
        </w:rPr>
      </w:pPr>
      <w:r>
        <w:rPr>
          <w:rFonts w:hint="eastAsia" w:ascii="楷体_GB2312" w:hAnsi="楷体_GB2312" w:eastAsia="楷体_GB2312" w:cs="楷体_GB2312"/>
          <w:color w:val="auto"/>
          <w:kern w:val="0"/>
          <w:sz w:val="30"/>
          <w:szCs w:val="30"/>
          <w:highlight w:val="none"/>
          <w:lang w:val="en-US" w:eastAsia="zh-CN"/>
        </w:rPr>
        <w:t>（一）总体情况</w:t>
      </w:r>
    </w:p>
    <w:p w14:paraId="0E45A370">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eastAsia="仿宋_GB2312"/>
          <w:color w:val="auto"/>
          <w:sz w:val="30"/>
          <w:szCs w:val="30"/>
          <w:lang w:eastAsia="zh-CN"/>
        </w:rPr>
      </w:pPr>
      <w:r>
        <w:rPr>
          <w:rFonts w:hint="eastAsia" w:ascii="仿宋_GB2312" w:hAnsi="宋体" w:eastAsia="仿宋_GB2312" w:cs="Arial"/>
          <w:color w:val="auto"/>
          <w:kern w:val="0"/>
          <w:sz w:val="30"/>
          <w:szCs w:val="30"/>
          <w:highlight w:val="none"/>
          <w:lang w:val="en-US" w:eastAsia="zh-CN"/>
        </w:rPr>
        <w:t>2025年度</w:t>
      </w:r>
      <w:r>
        <w:rPr>
          <w:rFonts w:hint="eastAsia" w:ascii="仿宋_GB2312" w:hAnsi="宋体" w:eastAsia="仿宋_GB2312" w:cs="Arial"/>
          <w:color w:val="auto"/>
          <w:kern w:val="0"/>
          <w:sz w:val="30"/>
          <w:szCs w:val="30"/>
          <w:highlight w:val="none"/>
        </w:rPr>
        <w:t>财政拨款“三公”经费支出决算中，财政拨款“三公”经费支出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kern w:val="0"/>
          <w:sz w:val="30"/>
          <w:lang w:val="en-US" w:eastAsia="zh-CN"/>
        </w:rPr>
        <w:t>2000.00</w:t>
      </w:r>
      <w:r>
        <w:rPr>
          <w:rFonts w:hint="eastAsia" w:ascii="仿宋_GB2312" w:hAnsi="宋体" w:eastAsia="仿宋_GB2312" w:cs="Arial"/>
          <w:color w:val="auto"/>
          <w:kern w:val="0"/>
          <w:sz w:val="30"/>
          <w:szCs w:val="30"/>
          <w:highlight w:val="none"/>
        </w:rPr>
        <w:t>元，决算为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元，完成</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p>
    <w:p w14:paraId="5B70DDBE">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val="en-US" w:eastAsia="zh-CN"/>
        </w:rPr>
      </w:pPr>
      <w:r>
        <w:rPr>
          <w:rFonts w:hint="eastAsia" w:ascii="仿宋_GB2312" w:hAnsi="宋体" w:eastAsia="仿宋_GB2312" w:cs="Arial"/>
          <w:color w:val="auto"/>
          <w:kern w:val="0"/>
          <w:sz w:val="30"/>
          <w:szCs w:val="30"/>
          <w:highlight w:val="none"/>
        </w:rPr>
        <w:t>因公出国（境）费</w:t>
      </w:r>
      <w:r>
        <w:rPr>
          <w:rFonts w:hint="eastAsia" w:ascii="仿宋_GB2312" w:hAnsi="宋体" w:eastAsia="仿宋_GB2312" w:cs="Arial"/>
          <w:color w:val="auto"/>
          <w:kern w:val="0"/>
          <w:sz w:val="30"/>
          <w:szCs w:val="30"/>
          <w:highlight w:val="none"/>
          <w:lang w:val="en-US" w:eastAsia="zh-CN"/>
        </w:rPr>
        <w:t>用用</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%；公务用车购置费支出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%；公务用车</w:t>
      </w:r>
      <w:r>
        <w:rPr>
          <w:rFonts w:hint="eastAsia" w:ascii="仿宋_GB2312" w:hAnsi="宋体" w:eastAsia="仿宋_GB2312" w:cs="Arial"/>
          <w:color w:val="auto"/>
          <w:kern w:val="0"/>
          <w:sz w:val="30"/>
          <w:szCs w:val="30"/>
          <w:highlight w:val="none"/>
          <w:lang w:eastAsia="zh-CN"/>
        </w:rPr>
        <w:t>运行维护</w:t>
      </w:r>
      <w:r>
        <w:rPr>
          <w:rFonts w:hint="eastAsia" w:ascii="仿宋_GB2312" w:hAnsi="宋体" w:eastAsia="仿宋_GB2312" w:cs="Arial"/>
          <w:color w:val="auto"/>
          <w:kern w:val="0"/>
          <w:sz w:val="30"/>
          <w:szCs w:val="30"/>
          <w:highlight w:val="none"/>
        </w:rPr>
        <w:t>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val="en-US" w:eastAsia="zh-CN"/>
        </w:rPr>
        <w:t>；</w:t>
      </w:r>
      <w:r>
        <w:rPr>
          <w:rFonts w:hint="eastAsia" w:ascii="仿宋_GB2312" w:hAnsi="宋体" w:eastAsia="仿宋_GB2312" w:cs="Arial"/>
          <w:color w:val="auto"/>
          <w:kern w:val="0"/>
          <w:sz w:val="30"/>
          <w:szCs w:val="30"/>
          <w:highlight w:val="none"/>
        </w:rPr>
        <w:t>公务接待费支出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2000.00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，完成年初预算的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w:t>
      </w:r>
    </w:p>
    <w:p w14:paraId="28DFB9BC">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rPr>
        <w:t>因公出国（境）费</w:t>
      </w:r>
      <w:r>
        <w:rPr>
          <w:rFonts w:hint="eastAsia" w:ascii="仿宋_GB2312" w:eastAsia="仿宋_GB2312"/>
          <w:color w:val="auto"/>
          <w:sz w:val="30"/>
          <w:szCs w:val="30"/>
          <w:highlight w:val="none"/>
          <w:lang w:val="en-US" w:eastAsia="zh-CN"/>
        </w:rPr>
        <w:t>用</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公务用车购置费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公务接待费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p>
    <w:p w14:paraId="162878E5">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left="0" w:leftChars="0" w:right="0" w:rightChars="0" w:firstLine="600" w:firstLineChars="200"/>
        <w:jc w:val="both"/>
        <w:textAlignment w:val="auto"/>
        <w:outlineLvl w:val="2"/>
        <w:rPr>
          <w:rFonts w:hint="eastAsia" w:ascii="楷体_GB2312" w:hAnsi="楷体_GB2312" w:eastAsia="楷体_GB2312" w:cs="楷体_GB2312"/>
          <w:color w:val="auto"/>
          <w:kern w:val="0"/>
          <w:sz w:val="30"/>
          <w:szCs w:val="30"/>
          <w:highlight w:val="none"/>
          <w:lang w:val="en-US" w:eastAsia="zh-CN"/>
        </w:rPr>
      </w:pPr>
      <w:r>
        <w:rPr>
          <w:rFonts w:hint="eastAsia" w:ascii="楷体_GB2312" w:hAnsi="楷体_GB2312" w:eastAsia="楷体_GB2312" w:cs="楷体_GB2312"/>
          <w:color w:val="auto"/>
          <w:kern w:val="0"/>
          <w:sz w:val="30"/>
          <w:szCs w:val="30"/>
          <w:highlight w:val="none"/>
          <w:lang w:val="en-US" w:eastAsia="zh-CN"/>
        </w:rPr>
        <w:t>（二）一般公共预算财政拨款“三公”经费支出决算情况说明</w:t>
      </w:r>
    </w:p>
    <w:p w14:paraId="4A6520B6">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一般公共预算财政拨款“三公”经费支出</w:t>
      </w:r>
      <w:r>
        <w:rPr>
          <w:rFonts w:hint="eastAsia" w:ascii="仿宋_GB2312" w:hAnsi="宋体" w:eastAsia="仿宋_GB2312" w:cs="Arial"/>
          <w:color w:val="auto"/>
          <w:kern w:val="0"/>
          <w:sz w:val="30"/>
          <w:szCs w:val="30"/>
          <w:highlight w:val="none"/>
          <w:lang w:eastAsia="zh-CN"/>
        </w:rPr>
        <w:t>年初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，支出决算为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p>
    <w:p w14:paraId="0798E070">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中：</w:t>
      </w:r>
      <w:r>
        <w:rPr>
          <w:rFonts w:hint="eastAsia" w:ascii="仿宋_GB2312" w:eastAsia="仿宋_GB2312"/>
          <w:color w:val="auto"/>
          <w:sz w:val="30"/>
          <w:szCs w:val="30"/>
          <w:highlight w:val="none"/>
        </w:rPr>
        <w:t>因公出国（境）费</w:t>
      </w:r>
      <w:r>
        <w:rPr>
          <w:rFonts w:hint="eastAsia" w:ascii="仿宋_GB2312" w:eastAsia="仿宋_GB2312"/>
          <w:color w:val="auto"/>
          <w:sz w:val="30"/>
          <w:szCs w:val="30"/>
          <w:highlight w:val="none"/>
          <w:lang w:val="en-US" w:eastAsia="zh-CN"/>
        </w:rPr>
        <w:t>用</w:t>
      </w:r>
      <w:r>
        <w:rPr>
          <w:rFonts w:hint="eastAsia" w:ascii="仿宋_GB2312" w:eastAsia="仿宋_GB2312"/>
          <w:color w:val="auto"/>
          <w:sz w:val="30"/>
          <w:szCs w:val="30"/>
          <w:highlight w:val="none"/>
        </w:rPr>
        <w:t>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；公务用车购置费支出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eastAsia="仿宋_GB2312"/>
          <w:color w:val="auto"/>
          <w:sz w:val="30"/>
          <w:szCs w:val="30"/>
          <w:highlight w:val="none"/>
        </w:rPr>
        <w:t>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；公务接待费支出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p>
    <w:p w14:paraId="096F19A2">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中：</w:t>
      </w:r>
      <w:r>
        <w:rPr>
          <w:rFonts w:hint="eastAsia" w:ascii="仿宋_GB2312" w:eastAsia="仿宋_GB2312"/>
          <w:color w:val="auto"/>
          <w:sz w:val="30"/>
          <w:szCs w:val="30"/>
          <w:highlight w:val="none"/>
        </w:rPr>
        <w:t>因公出国（境）费</w:t>
      </w:r>
      <w:r>
        <w:rPr>
          <w:rFonts w:hint="eastAsia" w:ascii="仿宋_GB2312" w:eastAsia="仿宋_GB2312"/>
          <w:color w:val="auto"/>
          <w:sz w:val="30"/>
          <w:szCs w:val="30"/>
          <w:highlight w:val="none"/>
          <w:lang w:val="en-US" w:eastAsia="zh-CN"/>
        </w:rPr>
        <w:t>用</w:t>
      </w:r>
      <w:r>
        <w:rPr>
          <w:rFonts w:hint="eastAsia" w:ascii="仿宋_GB2312" w:eastAsia="仿宋_GB2312"/>
          <w:color w:val="auto"/>
          <w:sz w:val="30"/>
          <w:szCs w:val="30"/>
          <w:highlight w:val="none"/>
        </w:rPr>
        <w:t>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；公务用车购置费支出决算增加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eastAsia="仿宋_GB2312"/>
          <w:color w:val="auto"/>
          <w:sz w:val="30"/>
          <w:szCs w:val="30"/>
          <w:highlight w:val="none"/>
        </w:rPr>
        <w:t>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；公务接待费支出决算增加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宋体" w:eastAsia="仿宋_GB2312" w:cs="Arial"/>
          <w:color w:val="auto"/>
          <w:kern w:val="0"/>
          <w:sz w:val="30"/>
          <w:szCs w:val="30"/>
          <w:highlight w:val="none"/>
          <w:lang w:val="en-US" w:eastAsia="zh-CN"/>
        </w:rPr>
        <w:t>0.00元，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宋体" w:eastAsia="仿宋_GB2312" w:cs="Arial"/>
          <w:color w:val="auto"/>
          <w:kern w:val="0"/>
          <w:sz w:val="30"/>
          <w:szCs w:val="30"/>
          <w:highlight w:val="none"/>
          <w:lang w:val="en-US" w:eastAsia="zh-CN"/>
        </w:rPr>
        <w:t>0.00元，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p>
    <w:p w14:paraId="1D3346F7">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实物量的</w:t>
      </w:r>
      <w:r>
        <w:rPr>
          <w:rFonts w:hint="eastAsia" w:ascii="仿宋_GB2312" w:eastAsia="仿宋_GB2312"/>
          <w:color w:val="auto"/>
          <w:sz w:val="30"/>
          <w:szCs w:val="30"/>
          <w:highlight w:val="none"/>
        </w:rPr>
        <w:t>具体情况</w:t>
      </w:r>
      <w:r>
        <w:rPr>
          <w:rFonts w:hint="eastAsia" w:ascii="仿宋_GB2312" w:eastAsia="仿宋_GB2312"/>
          <w:color w:val="auto"/>
          <w:sz w:val="30"/>
          <w:szCs w:val="30"/>
          <w:highlight w:val="none"/>
          <w:lang w:eastAsia="zh-CN"/>
        </w:rPr>
        <w:t>：</w:t>
      </w:r>
    </w:p>
    <w:p w14:paraId="518174F7">
      <w:pPr>
        <w:keepNext w:val="0"/>
        <w:keepLines w:val="0"/>
        <w:pageBreakBefore w:val="0"/>
        <w:widowControl/>
        <w:numPr>
          <w:ilvl w:val="0"/>
          <w:numId w:val="2"/>
        </w:numPr>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eastAsia="仿宋_GB2312"/>
          <w:b w:val="0"/>
          <w:bCs/>
          <w:color w:val="auto"/>
          <w:sz w:val="30"/>
          <w:szCs w:val="30"/>
          <w:highlight w:val="none"/>
        </w:rPr>
      </w:pPr>
      <w:r>
        <w:rPr>
          <w:rFonts w:hint="eastAsia" w:ascii="仿宋_GB2312" w:eastAsia="仿宋_GB2312"/>
          <w:b w:val="0"/>
          <w:bCs/>
          <w:color w:val="auto"/>
          <w:sz w:val="30"/>
          <w:szCs w:val="30"/>
          <w:highlight w:val="none"/>
        </w:rPr>
        <w:t>安排因公出国（境）团组</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个，累计</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人次。</w:t>
      </w:r>
    </w:p>
    <w:p w14:paraId="27C42408">
      <w:pPr>
        <w:keepNext w:val="0"/>
        <w:keepLines w:val="0"/>
        <w:pageBreakBefore w:val="0"/>
        <w:widowControl/>
        <w:kinsoku/>
        <w:overflowPunct/>
        <w:topLinePunct w:val="0"/>
        <w:autoSpaceDE/>
        <w:autoSpaceDN/>
        <w:bidi w:val="0"/>
        <w:adjustRightInd w:val="0"/>
        <w:snapToGrid w:val="0"/>
        <w:spacing w:line="600" w:lineRule="exact"/>
        <w:ind w:left="0" w:leftChars="0" w:right="0" w:rightChars="0" w:firstLine="600" w:firstLineChars="200"/>
        <w:jc w:val="both"/>
        <w:textAlignment w:val="auto"/>
        <w:rPr>
          <w:rFonts w:hint="eastAsia" w:ascii="仿宋_GB2312" w:eastAsia="仿宋_GB2312"/>
          <w:b w:val="0"/>
          <w:bCs/>
          <w:color w:val="auto"/>
          <w:sz w:val="30"/>
          <w:szCs w:val="30"/>
          <w:highlight w:val="none"/>
        </w:rPr>
      </w:pPr>
      <w:r>
        <w:rPr>
          <w:rFonts w:hint="eastAsia" w:ascii="仿宋_GB2312" w:eastAsia="仿宋_GB2312"/>
          <w:b w:val="0"/>
          <w:bCs/>
          <w:color w:val="auto"/>
          <w:sz w:val="30"/>
          <w:szCs w:val="30"/>
          <w:highlight w:val="none"/>
        </w:rPr>
        <w:t>2.购置车辆</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辆。开支一般公共预算财政拨款的公务用车保有量为</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辆。主要用于所需车辆燃料费、维修费、过路过桥费、保险费等。</w:t>
      </w:r>
    </w:p>
    <w:p w14:paraId="14BE06A6">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eastAsia="仿宋_GB2312"/>
          <w:b w:val="0"/>
          <w:bCs/>
          <w:color w:val="auto"/>
          <w:sz w:val="30"/>
          <w:szCs w:val="30"/>
          <w:highlight w:val="none"/>
          <w:lang w:eastAsia="zh-CN"/>
        </w:rPr>
      </w:pPr>
      <w:r>
        <w:rPr>
          <w:rFonts w:hint="eastAsia" w:ascii="仿宋_GB2312" w:eastAsia="仿宋_GB2312"/>
          <w:b w:val="0"/>
          <w:bCs/>
          <w:color w:val="auto"/>
          <w:sz w:val="30"/>
          <w:szCs w:val="30"/>
          <w:highlight w:val="none"/>
        </w:rPr>
        <w:t>3.安排</w:t>
      </w:r>
      <w:r>
        <w:rPr>
          <w:rFonts w:hint="eastAsia" w:ascii="仿宋_GB2312" w:eastAsia="仿宋_GB2312"/>
          <w:color w:val="auto"/>
          <w:sz w:val="30"/>
          <w:szCs w:val="30"/>
          <w:highlight w:val="none"/>
        </w:rPr>
        <w:t>国内公务接待</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批次（其中：外事接待</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批次），接待人次</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人（其中：外事接待人次</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人）。主要用于</w:t>
      </w:r>
      <w:r>
        <w:rPr>
          <w:rFonts w:hint="eastAsia" w:ascii="仿宋_GB2312" w:eastAsia="仿宋_GB2312"/>
          <w:color w:val="auto"/>
          <w:sz w:val="30"/>
          <w:szCs w:val="30"/>
          <w:highlight w:val="none"/>
          <w:lang w:eastAsia="zh-CN"/>
        </w:rPr>
        <w:t>储备中心</w:t>
      </w:r>
      <w:r>
        <w:rPr>
          <w:rFonts w:hint="eastAsia" w:ascii="仿宋_GB2312" w:eastAsia="仿宋_GB2312"/>
          <w:color w:val="auto"/>
          <w:sz w:val="30"/>
          <w:szCs w:val="30"/>
          <w:highlight w:val="none"/>
        </w:rPr>
        <w:t>相关工作，发生的接待支出。安排国（境）外公务接待</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批次，接待人次</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人。主要用于</w:t>
      </w:r>
      <w:r>
        <w:rPr>
          <w:rFonts w:hint="eastAsia" w:ascii="仿宋_GB2312" w:eastAsia="仿宋_GB2312"/>
          <w:color w:val="auto"/>
          <w:sz w:val="30"/>
          <w:szCs w:val="30"/>
          <w:highlight w:val="none"/>
          <w:lang w:eastAsia="zh-CN"/>
        </w:rPr>
        <w:t>储备中心</w:t>
      </w:r>
      <w:r>
        <w:rPr>
          <w:rFonts w:hint="eastAsia" w:ascii="仿宋_GB2312" w:eastAsia="仿宋_GB2312"/>
          <w:color w:val="auto"/>
          <w:sz w:val="30"/>
          <w:szCs w:val="30"/>
          <w:highlight w:val="none"/>
        </w:rPr>
        <w:t>相关工作发生的接待支出。</w:t>
      </w:r>
    </w:p>
    <w:p w14:paraId="40541A61">
      <w:pPr>
        <w:keepNext w:val="0"/>
        <w:keepLines w:val="0"/>
        <w:pageBreakBefore w:val="0"/>
        <w:widowControl/>
        <w:kinsoku/>
        <w:overflowPunct/>
        <w:topLinePunct w:val="0"/>
        <w:autoSpaceDE/>
        <w:autoSpaceDN/>
        <w:bidi w:val="0"/>
        <w:adjustRightInd/>
        <w:snapToGrid w:val="0"/>
        <w:spacing w:line="600" w:lineRule="exact"/>
        <w:ind w:left="0" w:leftChars="0" w:right="0" w:rightChars="0" w:firstLine="600" w:firstLineChars="200"/>
        <w:jc w:val="both"/>
        <w:textAlignment w:val="auto"/>
        <w:outlineLvl w:val="2"/>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（三）需要说明的事项</w:t>
      </w:r>
    </w:p>
    <w:p w14:paraId="61CE371A">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left="0" w:leftChars="0" w:right="0" w:rightChars="0" w:firstLine="600" w:firstLineChars="200"/>
        <w:jc w:val="both"/>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eastAsia="zh-CN"/>
        </w:rPr>
        <w:t>不存在需要说明的事项。</w:t>
      </w:r>
    </w:p>
    <w:p w14:paraId="18345372">
      <w:pPr>
        <w:keepNext w:val="0"/>
        <w:keepLines w:val="0"/>
        <w:pageBreakBefore w:val="0"/>
        <w:widowControl/>
        <w:kinsoku/>
        <w:overflowPunct/>
        <w:topLinePunct w:val="0"/>
        <w:autoSpaceDE/>
        <w:autoSpaceDN/>
        <w:bidi w:val="0"/>
        <w:snapToGrid w:val="0"/>
        <w:spacing w:line="600" w:lineRule="exact"/>
        <w:ind w:left="0" w:leftChars="0" w:right="0" w:rightChars="0" w:firstLine="600" w:firstLineChars="200"/>
        <w:jc w:val="left"/>
        <w:textAlignment w:val="auto"/>
        <w:rPr>
          <w:rFonts w:hint="eastAsia" w:ascii="仿宋_GB2312" w:eastAsia="仿宋_GB2312"/>
          <w:color w:val="auto"/>
          <w:sz w:val="30"/>
          <w:szCs w:val="30"/>
          <w:highlight w:val="none"/>
          <w:lang w:eastAsia="zh-CN"/>
        </w:rPr>
      </w:pPr>
    </w:p>
    <w:p w14:paraId="10A7A534">
      <w:pPr>
        <w:keepNext w:val="0"/>
        <w:keepLines w:val="0"/>
        <w:pageBreakBefore w:val="0"/>
        <w:widowControl/>
        <w:kinsoku/>
        <w:overflowPunct/>
        <w:topLinePunct w:val="0"/>
        <w:autoSpaceDE/>
        <w:autoSpaceDN/>
        <w:bidi w:val="0"/>
        <w:snapToGrid w:val="0"/>
        <w:spacing w:line="600" w:lineRule="exact"/>
        <w:ind w:left="0" w:leftChars="0" w:right="0" w:rightChars="0"/>
        <w:jc w:val="center"/>
        <w:textAlignment w:val="auto"/>
        <w:outlineLvl w:val="0"/>
        <w:rPr>
          <w:rFonts w:hint="eastAsia" w:ascii="仿宋_GB2312" w:eastAsia="仿宋_GB2312"/>
          <w:color w:val="auto"/>
          <w:sz w:val="32"/>
          <w:szCs w:val="32"/>
          <w:highlight w:val="none"/>
        </w:rPr>
      </w:pPr>
      <w:r>
        <w:rPr>
          <w:rFonts w:hint="eastAsia" w:ascii="黑体" w:hAnsi="黑体" w:eastAsia="黑体" w:cs="方正小标宋简体"/>
          <w:color w:val="auto"/>
          <w:sz w:val="32"/>
          <w:szCs w:val="32"/>
          <w:highlight w:val="none"/>
        </w:rPr>
        <w:t xml:space="preserve">第四部分  </w:t>
      </w:r>
      <w:r>
        <w:rPr>
          <w:rFonts w:hint="eastAsia" w:ascii="黑体" w:hAnsi="黑体" w:eastAsia="黑体"/>
          <w:color w:val="auto"/>
          <w:sz w:val="32"/>
          <w:szCs w:val="32"/>
          <w:highlight w:val="none"/>
        </w:rPr>
        <w:t>其他重要事项及相关口径情况说明</w:t>
      </w:r>
    </w:p>
    <w:p w14:paraId="20216B58">
      <w:pPr>
        <w:keepNext w:val="0"/>
        <w:keepLines w:val="0"/>
        <w:pageBreakBefore w:val="0"/>
        <w:kinsoku/>
        <w:overflowPunct/>
        <w:topLinePunct w:val="0"/>
        <w:autoSpaceDE/>
        <w:autoSpaceDN/>
        <w:bidi w:val="0"/>
        <w:spacing w:line="600" w:lineRule="exact"/>
        <w:ind w:left="0" w:leftChars="0" w:right="0" w:rightChars="0" w:firstLine="600" w:firstLineChars="200"/>
        <w:jc w:val="left"/>
        <w:textAlignment w:val="auto"/>
        <w:outlineLvl w:val="1"/>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rPr>
        <w:t>一</w:t>
      </w:r>
      <w:r>
        <w:rPr>
          <w:rFonts w:hint="eastAsia" w:ascii="黑体" w:hAnsi="黑体" w:eastAsia="黑体" w:cs="黑体"/>
          <w:color w:val="auto"/>
          <w:sz w:val="30"/>
          <w:szCs w:val="30"/>
          <w:highlight w:val="none"/>
          <w:lang w:eastAsia="zh-CN"/>
        </w:rPr>
        <w:t>、</w:t>
      </w:r>
      <w:r>
        <w:rPr>
          <w:rFonts w:hint="eastAsia" w:ascii="黑体" w:hAnsi="黑体" w:eastAsia="黑体" w:cs="黑体"/>
          <w:color w:val="auto"/>
          <w:sz w:val="30"/>
          <w:szCs w:val="30"/>
          <w:highlight w:val="none"/>
        </w:rPr>
        <w:t>机关运行经费支出情况</w:t>
      </w:r>
    </w:p>
    <w:p w14:paraId="0EB26449">
      <w:pPr>
        <w:keepNext w:val="0"/>
        <w:keepLines w:val="0"/>
        <w:pageBreakBefore w:val="0"/>
        <w:kinsoku/>
        <w:overflowPunct/>
        <w:topLinePunct w:val="0"/>
        <w:autoSpaceDE/>
        <w:autoSpaceDN/>
        <w:bidi w:val="0"/>
        <w:spacing w:line="600" w:lineRule="exact"/>
        <w:ind w:left="0" w:leftChars="0" w:right="0" w:rightChars="0" w:firstLine="600" w:firstLineChars="200"/>
        <w:jc w:val="left"/>
        <w:textAlignment w:val="auto"/>
        <w:rPr>
          <w:rFonts w:hint="eastAsia" w:ascii="仿宋_GB2312" w:hAnsi="黑体" w:eastAsia="仿宋_GB2312" w:cs="方正小标宋简体"/>
          <w:color w:val="auto"/>
          <w:sz w:val="30"/>
          <w:szCs w:val="30"/>
          <w:highlight w:val="none"/>
        </w:rPr>
      </w:pPr>
      <w:r>
        <w:rPr>
          <w:rFonts w:hint="eastAsia" w:ascii="仿宋_GB2312" w:hAnsi="仿宋_GB2312" w:eastAsia="仿宋_GB2312" w:cs="仿宋_GB2312"/>
          <w:color w:val="auto"/>
          <w:sz w:val="30"/>
          <w:lang w:val="zh-CN"/>
        </w:rPr>
        <w:t>华宁县土地储备中心</w:t>
      </w:r>
      <w:r>
        <w:rPr>
          <w:rFonts w:hint="eastAsia" w:ascii="仿宋_GB2312" w:hAnsi="黑体" w:eastAsia="仿宋_GB2312" w:cs="方正小标宋简体"/>
          <w:color w:val="auto"/>
          <w:sz w:val="30"/>
          <w:szCs w:val="30"/>
          <w:highlight w:val="none"/>
          <w:lang w:val="en-US" w:eastAsia="zh-CN"/>
        </w:rPr>
        <w:t>2025</w:t>
      </w:r>
      <w:r>
        <w:rPr>
          <w:rFonts w:hint="eastAsia" w:ascii="仿宋_GB2312" w:hAnsi="黑体" w:eastAsia="仿宋_GB2312" w:cs="方正小标宋简体"/>
          <w:color w:val="auto"/>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color w:val="auto"/>
          <w:sz w:val="30"/>
          <w:szCs w:val="30"/>
          <w:highlight w:val="none"/>
          <w:lang w:eastAsia="zh-CN"/>
        </w:rPr>
        <w:t>元</w:t>
      </w:r>
      <w:r>
        <w:rPr>
          <w:rFonts w:hint="eastAsia" w:ascii="仿宋_GB2312" w:hAnsi="黑体" w:eastAsia="仿宋_GB2312" w:cs="方正小标宋简体"/>
          <w:color w:val="auto"/>
          <w:sz w:val="30"/>
          <w:szCs w:val="30"/>
          <w:highlight w:val="none"/>
        </w:rPr>
        <w:t>，</w:t>
      </w:r>
      <w:r>
        <w:rPr>
          <w:rFonts w:hint="eastAsia" w:ascii="仿宋_GB2312" w:hAnsi="黑体" w:eastAsia="仿宋_GB2312" w:cs="方正小标宋简体"/>
          <w:color w:val="auto"/>
          <w:sz w:val="30"/>
          <w:szCs w:val="30"/>
          <w:highlight w:val="none"/>
          <w:lang w:eastAsia="zh-CN"/>
        </w:rPr>
        <w:t>比上年</w:t>
      </w:r>
      <w:r>
        <w:rPr>
          <w:rFonts w:hint="eastAsia" w:ascii="仿宋_GB2312" w:eastAsia="仿宋_GB2312"/>
          <w:color w:val="auto"/>
          <w:sz w:val="30"/>
          <w:szCs w:val="30"/>
          <w:highlight w:val="none"/>
        </w:rPr>
        <w:t>增加</w:t>
      </w:r>
      <w:r>
        <w:rPr>
          <w:rFonts w:hint="eastAsia" w:ascii="仿宋_GB2312" w:hAnsi="仿宋_GB2312" w:eastAsia="仿宋_GB2312" w:cs="仿宋_GB2312"/>
          <w:color w:val="auto"/>
          <w:sz w:val="30"/>
          <w:lang w:val="en-US" w:eastAsia="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，增长</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rPr>
        <w:t>%</w:t>
      </w:r>
      <w:r>
        <w:rPr>
          <w:rFonts w:hint="eastAsia" w:ascii="仿宋_GB2312" w:hAnsi="黑体" w:eastAsia="仿宋_GB2312" w:cs="方正小标宋简体"/>
          <w:color w:val="auto"/>
          <w:sz w:val="30"/>
          <w:szCs w:val="30"/>
          <w:highlight w:val="none"/>
        </w:rPr>
        <w:t>,主要原因</w:t>
      </w:r>
      <w:r>
        <w:rPr>
          <w:rFonts w:hint="eastAsia" w:ascii="仿宋_GB2312" w:hAnsi="黑体" w:eastAsia="仿宋_GB2312" w:cs="方正小标宋简体"/>
          <w:color w:val="auto"/>
          <w:sz w:val="30"/>
          <w:szCs w:val="30"/>
          <w:highlight w:val="none"/>
          <w:lang w:eastAsia="zh-CN"/>
        </w:rPr>
        <w:t>是</w:t>
      </w:r>
      <w:r>
        <w:rPr>
          <w:rFonts w:hint="eastAsia" w:ascii="仿宋_GB2312" w:hAnsi="黑体" w:eastAsia="仿宋_GB2312" w:cs="方正小标宋简体"/>
          <w:color w:val="auto"/>
          <w:sz w:val="30"/>
          <w:szCs w:val="30"/>
          <w:highlight w:val="none"/>
        </w:rPr>
        <w:t>我单位无机关运行经费。</w:t>
      </w:r>
    </w:p>
    <w:p w14:paraId="1F6A56B3">
      <w:pPr>
        <w:keepNext w:val="0"/>
        <w:keepLines w:val="0"/>
        <w:pageBreakBefore w:val="0"/>
        <w:widowControl/>
        <w:kinsoku/>
        <w:overflowPunct/>
        <w:topLinePunct w:val="0"/>
        <w:autoSpaceDE/>
        <w:autoSpaceDN/>
        <w:bidi w:val="0"/>
        <w:spacing w:line="600" w:lineRule="exact"/>
        <w:ind w:left="0" w:leftChars="0" w:right="0" w:rightChars="0" w:firstLine="600" w:firstLineChars="200"/>
        <w:textAlignment w:val="auto"/>
        <w:outlineLvl w:val="1"/>
        <w:rPr>
          <w:rFonts w:hint="eastAsia" w:ascii="黑体" w:hAnsi="黑体" w:eastAsia="黑体" w:cs="黑体"/>
          <w:color w:val="auto"/>
          <w:kern w:val="0"/>
          <w:sz w:val="30"/>
          <w:szCs w:val="30"/>
          <w:highlight w:val="none"/>
        </w:rPr>
      </w:pPr>
      <w:r>
        <w:rPr>
          <w:rFonts w:hint="eastAsia" w:ascii="黑体" w:hAnsi="黑体" w:eastAsia="黑体" w:cs="黑体"/>
          <w:color w:val="auto"/>
          <w:kern w:val="0"/>
          <w:sz w:val="30"/>
          <w:szCs w:val="30"/>
          <w:highlight w:val="none"/>
          <w:lang w:eastAsia="zh-CN"/>
        </w:rPr>
        <w:t>二、</w:t>
      </w:r>
      <w:r>
        <w:rPr>
          <w:rFonts w:hint="eastAsia" w:ascii="黑体" w:hAnsi="黑体" w:eastAsia="黑体" w:cs="黑体"/>
          <w:color w:val="auto"/>
          <w:kern w:val="0"/>
          <w:sz w:val="30"/>
          <w:szCs w:val="30"/>
          <w:highlight w:val="none"/>
        </w:rPr>
        <w:t>国有资产占用情况</w:t>
      </w:r>
    </w:p>
    <w:p w14:paraId="24BD9C34">
      <w:pPr>
        <w:keepNext w:val="0"/>
        <w:keepLines w:val="0"/>
        <w:pageBreakBefore w:val="0"/>
        <w:widowControl/>
        <w:kinsoku/>
        <w:overflowPunct/>
        <w:topLinePunct w:val="0"/>
        <w:autoSpaceDE/>
        <w:autoSpaceDN/>
        <w:bidi w:val="0"/>
        <w:spacing w:line="600" w:lineRule="exact"/>
        <w:ind w:left="0" w:leftChars="0" w:right="0" w:rightChars="0" w:firstLine="600" w:firstLineChars="200"/>
        <w:textAlignment w:val="auto"/>
        <w:rPr>
          <w:rFonts w:hint="eastAsia" w:ascii="仿宋_GB2312" w:hAnsi="黑体" w:eastAsia="仿宋_GB2312" w:cs="方正小标宋简体"/>
          <w:color w:val="auto"/>
          <w:kern w:val="0"/>
          <w:sz w:val="30"/>
          <w:szCs w:val="30"/>
          <w:highlight w:val="none"/>
        </w:rPr>
      </w:pPr>
      <w:r>
        <w:rPr>
          <w:rFonts w:hint="eastAsia" w:ascii="仿宋_GB2312" w:hAnsi="仿宋_GB2312" w:eastAsia="仿宋_GB2312" w:cs="仿宋_GB2312"/>
          <w:color w:val="auto"/>
          <w:sz w:val="30"/>
          <w:szCs w:val="30"/>
          <w:highlight w:val="none"/>
          <w:lang w:eastAsia="zh-CN"/>
        </w:rPr>
        <w:t>截至202</w:t>
      </w:r>
      <w:r>
        <w:rPr>
          <w:rFonts w:hint="eastAsia" w:ascii="仿宋_GB2312" w:hAnsi="仿宋_GB2312" w:eastAsia="仿宋_GB2312" w:cs="仿宋_GB2312"/>
          <w:color w:val="auto"/>
          <w:sz w:val="30"/>
          <w:szCs w:val="30"/>
          <w:highlight w:val="none"/>
          <w:lang w:val="en-US" w:eastAsia="zh-CN"/>
        </w:rPr>
        <w:t>5</w:t>
      </w:r>
      <w:r>
        <w:rPr>
          <w:rFonts w:hint="eastAsia" w:ascii="仿宋_GB2312" w:hAnsi="仿宋_GB2312" w:eastAsia="仿宋_GB2312" w:cs="仿宋_GB2312"/>
          <w:color w:val="auto"/>
          <w:sz w:val="30"/>
          <w:szCs w:val="30"/>
          <w:highlight w:val="none"/>
          <w:lang w:eastAsia="zh-CN"/>
        </w:rPr>
        <w:t>年末，</w:t>
      </w:r>
      <w:r>
        <w:rPr>
          <w:rFonts w:hint="eastAsia" w:ascii="仿宋_GB2312" w:hAnsi="仿宋_GB2312" w:eastAsia="仿宋_GB2312" w:cs="仿宋_GB2312"/>
          <w:color w:val="auto"/>
          <w:sz w:val="30"/>
          <w:lang w:val="zh-CN"/>
        </w:rPr>
        <w:t>华宁县土地储备中心</w:t>
      </w:r>
      <w:r>
        <w:rPr>
          <w:rFonts w:hint="eastAsia" w:ascii="仿宋_GB2312" w:hAnsi="仿宋_GB2312" w:eastAsia="仿宋_GB2312" w:cs="仿宋_GB2312"/>
          <w:color w:val="auto"/>
          <w:sz w:val="30"/>
          <w:szCs w:val="30"/>
          <w:highlight w:val="none"/>
          <w:lang w:eastAsia="zh-CN"/>
        </w:rPr>
        <w:t>资产总额</w:t>
      </w:r>
      <w:r>
        <w:rPr>
          <w:rFonts w:hint="eastAsia" w:ascii="仿宋_GB2312" w:hAnsi="仿宋_GB2312" w:eastAsia="仿宋_GB2312" w:cs="仿宋_GB2312"/>
          <w:color w:val="auto"/>
          <w:sz w:val="30"/>
          <w:szCs w:val="30"/>
          <w:highlight w:val="none"/>
          <w:lang w:val="en-US" w:eastAsia="zh-CN"/>
        </w:rPr>
        <w:t>47432.35</w:t>
      </w:r>
      <w:r>
        <w:rPr>
          <w:rFonts w:hint="eastAsia" w:ascii="仿宋_GB2312" w:hAnsi="仿宋_GB2312" w:eastAsia="仿宋_GB2312" w:cs="仿宋_GB2312"/>
          <w:color w:val="auto"/>
          <w:sz w:val="30"/>
          <w:szCs w:val="30"/>
          <w:highlight w:val="none"/>
          <w:lang w:eastAsia="zh-CN"/>
        </w:rPr>
        <w:t>元，其中，流动资产</w:t>
      </w:r>
      <w:r>
        <w:rPr>
          <w:rFonts w:hint="eastAsia" w:ascii="仿宋_GB2312" w:hAnsi="仿宋_GB2312" w:eastAsia="仿宋_GB2312" w:cs="仿宋_GB2312"/>
          <w:color w:val="auto"/>
          <w:sz w:val="30"/>
          <w:szCs w:val="30"/>
          <w:highlight w:val="none"/>
          <w:lang w:val="en-US" w:eastAsia="zh-CN"/>
        </w:rPr>
        <w:t>17.57</w:t>
      </w:r>
      <w:r>
        <w:rPr>
          <w:rFonts w:hint="eastAsia" w:ascii="仿宋_GB2312" w:hAnsi="仿宋_GB2312" w:eastAsia="仿宋_GB2312" w:cs="仿宋_GB2312"/>
          <w:color w:val="auto"/>
          <w:sz w:val="30"/>
          <w:szCs w:val="30"/>
          <w:highlight w:val="none"/>
          <w:lang w:eastAsia="zh-CN"/>
        </w:rPr>
        <w:t>元，固定资产</w:t>
      </w:r>
      <w:r>
        <w:rPr>
          <w:rFonts w:hint="eastAsia" w:ascii="仿宋_GB2312" w:hAnsi="仿宋_GB2312" w:eastAsia="仿宋_GB2312" w:cs="仿宋_GB2312"/>
          <w:color w:val="auto"/>
          <w:sz w:val="30"/>
          <w:szCs w:val="30"/>
          <w:highlight w:val="none"/>
          <w:lang w:val="en-US" w:eastAsia="zh-CN"/>
        </w:rPr>
        <w:t>3315.00</w:t>
      </w:r>
      <w:r>
        <w:rPr>
          <w:rFonts w:hint="eastAsia" w:ascii="仿宋_GB2312" w:hAnsi="仿宋_GB2312" w:eastAsia="仿宋_GB2312" w:cs="仿宋_GB2312"/>
          <w:color w:val="auto"/>
          <w:sz w:val="30"/>
          <w:szCs w:val="30"/>
          <w:highlight w:val="none"/>
          <w:lang w:eastAsia="zh-CN"/>
        </w:rPr>
        <w:t>元（净值），对外投资及有价证券</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元，在建工程</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元，无形资产</w:t>
      </w:r>
      <w:r>
        <w:rPr>
          <w:rFonts w:hint="eastAsia" w:ascii="仿宋_GB2312" w:hAnsi="仿宋_GB2312" w:eastAsia="仿宋_GB2312" w:cs="仿宋_GB2312"/>
          <w:color w:val="auto"/>
          <w:sz w:val="30"/>
          <w:szCs w:val="30"/>
          <w:highlight w:val="none"/>
          <w:lang w:val="en-US" w:eastAsia="zh-CN"/>
        </w:rPr>
        <w:t>44099.78</w:t>
      </w:r>
      <w:r>
        <w:rPr>
          <w:rFonts w:hint="eastAsia" w:ascii="仿宋_GB2312" w:hAnsi="仿宋_GB2312" w:eastAsia="仿宋_GB2312" w:cs="仿宋_GB2312"/>
          <w:color w:val="auto"/>
          <w:sz w:val="30"/>
          <w:szCs w:val="30"/>
          <w:highlight w:val="none"/>
          <w:lang w:eastAsia="zh-CN"/>
        </w:rPr>
        <w:t>元（净值），其他资产</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元（净值）（具</w:t>
      </w:r>
      <w:r>
        <w:rPr>
          <w:rFonts w:hint="eastAsia" w:ascii="仿宋_GB2312" w:hAnsi="仿宋_GB2312" w:eastAsia="仿宋_GB2312" w:cs="仿宋_GB2312"/>
          <w:color w:val="auto"/>
          <w:sz w:val="30"/>
          <w:szCs w:val="30"/>
          <w:highlight w:val="none"/>
          <w:lang w:val="en-US" w:eastAsia="zh-CN"/>
        </w:rPr>
        <w:t>=</w:t>
      </w:r>
      <w:r>
        <w:rPr>
          <w:rFonts w:hint="eastAsia" w:ascii="仿宋_GB2312" w:hAnsi="仿宋_GB2312" w:eastAsia="仿宋_GB2312" w:cs="仿宋_GB2312"/>
          <w:color w:val="auto"/>
          <w:sz w:val="30"/>
          <w:szCs w:val="30"/>
          <w:highlight w:val="none"/>
          <w:lang w:eastAsia="zh-CN"/>
        </w:rPr>
        <w:t>体内容详见附表）</w:t>
      </w:r>
      <w:r>
        <w:rPr>
          <w:rFonts w:hint="eastAsia" w:ascii="仿宋_GB2312" w:hAnsi="黑体" w:eastAsia="仿宋_GB2312" w:cs="方正小标宋简体"/>
          <w:color w:val="auto"/>
          <w:kern w:val="0"/>
          <w:sz w:val="30"/>
          <w:szCs w:val="30"/>
          <w:highlight w:val="none"/>
        </w:rPr>
        <w:t>。与上年相比，本年资产总额减少</w:t>
      </w:r>
      <w:r>
        <w:rPr>
          <w:rFonts w:hint="eastAsia" w:ascii="仿宋_GB2312" w:hAnsi="黑体" w:eastAsia="仿宋_GB2312" w:cs="方正小标宋简体"/>
          <w:color w:val="auto"/>
          <w:kern w:val="0"/>
          <w:sz w:val="30"/>
          <w:szCs w:val="30"/>
          <w:highlight w:val="none"/>
          <w:lang w:val="en-US" w:eastAsia="zh-CN"/>
        </w:rPr>
        <w:t>10253.05</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，其中固定资产增加</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。处置房屋建筑物</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rPr>
        <w:t>平方米，账面原值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；处置车辆</w:t>
      </w:r>
      <w:r>
        <w:rPr>
          <w:rFonts w:hint="eastAsia" w:ascii="仿宋_GB2312" w:hAnsi="黑体" w:eastAsia="仿宋_GB2312" w:cs="方正小标宋简体"/>
          <w:color w:val="auto"/>
          <w:kern w:val="0"/>
          <w:sz w:val="30"/>
          <w:szCs w:val="30"/>
          <w:highlight w:val="none"/>
          <w:lang w:val="en-US" w:eastAsia="zh-CN"/>
        </w:rPr>
        <w:t>0</w:t>
      </w:r>
      <w:r>
        <w:rPr>
          <w:rFonts w:hint="eastAsia" w:ascii="仿宋_GB2312" w:hAnsi="黑体" w:eastAsia="仿宋_GB2312" w:cs="方正小标宋简体"/>
          <w:color w:val="auto"/>
          <w:kern w:val="0"/>
          <w:sz w:val="30"/>
          <w:szCs w:val="30"/>
          <w:highlight w:val="none"/>
        </w:rPr>
        <w:t>辆，账面原值</w:t>
      </w:r>
      <w:r>
        <w:rPr>
          <w:rFonts w:hint="eastAsia" w:ascii="仿宋_GB2312" w:hAnsi="黑体" w:eastAsia="仿宋_GB2312" w:cs="方正小标宋简体"/>
          <w:color w:val="auto"/>
          <w:kern w:val="0"/>
          <w:sz w:val="30"/>
          <w:szCs w:val="30"/>
          <w:highlight w:val="none"/>
          <w:lang w:val="en-US" w:eastAsia="zh-CN"/>
        </w:rPr>
        <w:t>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；报废报损资产</w:t>
      </w:r>
      <w:r>
        <w:rPr>
          <w:rFonts w:hint="eastAsia" w:ascii="仿宋_GB2312" w:hAnsi="黑体" w:eastAsia="仿宋_GB2312" w:cs="方正小标宋简体"/>
          <w:color w:val="auto"/>
          <w:kern w:val="0"/>
          <w:sz w:val="30"/>
          <w:szCs w:val="30"/>
          <w:highlight w:val="none"/>
          <w:lang w:val="en-US" w:eastAsia="zh-CN"/>
        </w:rPr>
        <w:t>0</w:t>
      </w:r>
      <w:r>
        <w:rPr>
          <w:rFonts w:hint="eastAsia" w:ascii="仿宋_GB2312" w:hAnsi="黑体" w:eastAsia="仿宋_GB2312" w:cs="方正小标宋简体"/>
          <w:color w:val="auto"/>
          <w:kern w:val="0"/>
          <w:sz w:val="30"/>
          <w:szCs w:val="30"/>
          <w:highlight w:val="none"/>
        </w:rPr>
        <w:t>项，账面原值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，实现资产处置收入</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；出租房屋</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rPr>
        <w:t>平方米，账面原值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，实现资产使用收入</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w:t>
      </w:r>
    </w:p>
    <w:p w14:paraId="415C2789">
      <w:pPr>
        <w:keepNext w:val="0"/>
        <w:keepLines w:val="0"/>
        <w:pageBreakBefore w:val="0"/>
        <w:widowControl/>
        <w:kinsoku/>
        <w:overflowPunct/>
        <w:topLinePunct w:val="0"/>
        <w:autoSpaceDE/>
        <w:autoSpaceDN/>
        <w:bidi w:val="0"/>
        <w:spacing w:line="600" w:lineRule="exact"/>
        <w:ind w:left="0" w:leftChars="0" w:right="0" w:rightChars="0" w:firstLine="600" w:firstLineChars="200"/>
        <w:textAlignment w:val="auto"/>
        <w:rPr>
          <w:rFonts w:hint="eastAsia" w:ascii="仿宋_GB2312" w:hAnsi="黑体" w:eastAsia="仿宋_GB2312" w:cs="方正小标宋简体"/>
          <w:color w:val="auto"/>
          <w:kern w:val="0"/>
          <w:sz w:val="30"/>
          <w:szCs w:val="30"/>
          <w:highlight w:val="none"/>
          <w:lang w:eastAsia="zh-CN"/>
        </w:rPr>
      </w:pPr>
      <w:r>
        <w:rPr>
          <w:rFonts w:hint="eastAsia" w:ascii="仿宋_GB2312" w:hAnsi="黑体" w:eastAsia="仿宋_GB2312" w:cs="方正小标宋简体"/>
          <w:color w:val="auto"/>
          <w:kern w:val="0"/>
          <w:sz w:val="30"/>
          <w:szCs w:val="30"/>
          <w:highlight w:val="none"/>
          <w:lang w:eastAsia="zh-CN"/>
        </w:rPr>
        <w:t>（</w:t>
      </w:r>
      <w:r>
        <w:rPr>
          <w:rFonts w:hint="eastAsia" w:ascii="仿宋_GB2312" w:hAnsi="黑体" w:eastAsia="仿宋_GB2312" w:cs="方正小标宋简体"/>
          <w:color w:val="auto"/>
          <w:kern w:val="0"/>
          <w:sz w:val="30"/>
          <w:szCs w:val="30"/>
          <w:highlight w:val="none"/>
        </w:rPr>
        <w:t>国有资产占有使用情况表</w:t>
      </w:r>
      <w:r>
        <w:rPr>
          <w:rFonts w:hint="eastAsia" w:ascii="仿宋_GB2312" w:hAnsi="黑体" w:eastAsia="仿宋_GB2312" w:cs="方正小标宋简体"/>
          <w:color w:val="auto"/>
          <w:kern w:val="0"/>
          <w:sz w:val="30"/>
          <w:szCs w:val="30"/>
          <w:highlight w:val="none"/>
          <w:lang w:eastAsia="zh-CN"/>
        </w:rPr>
        <w:t>详见附表）</w:t>
      </w:r>
    </w:p>
    <w:p w14:paraId="44CC9BE1">
      <w:pPr>
        <w:keepNext w:val="0"/>
        <w:keepLines w:val="0"/>
        <w:pageBreakBefore w:val="0"/>
        <w:kinsoku/>
        <w:overflowPunct/>
        <w:topLinePunct w:val="0"/>
        <w:autoSpaceDE/>
        <w:autoSpaceDN/>
        <w:bidi w:val="0"/>
        <w:spacing w:line="600" w:lineRule="exact"/>
        <w:ind w:left="0" w:leftChars="0" w:right="0" w:rightChars="0" w:firstLine="600" w:firstLineChars="200"/>
        <w:jc w:val="left"/>
        <w:textAlignment w:val="auto"/>
        <w:outlineLvl w:val="1"/>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lang w:eastAsia="zh-CN"/>
        </w:rPr>
        <w:t>三、政</w:t>
      </w:r>
      <w:r>
        <w:rPr>
          <w:rFonts w:hint="eastAsia" w:ascii="黑体" w:hAnsi="黑体" w:eastAsia="黑体" w:cs="黑体"/>
          <w:color w:val="auto"/>
          <w:sz w:val="30"/>
          <w:szCs w:val="30"/>
          <w:highlight w:val="none"/>
        </w:rPr>
        <w:t>府采购支出情况</w:t>
      </w:r>
    </w:p>
    <w:p w14:paraId="40B1E7A5">
      <w:pPr>
        <w:keepNext w:val="0"/>
        <w:keepLines w:val="0"/>
        <w:pageBreakBefore w:val="0"/>
        <w:kinsoku/>
        <w:overflowPunct/>
        <w:topLinePunct w:val="0"/>
        <w:autoSpaceDE/>
        <w:autoSpaceDN/>
        <w:bidi w:val="0"/>
        <w:spacing w:line="600" w:lineRule="exact"/>
        <w:ind w:left="0" w:leftChars="0" w:right="0" w:rightChars="0"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元，其中：政府采购货物支出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w:t>
      </w:r>
    </w:p>
    <w:p w14:paraId="15FD385F">
      <w:pPr>
        <w:keepNext w:val="0"/>
        <w:keepLines w:val="0"/>
        <w:pageBreakBefore w:val="0"/>
        <w:kinsoku/>
        <w:overflowPunct/>
        <w:topLinePunct w:val="0"/>
        <w:autoSpaceDE/>
        <w:autoSpaceDN/>
        <w:bidi w:val="0"/>
        <w:spacing w:line="600" w:lineRule="exact"/>
        <w:ind w:left="0" w:leftChars="0" w:right="0" w:rightChars="0" w:firstLine="600" w:firstLineChars="200"/>
        <w:jc w:val="left"/>
        <w:textAlignment w:val="auto"/>
        <w:outlineLvl w:val="1"/>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四、单位绩效自评情况</w:t>
      </w:r>
    </w:p>
    <w:p w14:paraId="77A32231">
      <w:pPr>
        <w:keepNext w:val="0"/>
        <w:keepLines w:val="0"/>
        <w:pageBreakBefore w:val="0"/>
        <w:widowControl/>
        <w:kinsoku/>
        <w:overflowPunct/>
        <w:topLinePunct w:val="0"/>
        <w:autoSpaceDE/>
        <w:autoSpaceDN/>
        <w:bidi w:val="0"/>
        <w:snapToGrid w:val="0"/>
        <w:spacing w:line="600" w:lineRule="exact"/>
        <w:ind w:left="0" w:leftChars="0" w:right="0" w:rightChars="0" w:firstLine="600"/>
        <w:jc w:val="left"/>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单位绩效自评情况详见附表。</w:t>
      </w:r>
    </w:p>
    <w:p w14:paraId="0B44B254">
      <w:pPr>
        <w:keepNext w:val="0"/>
        <w:keepLines w:val="0"/>
        <w:pageBreakBefore w:val="0"/>
        <w:widowControl/>
        <w:kinsoku/>
        <w:overflowPunct/>
        <w:topLinePunct w:val="0"/>
        <w:autoSpaceDE/>
        <w:autoSpaceDN/>
        <w:bidi w:val="0"/>
        <w:snapToGrid w:val="0"/>
        <w:spacing w:line="600" w:lineRule="exact"/>
        <w:ind w:left="0" w:leftChars="0" w:right="0" w:rightChars="0" w:firstLine="600" w:firstLineChars="200"/>
        <w:jc w:val="left"/>
        <w:textAlignment w:val="auto"/>
        <w:outlineLvl w:val="1"/>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五、其他重要事项情况说明</w:t>
      </w:r>
    </w:p>
    <w:p w14:paraId="2C44E807">
      <w:pPr>
        <w:keepNext w:val="0"/>
        <w:keepLines w:val="0"/>
        <w:pageBreakBefore w:val="0"/>
        <w:kinsoku/>
        <w:overflowPunct/>
        <w:topLinePunct w:val="0"/>
        <w:autoSpaceDE/>
        <w:autoSpaceDN/>
        <w:bidi w:val="0"/>
        <w:spacing w:line="600" w:lineRule="exact"/>
        <w:ind w:left="0" w:leftChars="0" w:right="0" w:rightChars="0" w:firstLine="600" w:firstLineChars="200"/>
        <w:jc w:val="left"/>
        <w:textAlignment w:val="auto"/>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rPr>
        <w:t>本单位无其他重要事项。</w:t>
      </w:r>
    </w:p>
    <w:p w14:paraId="5BB0D1EE">
      <w:pPr>
        <w:keepNext w:val="0"/>
        <w:keepLines w:val="0"/>
        <w:pageBreakBefore w:val="0"/>
        <w:widowControl/>
        <w:kinsoku/>
        <w:overflowPunct/>
        <w:topLinePunct w:val="0"/>
        <w:autoSpaceDE/>
        <w:autoSpaceDN/>
        <w:bidi w:val="0"/>
        <w:snapToGrid w:val="0"/>
        <w:spacing w:line="600" w:lineRule="exact"/>
        <w:ind w:left="0" w:leftChars="0" w:right="0" w:rightChars="0" w:firstLine="600" w:firstLineChars="200"/>
        <w:jc w:val="left"/>
        <w:textAlignment w:val="auto"/>
        <w:outlineLvl w:val="1"/>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六、相关口径说明</w:t>
      </w:r>
    </w:p>
    <w:p w14:paraId="434370C2">
      <w:pPr>
        <w:keepNext w:val="0"/>
        <w:keepLines w:val="0"/>
        <w:pageBreakBefore w:val="0"/>
        <w:kinsoku/>
        <w:overflowPunct/>
        <w:topLinePunct w:val="0"/>
        <w:autoSpaceDE/>
        <w:autoSpaceDN/>
        <w:bidi w:val="0"/>
        <w:spacing w:line="600" w:lineRule="exact"/>
        <w:ind w:left="0" w:leftChars="0" w:right="0" w:rightChars="0" w:firstLine="600" w:firstLineChars="200"/>
        <w:jc w:val="left"/>
        <w:textAlignment w:val="auto"/>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（一）</w:t>
      </w:r>
      <w:r>
        <w:rPr>
          <w:rFonts w:hint="eastAsia" w:ascii="仿宋_GB2312" w:hAnsi="黑体" w:eastAsia="仿宋_GB2312" w:cs="方正小标宋简体"/>
          <w:color w:val="auto"/>
          <w:sz w:val="30"/>
          <w:szCs w:val="30"/>
          <w:highlight w:val="none"/>
        </w:rPr>
        <w:t>基本支出中人员经费包括工资福利支出和对个人和家庭的补助，公用</w:t>
      </w:r>
      <w:r>
        <w:rPr>
          <w:rFonts w:hint="eastAsia" w:ascii="仿宋_GB2312" w:hAnsi="黑体" w:eastAsia="仿宋_GB2312" w:cs="方正小标宋简体"/>
          <w:color w:val="auto"/>
          <w:sz w:val="30"/>
          <w:szCs w:val="30"/>
          <w:highlight w:val="none"/>
          <w:lang w:eastAsia="zh-CN"/>
        </w:rPr>
        <w:t>经费</w:t>
      </w:r>
      <w:r>
        <w:rPr>
          <w:rFonts w:hint="eastAsia" w:ascii="仿宋_GB2312" w:hAnsi="黑体" w:eastAsia="仿宋_GB2312" w:cs="方正小标宋简体"/>
          <w:color w:val="auto"/>
          <w:sz w:val="30"/>
          <w:szCs w:val="30"/>
          <w:highlight w:val="none"/>
        </w:rPr>
        <w:t>包括商品和服务支出、资本性支出等人员经费以外的支出。</w:t>
      </w:r>
    </w:p>
    <w:p w14:paraId="418F8EC5">
      <w:pPr>
        <w:keepNext w:val="0"/>
        <w:keepLines w:val="0"/>
        <w:pageBreakBefore w:val="0"/>
        <w:kinsoku/>
        <w:overflowPunct/>
        <w:topLinePunct w:val="0"/>
        <w:autoSpaceDE/>
        <w:autoSpaceDN/>
        <w:bidi w:val="0"/>
        <w:spacing w:line="600" w:lineRule="exact"/>
        <w:ind w:left="0" w:leftChars="0" w:right="0" w:rightChars="0" w:firstLine="600" w:firstLineChars="200"/>
        <w:jc w:val="left"/>
        <w:textAlignment w:val="auto"/>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（二）</w:t>
      </w:r>
      <w:r>
        <w:rPr>
          <w:rFonts w:hint="eastAsia" w:ascii="仿宋_GB2312" w:hAnsi="黑体" w:eastAsia="仿宋_GB2312" w:cs="方正小标宋简体"/>
          <w:color w:val="auto"/>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color w:val="auto"/>
          <w:sz w:val="30"/>
          <w:szCs w:val="30"/>
          <w:highlight w:val="none"/>
          <w:lang w:eastAsia="zh-CN"/>
        </w:rPr>
        <w:t>。</w:t>
      </w:r>
    </w:p>
    <w:p w14:paraId="5C4E51A7">
      <w:pPr>
        <w:keepNext w:val="0"/>
        <w:keepLines w:val="0"/>
        <w:pageBreakBefore w:val="0"/>
        <w:kinsoku/>
        <w:overflowPunct/>
        <w:topLinePunct w:val="0"/>
        <w:autoSpaceDE/>
        <w:autoSpaceDN/>
        <w:bidi w:val="0"/>
        <w:spacing w:line="600" w:lineRule="exact"/>
        <w:ind w:left="0" w:leftChars="0" w:right="0" w:rightChars="0" w:firstLine="600" w:firstLineChars="200"/>
        <w:jc w:val="left"/>
        <w:textAlignment w:val="auto"/>
        <w:rPr>
          <w:rFonts w:hint="eastAsia" w:ascii="仿宋_GB2312" w:hAnsi="黑体" w:eastAsia="仿宋_GB2312" w:cs="方正小标宋简体"/>
          <w:color w:val="auto"/>
          <w:sz w:val="30"/>
          <w:szCs w:val="30"/>
          <w:highlight w:val="none"/>
          <w:lang w:eastAsia="zh-CN"/>
        </w:rPr>
      </w:pPr>
      <w:r>
        <w:rPr>
          <w:rFonts w:hint="eastAsia" w:ascii="仿宋_GB2312" w:hAnsi="黑体" w:eastAsia="仿宋_GB2312" w:cs="方正小标宋简体"/>
          <w:color w:val="auto"/>
          <w:sz w:val="30"/>
          <w:szCs w:val="30"/>
          <w:highlight w:val="none"/>
          <w:lang w:eastAsia="zh-CN"/>
        </w:rPr>
        <w:t>（三）</w:t>
      </w:r>
      <w:r>
        <w:rPr>
          <w:rFonts w:hint="eastAsia" w:ascii="仿宋_GB2312" w:hAnsi="黑体" w:eastAsia="仿宋_GB2312" w:cs="方正小标宋简体"/>
          <w:color w:val="auto"/>
          <w:sz w:val="30"/>
          <w:szCs w:val="30"/>
          <w:highlight w:val="none"/>
        </w:rPr>
        <w:t>按照党中央、国务院有关文件及部门预算管理有关规定，“三公”经费包括因公出国（境）费</w:t>
      </w:r>
      <w:r>
        <w:rPr>
          <w:rFonts w:hint="eastAsia" w:ascii="仿宋_GB2312" w:hAnsi="黑体" w:eastAsia="仿宋_GB2312" w:cs="方正小标宋简体"/>
          <w:color w:val="auto"/>
          <w:sz w:val="30"/>
          <w:szCs w:val="30"/>
          <w:highlight w:val="none"/>
          <w:lang w:val="en-US" w:eastAsia="zh-CN"/>
        </w:rPr>
        <w:t>用</w:t>
      </w:r>
      <w:r>
        <w:rPr>
          <w:rFonts w:hint="eastAsia" w:ascii="仿宋_GB2312" w:hAnsi="黑体" w:eastAsia="仿宋_GB2312" w:cs="方正小标宋简体"/>
          <w:color w:val="auto"/>
          <w:sz w:val="30"/>
          <w:szCs w:val="30"/>
          <w:highlight w:val="none"/>
        </w:rPr>
        <w:t>、公务用车购置及运行维护费、公务接待费。其中：因公出国（境）费</w:t>
      </w:r>
      <w:r>
        <w:rPr>
          <w:rFonts w:hint="eastAsia" w:ascii="仿宋_GB2312" w:hAnsi="黑体" w:eastAsia="仿宋_GB2312" w:cs="方正小标宋简体"/>
          <w:color w:val="auto"/>
          <w:sz w:val="30"/>
          <w:szCs w:val="30"/>
          <w:highlight w:val="none"/>
          <w:lang w:val="en-US" w:eastAsia="zh-CN"/>
        </w:rPr>
        <w:t>用</w:t>
      </w:r>
      <w:r>
        <w:rPr>
          <w:rFonts w:hint="eastAsia" w:ascii="仿宋_GB2312" w:hAnsi="黑体" w:eastAsia="仿宋_GB2312" w:cs="方正小标宋简体"/>
          <w:color w:val="auto"/>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color w:val="auto"/>
          <w:sz w:val="30"/>
          <w:szCs w:val="30"/>
          <w:highlight w:val="none"/>
          <w:lang w:eastAsia="zh-CN"/>
        </w:rPr>
        <w:t>、牌照费</w:t>
      </w:r>
      <w:r>
        <w:rPr>
          <w:rFonts w:hint="eastAsia" w:ascii="仿宋_GB2312" w:hAnsi="黑体" w:eastAsia="仿宋_GB2312" w:cs="方正小标宋简体"/>
          <w:color w:val="auto"/>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color w:val="auto"/>
          <w:sz w:val="30"/>
          <w:szCs w:val="30"/>
          <w:highlight w:val="none"/>
          <w:lang w:eastAsia="zh-CN"/>
        </w:rPr>
        <w:t>本文中公开的财政拨款“三公”经费相关数据是一般公共预算、政府性基金及国有资本经营预算财政拨款支出的相关经费，不含非财政拨款部分。</w:t>
      </w:r>
    </w:p>
    <w:p w14:paraId="5DDF75C0">
      <w:pPr>
        <w:keepNext w:val="0"/>
        <w:keepLines w:val="0"/>
        <w:pageBreakBefore w:val="0"/>
        <w:kinsoku/>
        <w:overflowPunct/>
        <w:topLinePunct w:val="0"/>
        <w:autoSpaceDE/>
        <w:autoSpaceDN/>
        <w:bidi w:val="0"/>
        <w:spacing w:line="600" w:lineRule="exact"/>
        <w:ind w:left="0" w:leftChars="0" w:right="0" w:rightChars="0" w:firstLine="600" w:firstLineChars="200"/>
        <w:jc w:val="left"/>
        <w:textAlignment w:val="auto"/>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（四）本文所称财政拨款</w:t>
      </w:r>
      <w:r>
        <w:rPr>
          <w:rFonts w:hint="eastAsia" w:ascii="仿宋_GB2312" w:hAnsi="黑体" w:eastAsia="仿宋_GB2312" w:cs="方正小标宋简体"/>
          <w:color w:val="auto"/>
          <w:sz w:val="30"/>
          <w:szCs w:val="30"/>
          <w:highlight w:val="none"/>
        </w:rPr>
        <w:t>“三公”经费决算数</w:t>
      </w:r>
      <w:r>
        <w:rPr>
          <w:rFonts w:hint="eastAsia" w:ascii="仿宋_GB2312" w:hAnsi="黑体" w:eastAsia="仿宋_GB2312" w:cs="方正小标宋简体"/>
          <w:color w:val="auto"/>
          <w:sz w:val="30"/>
          <w:szCs w:val="30"/>
          <w:highlight w:val="none"/>
          <w:lang w:eastAsia="zh-CN"/>
        </w:rPr>
        <w:t>是</w:t>
      </w:r>
      <w:r>
        <w:rPr>
          <w:rFonts w:hint="eastAsia" w:ascii="仿宋_GB2312" w:hAnsi="黑体" w:eastAsia="仿宋_GB2312" w:cs="方正小标宋简体"/>
          <w:color w:val="auto"/>
          <w:sz w:val="30"/>
          <w:szCs w:val="30"/>
          <w:highlight w:val="none"/>
        </w:rPr>
        <w:t>指各部门（含下属单位）</w:t>
      </w:r>
      <w:r>
        <w:rPr>
          <w:rFonts w:hint="eastAsia" w:ascii="仿宋_GB2312" w:hAnsi="黑体" w:eastAsia="仿宋_GB2312" w:cs="方正小标宋简体"/>
          <w:color w:val="auto"/>
          <w:sz w:val="30"/>
          <w:szCs w:val="30"/>
          <w:highlight w:val="none"/>
          <w:lang w:eastAsia="zh-CN"/>
        </w:rPr>
        <w:t>或单位</w:t>
      </w:r>
      <w:r>
        <w:rPr>
          <w:rFonts w:hint="eastAsia" w:ascii="仿宋_GB2312" w:hAnsi="黑体" w:eastAsia="仿宋_GB2312" w:cs="方正小标宋简体"/>
          <w:color w:val="auto"/>
          <w:sz w:val="30"/>
          <w:szCs w:val="30"/>
          <w:highlight w:val="none"/>
        </w:rPr>
        <w:t>当年通过本级财政拨款和以前年度财政拨款结转结余资金安排的因公出国（境）费</w:t>
      </w:r>
      <w:r>
        <w:rPr>
          <w:rFonts w:hint="eastAsia" w:ascii="仿宋_GB2312" w:hAnsi="黑体" w:eastAsia="仿宋_GB2312" w:cs="方正小标宋简体"/>
          <w:color w:val="auto"/>
          <w:sz w:val="30"/>
          <w:szCs w:val="30"/>
          <w:highlight w:val="none"/>
          <w:lang w:val="en-US" w:eastAsia="zh-CN"/>
        </w:rPr>
        <w:t>用</w:t>
      </w:r>
      <w:r>
        <w:rPr>
          <w:rFonts w:hint="eastAsia" w:ascii="仿宋_GB2312" w:hAnsi="黑体" w:eastAsia="仿宋_GB2312" w:cs="方正小标宋简体"/>
          <w:color w:val="auto"/>
          <w:sz w:val="30"/>
          <w:szCs w:val="30"/>
          <w:highlight w:val="none"/>
        </w:rPr>
        <w:t>、公务用车购置及运行维护费和公务接待费支出数（包括基本支出和项目支出）。</w:t>
      </w:r>
    </w:p>
    <w:p w14:paraId="2030A8BF">
      <w:pPr>
        <w:keepNext w:val="0"/>
        <w:keepLines w:val="0"/>
        <w:pageBreakBefore w:val="0"/>
        <w:kinsoku/>
        <w:overflowPunct/>
        <w:topLinePunct w:val="0"/>
        <w:autoSpaceDE/>
        <w:autoSpaceDN/>
        <w:bidi w:val="0"/>
        <w:spacing w:line="600" w:lineRule="exact"/>
        <w:ind w:left="0" w:leftChars="0" w:right="0" w:rightChars="0"/>
        <w:jc w:val="center"/>
        <w:textAlignment w:val="auto"/>
        <w:outlineLvl w:val="0"/>
        <w:rPr>
          <w:rFonts w:hint="eastAsia" w:ascii="黑体" w:hAnsi="黑体" w:eastAsia="黑体" w:cs="方正小标宋简体"/>
          <w:color w:val="auto"/>
          <w:sz w:val="32"/>
          <w:szCs w:val="32"/>
          <w:highlight w:val="none"/>
        </w:rPr>
      </w:pPr>
      <w:r>
        <w:rPr>
          <w:rFonts w:hint="eastAsia" w:ascii="黑体" w:hAnsi="黑体" w:eastAsia="黑体" w:cs="方正小标宋简体"/>
          <w:color w:val="auto"/>
          <w:sz w:val="32"/>
          <w:szCs w:val="32"/>
          <w:highlight w:val="none"/>
        </w:rPr>
        <w:t>第</w:t>
      </w:r>
      <w:r>
        <w:rPr>
          <w:rFonts w:hint="eastAsia" w:ascii="黑体" w:hAnsi="黑体" w:eastAsia="黑体" w:cs="方正小标宋简体"/>
          <w:color w:val="auto"/>
          <w:sz w:val="32"/>
          <w:szCs w:val="32"/>
          <w:highlight w:val="none"/>
          <w:lang w:eastAsia="zh-CN"/>
        </w:rPr>
        <w:t>五</w:t>
      </w:r>
      <w:r>
        <w:rPr>
          <w:rFonts w:hint="eastAsia" w:ascii="黑体" w:hAnsi="黑体" w:eastAsia="黑体" w:cs="方正小标宋简体"/>
          <w:color w:val="auto"/>
          <w:sz w:val="32"/>
          <w:szCs w:val="32"/>
          <w:highlight w:val="none"/>
        </w:rPr>
        <w:t>部分  名词解释</w:t>
      </w:r>
    </w:p>
    <w:p w14:paraId="5FBA4B35">
      <w:pPr>
        <w:keepNext w:val="0"/>
        <w:keepLines w:val="0"/>
        <w:pageBreakBefore w:val="0"/>
        <w:kinsoku/>
        <w:overflowPunct/>
        <w:topLinePunct w:val="0"/>
        <w:autoSpaceDE/>
        <w:autoSpaceDN/>
        <w:bidi w:val="0"/>
        <w:spacing w:line="600" w:lineRule="exact"/>
        <w:ind w:left="0" w:leftChars="0" w:right="0" w:rightChars="0" w:firstLine="600" w:firstLineChars="200"/>
        <w:jc w:val="left"/>
        <w:textAlignment w:val="auto"/>
        <w:rPr>
          <w:rFonts w:hint="eastAsia" w:ascii="仿宋_GB2312" w:hAnsi="黑体" w:eastAsia="仿宋_GB2312" w:cs="方正小标宋简体"/>
          <w:color w:val="auto"/>
          <w:sz w:val="30"/>
          <w:szCs w:val="30"/>
          <w:highlight w:val="none"/>
          <w:lang w:eastAsia="zh-CN"/>
        </w:rPr>
      </w:pPr>
      <w:r>
        <w:rPr>
          <w:rFonts w:hint="eastAsia" w:ascii="仿宋_GB2312" w:hAnsi="黑体" w:eastAsia="仿宋_GB2312" w:cs="方正小标宋简体"/>
          <w:color w:val="auto"/>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3B448B4F">
      <w:pPr>
        <w:pStyle w:val="2"/>
        <w:keepNext w:val="0"/>
        <w:keepLines w:val="0"/>
        <w:pageBreakBefore w:val="0"/>
        <w:kinsoku/>
        <w:wordWrap/>
        <w:overflowPunct/>
        <w:topLinePunct w:val="0"/>
        <w:autoSpaceDE/>
        <w:autoSpaceDN/>
        <w:bidi w:val="0"/>
        <w:adjustRightInd w:val="0"/>
        <w:snapToGrid w:val="0"/>
        <w:spacing w:line="600" w:lineRule="exact"/>
        <w:ind w:left="0" w:leftChars="0" w:right="0" w:rightChars="0" w:firstLine="0" w:firstLineChars="0"/>
        <w:textAlignment w:val="auto"/>
        <w:rPr>
          <w:rFonts w:hint="eastAsia"/>
          <w:sz w:val="30"/>
          <w:szCs w:val="30"/>
          <w:lang w:eastAsia="zh-CN"/>
        </w:rPr>
      </w:pPr>
      <w:r>
        <w:rPr>
          <w:rFonts w:ascii="Arial" w:hAnsi="Arial" w:eastAsia="宋体" w:cs="Arial"/>
          <w:b/>
          <w:i w:val="0"/>
          <w:caps w:val="0"/>
          <w:color w:val="000000"/>
          <w:spacing w:val="0"/>
          <w:sz w:val="30"/>
          <w:szCs w:val="30"/>
        </w:rPr>
        <w:t>监督索引号53042400632400201111</w:t>
      </w:r>
    </w:p>
    <w:p w14:paraId="08644B3A">
      <w:pPr>
        <w:pStyle w:val="2"/>
        <w:ind w:left="0" w:leftChars="0" w:firstLine="0" w:firstLineChars="0"/>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FEE2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FE4E1C4">
                          <w:pPr>
                            <w:pStyle w:val="5"/>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1FE4E1C4">
                    <w:pPr>
                      <w:pStyle w:val="5"/>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33013">
    <w:pPr>
      <w:pStyle w:val="5"/>
      <w:framePr w:wrap="around" w:vAnchor="text" w:hAnchor="margin" w:xAlign="center" w:y="1"/>
      <w:rPr>
        <w:rStyle w:val="10"/>
      </w:rPr>
    </w:pPr>
    <w:r>
      <w:rPr>
        <w:rStyle w:val="10"/>
      </w:rPr>
      <w:fldChar w:fldCharType="begin"/>
    </w:r>
    <w:r>
      <w:rPr>
        <w:rStyle w:val="10"/>
      </w:rPr>
      <w:instrText xml:space="preserve">PAGE  </w:instrText>
    </w:r>
    <w:r>
      <w:fldChar w:fldCharType="separate"/>
    </w:r>
    <w:r>
      <w:fldChar w:fldCharType="end"/>
    </w:r>
  </w:p>
  <w:p w14:paraId="464D0FB8">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29E47">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B4C7E1"/>
    <w:multiLevelType w:val="singleLevel"/>
    <w:tmpl w:val="6AB4C7E1"/>
    <w:lvl w:ilvl="0" w:tentative="0">
      <w:start w:val="4"/>
      <w:numFmt w:val="chineseCounting"/>
      <w:suff w:val="nothing"/>
      <w:lvlText w:val="%1、"/>
      <w:lvlJc w:val="left"/>
      <w:rPr>
        <w:rFonts w:hint="eastAsia"/>
      </w:rPr>
    </w:lvl>
  </w:abstractNum>
  <w:abstractNum w:abstractNumId="1">
    <w:nsid w:val="6AB9CFFD"/>
    <w:multiLevelType w:val="singleLevel"/>
    <w:tmpl w:val="6AB9CFF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4D255E"/>
    <w:rsid w:val="03B27ACE"/>
    <w:rsid w:val="043C5073"/>
    <w:rsid w:val="068E6948"/>
    <w:rsid w:val="07746189"/>
    <w:rsid w:val="0AD10D27"/>
    <w:rsid w:val="16261B87"/>
    <w:rsid w:val="16EB6BAB"/>
    <w:rsid w:val="207B11A2"/>
    <w:rsid w:val="29A460F3"/>
    <w:rsid w:val="2C8A3005"/>
    <w:rsid w:val="2FA317E8"/>
    <w:rsid w:val="32F52B59"/>
    <w:rsid w:val="383C7F23"/>
    <w:rsid w:val="3AD67C5F"/>
    <w:rsid w:val="3AFF03C5"/>
    <w:rsid w:val="3EE844D8"/>
    <w:rsid w:val="41E41920"/>
    <w:rsid w:val="47F12D12"/>
    <w:rsid w:val="485A46A8"/>
    <w:rsid w:val="550D4328"/>
    <w:rsid w:val="558D2737"/>
    <w:rsid w:val="5BF74E59"/>
    <w:rsid w:val="5CB76208"/>
    <w:rsid w:val="5DAB4D7A"/>
    <w:rsid w:val="5F1A5A31"/>
    <w:rsid w:val="64621C25"/>
    <w:rsid w:val="722D19B0"/>
    <w:rsid w:val="79F16EDE"/>
    <w:rsid w:val="D6F724D6"/>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szCs w:val="22"/>
      <w:lang w:val="en-US" w:eastAsia="zh-CN"/>
    </w:rPr>
  </w:style>
  <w:style w:type="paragraph" w:styleId="4">
    <w:name w:val="Body Text"/>
    <w:basedOn w:val="1"/>
    <w:qFormat/>
    <w:uiPriority w:val="0"/>
    <w:pPr>
      <w:spacing w:before="93" w:beforeLines="30"/>
    </w:pPr>
    <w:rPr>
      <w:rFonts w:ascii="仿宋_GB2312" w:eastAsia="仿宋_GB2312"/>
      <w:sz w:val="30"/>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2052-11.8.2.12309</vt:lpwstr>
  </property>
  <property xmlns="http://schemas.openxmlformats.org/officeDocument/2006/custom-properties" pid="3" name="ICV" fmtid="{D5CDD505-2E9C-101B-9397-08002B2CF9AE}">
    <vt:lpwstr xmlns:vt="http://schemas.openxmlformats.org/officeDocument/2006/docPropsVTypes">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2ae2a0-1009-41dc-807a-22cb34f25fd5}">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15</Pages>
  <Words>0</Words>
  <Characters>0</Characters>
  <Lines>0</Lines>
  <Paragraphs>0</Paragraphs>
  <TotalTime>0</TotalTime>
  <ScaleCrop>false</ScaleCrop>
  <LinksUpToDate>false</LinksUpToDate>
  <CharactersWithSpaces>0</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2024-06-03T09:34:00Z</dcterms:created>
  <dc:creator>李瑞婷_x0028_拟稿_x0029_</dc:creator>
  <cp:lastModifiedBy>安子</cp:lastModifiedBy>
  <cp:lastPrinted>2024-07-30T14:24:00Z</cp:lastPrinted>
  <dcterms:modified xsi:type="dcterms:W3CDTF">2026-09-29T16:46:41Z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05BA6AF481805F9AF17ABB6A4B62F558_43</vt:lpwstr>
  </property>
</Properties>
</file>