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1BF7A">
      <w:pPr>
        <w:keepNext w:val="0"/>
        <w:keepLines w:val="0"/>
        <w:pageBreakBefore w:val="0"/>
        <w:kinsoku/>
        <w:wordWrap/>
        <w:overflowPunct/>
        <w:topLinePunct w:val="0"/>
        <w:autoSpaceDE/>
        <w:autoSpaceDN/>
        <w:bidi w:val="0"/>
        <w:adjustRightInd/>
        <w:spacing w:line="590" w:lineRule="exact"/>
        <w:jc w:val="center"/>
        <w:textAlignment w:val="auto"/>
        <w:outlineLvl w:val="0"/>
        <w:rPr>
          <w:rFonts w:hint="eastAsia" w:ascii="方正小标宋简体" w:hAnsi="方正小标宋简体" w:eastAsia="方正小标宋简体" w:cs="方正小标宋简体"/>
          <w:sz w:val="36"/>
          <w:lang w:val="zh-CN"/>
        </w:rPr>
      </w:pPr>
      <w:bookmarkStart w:id="0" w:name="_GoBack"/>
      <w:r>
        <w:rPr>
          <w:rFonts w:hint="eastAsia" w:ascii="方正小标宋简体" w:hAnsi="方正小标宋简体" w:eastAsia="方正小标宋简体" w:cs="方正小标宋简体"/>
          <w:sz w:val="36"/>
          <w:lang w:val="zh-CN"/>
        </w:rPr>
        <w:t>中国人民政治协商会议云南省华宁县委员会办公室</w:t>
      </w:r>
    </w:p>
    <w:p w14:paraId="680CF4AD">
      <w:pPr>
        <w:keepNext w:val="0"/>
        <w:keepLines w:val="0"/>
        <w:pageBreakBefore w:val="0"/>
        <w:kinsoku/>
        <w:wordWrap/>
        <w:overflowPunct/>
        <w:topLinePunct w:val="0"/>
        <w:autoSpaceDE/>
        <w:autoSpaceDN/>
        <w:bidi w:val="0"/>
        <w:adjustRightInd/>
        <w:spacing w:line="590" w:lineRule="exact"/>
        <w:jc w:val="center"/>
        <w:textAlignment w:val="auto"/>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r>
        <w:rPr>
          <w:rFonts w:hint="eastAsia" w:ascii="方正小标宋简体" w:hAnsi="方正小标宋简体" w:eastAsia="方正小标宋简体" w:cs="方正小标宋简体"/>
          <w:sz w:val="36"/>
          <w:szCs w:val="36"/>
          <w:highlight w:val="none"/>
          <w:lang w:eastAsia="zh-CN"/>
        </w:rPr>
        <w:t>目录</w:t>
      </w:r>
    </w:p>
    <w:bookmarkEnd w:id="0"/>
    <w:p w14:paraId="25933718">
      <w:pPr>
        <w:keepNext w:val="0"/>
        <w:keepLines w:val="0"/>
        <w:pageBreakBefore w:val="0"/>
        <w:kinsoku/>
        <w:wordWrap/>
        <w:overflowPunct/>
        <w:topLinePunct w:val="0"/>
        <w:autoSpaceDE/>
        <w:autoSpaceDN/>
        <w:bidi w:val="0"/>
        <w:adjustRightInd/>
        <w:spacing w:line="590" w:lineRule="exact"/>
        <w:jc w:val="left"/>
        <w:textAlignment w:val="auto"/>
        <w:rPr>
          <w:rFonts w:hint="eastAsia" w:ascii="Times New Roman" w:hAnsi="Times New Roman" w:eastAsia="黑体"/>
          <w:sz w:val="30"/>
          <w:szCs w:val="30"/>
          <w:highlight w:val="none"/>
        </w:rPr>
      </w:pPr>
    </w:p>
    <w:p w14:paraId="30612E9A">
      <w:pPr>
        <w:keepNext w:val="0"/>
        <w:keepLines w:val="0"/>
        <w:pageBreakBefore w:val="0"/>
        <w:kinsoku/>
        <w:wordWrap/>
        <w:overflowPunct/>
        <w:topLinePunct w:val="0"/>
        <w:autoSpaceDE/>
        <w:autoSpaceDN/>
        <w:bidi w:val="0"/>
        <w:adjustRightInd/>
        <w:spacing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第一部分  </w:t>
      </w:r>
      <w:r>
        <w:rPr>
          <w:rFonts w:hint="eastAsia" w:ascii="Times New Roman" w:hAnsi="Times New Roman" w:eastAsia="黑体"/>
          <w:sz w:val="30"/>
          <w:szCs w:val="30"/>
          <w:highlight w:val="none"/>
          <w:lang w:eastAsia="zh-CN"/>
        </w:rPr>
        <w:t>部门</w:t>
      </w:r>
      <w:r>
        <w:rPr>
          <w:rFonts w:hint="eastAsia" w:ascii="Times New Roman" w:hAnsi="Times New Roman" w:eastAsia="黑体"/>
          <w:sz w:val="30"/>
          <w:szCs w:val="30"/>
          <w:highlight w:val="none"/>
        </w:rPr>
        <w:t>概况</w:t>
      </w:r>
    </w:p>
    <w:p w14:paraId="6277A583">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一、主要职</w:t>
      </w:r>
      <w:r>
        <w:rPr>
          <w:rFonts w:hint="eastAsia" w:ascii="Times New Roman" w:hAnsi="Times New Roman" w:eastAsia="楷体"/>
          <w:sz w:val="30"/>
          <w:szCs w:val="30"/>
          <w:highlight w:val="none"/>
          <w:lang w:eastAsia="zh-CN"/>
        </w:rPr>
        <w:t>责</w:t>
      </w:r>
    </w:p>
    <w:p w14:paraId="72AFC914">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二、</w:t>
      </w:r>
      <w:r>
        <w:rPr>
          <w:rFonts w:hint="eastAsia" w:ascii="Times New Roman" w:hAnsi="Times New Roman" w:eastAsia="楷体"/>
          <w:sz w:val="30"/>
          <w:szCs w:val="30"/>
          <w:highlight w:val="none"/>
          <w:lang w:eastAsia="zh-CN"/>
        </w:rPr>
        <w:t>基本情况</w:t>
      </w:r>
    </w:p>
    <w:p w14:paraId="7C195E94">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三、重点工作概述</w:t>
      </w:r>
    </w:p>
    <w:p w14:paraId="5B272A8B">
      <w:pPr>
        <w:keepNext w:val="0"/>
        <w:keepLines w:val="0"/>
        <w:pageBreakBefore w:val="0"/>
        <w:kinsoku/>
        <w:wordWrap/>
        <w:overflowPunct/>
        <w:topLinePunct w:val="0"/>
        <w:autoSpaceDE/>
        <w:autoSpaceDN/>
        <w:bidi w:val="0"/>
        <w:adjustRightInd/>
        <w:spacing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第二部分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部门决算表</w:t>
      </w:r>
    </w:p>
    <w:p w14:paraId="3B0017BD">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一、收入支出决算表</w:t>
      </w:r>
    </w:p>
    <w:p w14:paraId="5A7D1D81">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二、收入决算表</w:t>
      </w:r>
    </w:p>
    <w:p w14:paraId="65DED767">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三、支出决算表</w:t>
      </w:r>
    </w:p>
    <w:p w14:paraId="330753D7">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四、财政拨款收入支出决算表</w:t>
      </w:r>
    </w:p>
    <w:p w14:paraId="4A1E4EF6">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五、一般公共预算财政拨款收入支出决算表</w:t>
      </w:r>
    </w:p>
    <w:p w14:paraId="1F1CEFC0">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六、一般公共预算财政拨款基本支出决算表</w:t>
      </w:r>
    </w:p>
    <w:p w14:paraId="31F5764F">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七、</w:t>
      </w:r>
      <w:r>
        <w:rPr>
          <w:rFonts w:hint="eastAsia" w:ascii="Times New Roman" w:hAnsi="Times New Roman" w:eastAsia="楷体"/>
          <w:sz w:val="30"/>
          <w:szCs w:val="30"/>
          <w:highlight w:val="none"/>
          <w:lang w:eastAsia="zh-CN"/>
        </w:rPr>
        <w:t>一般公共预算财政拨款项目支出决算表</w:t>
      </w:r>
    </w:p>
    <w:p w14:paraId="0BDC0263">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八</w:t>
      </w:r>
      <w:r>
        <w:rPr>
          <w:rFonts w:hint="eastAsia" w:ascii="Times New Roman" w:hAnsi="Times New Roman" w:eastAsia="楷体"/>
          <w:sz w:val="30"/>
          <w:szCs w:val="30"/>
          <w:highlight w:val="none"/>
        </w:rPr>
        <w:t>、政府性基金预算财政拨款收入支出决算表</w:t>
      </w:r>
    </w:p>
    <w:p w14:paraId="30076DAF">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九、国有资本经营预算财政拨款收入支出决算表</w:t>
      </w:r>
    </w:p>
    <w:p w14:paraId="2C45E0DB">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十</w:t>
      </w:r>
      <w:r>
        <w:rPr>
          <w:rFonts w:hint="eastAsia" w:ascii="Times New Roman" w:hAnsi="Times New Roman" w:eastAsia="楷体"/>
          <w:sz w:val="30"/>
          <w:szCs w:val="30"/>
          <w:highlight w:val="none"/>
        </w:rPr>
        <w:t>、</w:t>
      </w:r>
      <w:r>
        <w:rPr>
          <w:rFonts w:hint="eastAsia" w:ascii="Times New Roman" w:hAnsi="Times New Roman" w:eastAsia="楷体"/>
          <w:sz w:val="30"/>
          <w:szCs w:val="30"/>
          <w:highlight w:val="none"/>
          <w:lang w:eastAsia="zh-CN"/>
        </w:rPr>
        <w:t>财政拨款</w:t>
      </w:r>
      <w:r>
        <w:rPr>
          <w:rFonts w:hint="eastAsia" w:ascii="Times New Roman" w:hAnsi="Times New Roman" w:eastAsia="楷体"/>
          <w:sz w:val="30"/>
          <w:szCs w:val="30"/>
          <w:highlight w:val="none"/>
        </w:rPr>
        <w:t>“三公”经费、行政参公单位机关运行经费情况表</w:t>
      </w:r>
    </w:p>
    <w:p w14:paraId="4175EFAB">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val="en-US" w:eastAsia="zh-CN"/>
        </w:rPr>
        <w:t>十一、一般公共预算财政拨款“三公”经费情况表</w:t>
      </w:r>
    </w:p>
    <w:p w14:paraId="2E953C1F">
      <w:pPr>
        <w:keepNext w:val="0"/>
        <w:keepLines w:val="0"/>
        <w:pageBreakBefore w:val="0"/>
        <w:kinsoku/>
        <w:wordWrap/>
        <w:overflowPunct/>
        <w:topLinePunct w:val="0"/>
        <w:autoSpaceDE/>
        <w:autoSpaceDN/>
        <w:bidi w:val="0"/>
        <w:adjustRightInd/>
        <w:spacing w:line="590" w:lineRule="exact"/>
        <w:jc w:val="left"/>
        <w:textAlignment w:val="auto"/>
        <w:outlineLvl w:val="0"/>
        <w:rPr>
          <w:rFonts w:hint="eastAsia" w:ascii="Times New Roman" w:hAnsi="Times New Roman" w:eastAsia="楷体"/>
          <w:sz w:val="30"/>
          <w:szCs w:val="30"/>
          <w:highlight w:val="none"/>
        </w:rPr>
      </w:pPr>
      <w:r>
        <w:rPr>
          <w:rFonts w:hint="eastAsia" w:ascii="Times New Roman" w:hAnsi="Times New Roman" w:eastAsia="黑体"/>
          <w:sz w:val="30"/>
          <w:szCs w:val="30"/>
          <w:highlight w:val="none"/>
        </w:rPr>
        <w:t>第三部</w:t>
      </w:r>
      <w:r>
        <w:rPr>
          <w:rFonts w:hint="eastAsia" w:ascii="Times New Roman" w:hAnsi="Times New Roman" w:eastAsia="黑体"/>
          <w:sz w:val="30"/>
          <w:szCs w:val="30"/>
          <w:highlight w:val="none"/>
          <w:lang w:eastAsia="zh-CN"/>
        </w:rPr>
        <w:t>分</w:t>
      </w:r>
      <w:r>
        <w:rPr>
          <w:rFonts w:hint="eastAsia" w:ascii="Times New Roman" w:hAnsi="Times New Roman" w:eastAsia="黑体"/>
          <w:sz w:val="30"/>
          <w:szCs w:val="30"/>
          <w:highlight w:val="none"/>
        </w:rPr>
        <w:t xml:space="preserve">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部门决算情况说明</w:t>
      </w:r>
    </w:p>
    <w:p w14:paraId="1639C0F7">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一、收入决算情况说明</w:t>
      </w:r>
    </w:p>
    <w:p w14:paraId="139067A6">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二、支出决算情况说明</w:t>
      </w:r>
    </w:p>
    <w:p w14:paraId="31D08C91">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三、一般公共预算财政拨款支出决算情况说明</w:t>
      </w:r>
    </w:p>
    <w:p w14:paraId="67269006">
      <w:pPr>
        <w:keepNext w:val="0"/>
        <w:keepLines w:val="0"/>
        <w:pageBreakBefore w:val="0"/>
        <w:widowControl/>
        <w:kinsoku/>
        <w:wordWrap/>
        <w:overflowPunct/>
        <w:topLinePunct w:val="0"/>
        <w:autoSpaceDE/>
        <w:autoSpaceDN/>
        <w:bidi w:val="0"/>
        <w:adjustRightInd/>
        <w:snapToGrid w:val="0"/>
        <w:spacing w:before="100" w:after="100"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四、财政拨款“三公”经费支出决算情况说明</w:t>
      </w:r>
    </w:p>
    <w:p w14:paraId="5416CB2F">
      <w:pPr>
        <w:keepNext w:val="0"/>
        <w:keepLines w:val="0"/>
        <w:pageBreakBefore w:val="0"/>
        <w:widowControl/>
        <w:kinsoku/>
        <w:wordWrap/>
        <w:overflowPunct/>
        <w:topLinePunct w:val="0"/>
        <w:autoSpaceDE/>
        <w:autoSpaceDN/>
        <w:bidi w:val="0"/>
        <w:adjustRightInd/>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lang w:eastAsia="zh-CN"/>
        </w:rPr>
        <w:t>第四部分</w:t>
      </w:r>
      <w:r>
        <w:rPr>
          <w:rFonts w:hint="eastAsia" w:ascii="Times New Roman" w:hAnsi="Times New Roman" w:eastAsia="楷体"/>
          <w:sz w:val="30"/>
          <w:szCs w:val="30"/>
          <w:highlight w:val="none"/>
          <w:lang w:val="en-US" w:eastAsia="zh-CN"/>
        </w:rPr>
        <w:t xml:space="preserve">  </w:t>
      </w:r>
      <w:r>
        <w:rPr>
          <w:rFonts w:hint="eastAsia" w:ascii="Times New Roman" w:hAnsi="Times New Roman" w:eastAsia="黑体"/>
          <w:sz w:val="30"/>
          <w:szCs w:val="30"/>
          <w:highlight w:val="none"/>
        </w:rPr>
        <w:t>其他重要事项及相关口径情况说明</w:t>
      </w:r>
    </w:p>
    <w:p w14:paraId="24B4A300">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一、</w:t>
      </w:r>
      <w:r>
        <w:rPr>
          <w:rFonts w:hint="eastAsia" w:ascii="Times New Roman" w:hAnsi="Times New Roman" w:eastAsia="楷体"/>
          <w:sz w:val="30"/>
          <w:szCs w:val="30"/>
          <w:highlight w:val="none"/>
        </w:rPr>
        <w:t>机关运行经费支出情况</w:t>
      </w:r>
    </w:p>
    <w:p w14:paraId="62606B35">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二、</w:t>
      </w:r>
      <w:r>
        <w:rPr>
          <w:rFonts w:hint="eastAsia" w:ascii="Times New Roman" w:hAnsi="Times New Roman" w:eastAsia="楷体"/>
          <w:sz w:val="30"/>
          <w:szCs w:val="30"/>
          <w:highlight w:val="none"/>
        </w:rPr>
        <w:t>国有资产占用情况</w:t>
      </w:r>
    </w:p>
    <w:p w14:paraId="2C9A9965">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w:t>
      </w:r>
      <w:r>
        <w:rPr>
          <w:rFonts w:hint="eastAsia" w:ascii="Times New Roman" w:hAnsi="Times New Roman" w:eastAsia="楷体"/>
          <w:sz w:val="30"/>
          <w:szCs w:val="30"/>
          <w:highlight w:val="none"/>
        </w:rPr>
        <w:t>政府采购支出情况</w:t>
      </w:r>
    </w:p>
    <w:p w14:paraId="20BD7E16">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四、</w:t>
      </w:r>
      <w:r>
        <w:rPr>
          <w:rFonts w:hint="eastAsia" w:ascii="Times New Roman" w:hAnsi="Times New Roman" w:eastAsia="楷体"/>
          <w:sz w:val="30"/>
          <w:szCs w:val="30"/>
          <w:highlight w:val="none"/>
          <w:lang w:val="en-US" w:eastAsia="zh-CN"/>
        </w:rPr>
        <w:t>部门绩效自评情况</w:t>
      </w:r>
    </w:p>
    <w:p w14:paraId="64406765">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五、</w:t>
      </w:r>
      <w:r>
        <w:rPr>
          <w:rFonts w:hint="eastAsia" w:ascii="Times New Roman" w:hAnsi="Times New Roman" w:eastAsia="楷体"/>
          <w:sz w:val="30"/>
          <w:szCs w:val="30"/>
          <w:highlight w:val="none"/>
          <w:lang w:val="en-US" w:eastAsia="zh-CN"/>
        </w:rPr>
        <w:t>其他重要事项情况说明</w:t>
      </w:r>
    </w:p>
    <w:p w14:paraId="68FBA318">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六、相关口径说明</w:t>
      </w:r>
    </w:p>
    <w:p w14:paraId="7B82CB24">
      <w:pPr>
        <w:keepNext w:val="0"/>
        <w:keepLines w:val="0"/>
        <w:pageBreakBefore w:val="0"/>
        <w:widowControl/>
        <w:kinsoku/>
        <w:wordWrap/>
        <w:overflowPunct/>
        <w:topLinePunct w:val="0"/>
        <w:autoSpaceDE/>
        <w:autoSpaceDN/>
        <w:bidi w:val="0"/>
        <w:adjustRightInd/>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第</w:t>
      </w:r>
      <w:r>
        <w:rPr>
          <w:rFonts w:hint="eastAsia" w:ascii="Times New Roman" w:hAnsi="Times New Roman" w:eastAsia="黑体"/>
          <w:sz w:val="30"/>
          <w:szCs w:val="30"/>
          <w:highlight w:val="none"/>
          <w:lang w:eastAsia="zh-CN"/>
        </w:rPr>
        <w:t>五</w:t>
      </w:r>
      <w:r>
        <w:rPr>
          <w:rFonts w:hint="eastAsia" w:ascii="Times New Roman" w:hAnsi="Times New Roman" w:eastAsia="黑体"/>
          <w:sz w:val="30"/>
          <w:szCs w:val="30"/>
          <w:highlight w:val="none"/>
        </w:rPr>
        <w:t>部分  名词解释</w:t>
      </w:r>
    </w:p>
    <w:p w14:paraId="404DCC5B">
      <w:pPr>
        <w:keepNext w:val="0"/>
        <w:keepLines w:val="0"/>
        <w:pageBreakBefore w:val="0"/>
        <w:kinsoku/>
        <w:wordWrap/>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726B5284">
      <w:pPr>
        <w:keepNext w:val="0"/>
        <w:keepLines w:val="0"/>
        <w:pageBreakBefore w:val="0"/>
        <w:kinsoku/>
        <w:wordWrap/>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5BB9FBEE">
      <w:pPr>
        <w:keepNext w:val="0"/>
        <w:keepLines w:val="0"/>
        <w:pageBreakBefore w:val="0"/>
        <w:kinsoku/>
        <w:wordWrap/>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5AFB4ADC">
      <w:pPr>
        <w:keepNext w:val="0"/>
        <w:keepLines w:val="0"/>
        <w:pageBreakBefore w:val="0"/>
        <w:kinsoku/>
        <w:wordWrap/>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0BED5637">
      <w:pPr>
        <w:keepNext w:val="0"/>
        <w:keepLines w:val="0"/>
        <w:pageBreakBefore w:val="0"/>
        <w:kinsoku/>
        <w:wordWrap/>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62F67054">
      <w:pPr>
        <w:keepNext w:val="0"/>
        <w:keepLines w:val="0"/>
        <w:pageBreakBefore w:val="0"/>
        <w:kinsoku/>
        <w:wordWrap/>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1D8BBCEE">
      <w:pPr>
        <w:keepNext w:val="0"/>
        <w:keepLines w:val="0"/>
        <w:pageBreakBefore w:val="0"/>
        <w:kinsoku/>
        <w:wordWrap/>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6B2CD020">
      <w:pPr>
        <w:keepNext w:val="0"/>
        <w:keepLines w:val="0"/>
        <w:pageBreakBefore w:val="0"/>
        <w:kinsoku/>
        <w:wordWrap/>
        <w:overflowPunct/>
        <w:topLinePunct w:val="0"/>
        <w:autoSpaceDE/>
        <w:autoSpaceDN/>
        <w:bidi w:val="0"/>
        <w:adjustRightInd/>
        <w:spacing w:line="590" w:lineRule="exact"/>
        <w:jc w:val="both"/>
        <w:textAlignment w:val="auto"/>
        <w:rPr>
          <w:rFonts w:hint="eastAsia" w:ascii="Times New Roman" w:hAnsi="Times New Roman" w:eastAsia="黑体"/>
          <w:sz w:val="32"/>
          <w:szCs w:val="32"/>
          <w:highlight w:val="none"/>
        </w:rPr>
      </w:pPr>
    </w:p>
    <w:p w14:paraId="5E90B6D2">
      <w:pPr>
        <w:pStyle w:val="2"/>
        <w:keepNext w:val="0"/>
        <w:keepLines w:val="0"/>
        <w:pageBreakBefore w:val="0"/>
        <w:kinsoku/>
        <w:wordWrap/>
        <w:overflowPunct/>
        <w:topLinePunct w:val="0"/>
        <w:autoSpaceDE/>
        <w:autoSpaceDN/>
        <w:bidi w:val="0"/>
        <w:adjustRightInd/>
        <w:spacing w:line="590" w:lineRule="exact"/>
        <w:textAlignment w:val="auto"/>
        <w:rPr>
          <w:rFonts w:hint="eastAsia" w:ascii="Times New Roman" w:hAnsi="Times New Roman"/>
        </w:rPr>
      </w:pPr>
    </w:p>
    <w:p w14:paraId="4B514A1C">
      <w:pPr>
        <w:rPr>
          <w:rFonts w:hint="eastAsia" w:ascii="Times New Roman" w:hAnsi="Times New Roman"/>
        </w:rPr>
      </w:pPr>
    </w:p>
    <w:p w14:paraId="0FB6FCD2">
      <w:pPr>
        <w:keepNext w:val="0"/>
        <w:keepLines w:val="0"/>
        <w:pageBreakBefore w:val="0"/>
        <w:kinsoku/>
        <w:wordWrap/>
        <w:overflowPunct/>
        <w:topLinePunct w:val="0"/>
        <w:autoSpaceDE/>
        <w:autoSpaceDN/>
        <w:bidi w:val="0"/>
        <w:adjustRightInd/>
        <w:spacing w:line="590" w:lineRule="exact"/>
        <w:jc w:val="center"/>
        <w:textAlignment w:val="auto"/>
        <w:outlineLvl w:val="0"/>
        <w:rPr>
          <w:rFonts w:hint="eastAsia" w:ascii="Times New Roman" w:hAnsi="Times New Roman" w:eastAsia="黑体"/>
          <w:sz w:val="32"/>
          <w:szCs w:val="32"/>
          <w:highlight w:val="none"/>
          <w:lang w:eastAsia="zh-CN"/>
        </w:rPr>
      </w:pPr>
      <w:r>
        <w:rPr>
          <w:rFonts w:hint="eastAsia" w:ascii="Times New Roman" w:hAnsi="Times New Roman" w:eastAsia="方正黑体_GBK" w:cs="方正黑体_GBK"/>
          <w:sz w:val="32"/>
          <w:szCs w:val="32"/>
          <w:highlight w:val="none"/>
        </w:rPr>
        <w:t xml:space="preserve">第一部分  </w:t>
      </w:r>
      <w:r>
        <w:rPr>
          <w:rFonts w:hint="eastAsia" w:ascii="Times New Roman" w:hAnsi="Times New Roman" w:eastAsia="方正黑体_GBK" w:cs="方正黑体_GBK"/>
          <w:sz w:val="32"/>
          <w:szCs w:val="32"/>
          <w:highlight w:val="none"/>
          <w:lang w:eastAsia="zh-CN"/>
        </w:rPr>
        <w:t>部门概况</w:t>
      </w:r>
    </w:p>
    <w:p w14:paraId="2D3F8494">
      <w:pPr>
        <w:keepNext w:val="0"/>
        <w:keepLines w:val="0"/>
        <w:pageBreakBefore w:val="0"/>
        <w:kinsoku/>
        <w:wordWrap/>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黑体"/>
          <w:sz w:val="30"/>
          <w:szCs w:val="30"/>
          <w:highlight w:val="none"/>
          <w:lang w:eastAsia="zh-CN"/>
        </w:rPr>
      </w:pPr>
      <w:r>
        <w:rPr>
          <w:rFonts w:hint="eastAsia" w:ascii="Times New Roman" w:hAnsi="Times New Roman" w:eastAsia="方正黑体_GBK" w:cs="方正黑体_GBK"/>
          <w:sz w:val="30"/>
          <w:szCs w:val="30"/>
          <w:highlight w:val="none"/>
        </w:rPr>
        <w:t>一、主要</w:t>
      </w:r>
      <w:r>
        <w:rPr>
          <w:rFonts w:hint="eastAsia" w:ascii="Times New Roman" w:hAnsi="Times New Roman" w:eastAsia="方正黑体_GBK" w:cs="方正黑体_GBK"/>
          <w:sz w:val="30"/>
          <w:szCs w:val="30"/>
          <w:highlight w:val="none"/>
          <w:lang w:eastAsia="zh-CN"/>
        </w:rPr>
        <w:t>职责</w:t>
      </w:r>
    </w:p>
    <w:p w14:paraId="01BE8C77">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default" w:ascii="Times New Roman" w:hAnsi="Times New Roman" w:eastAsia="方正仿宋_GBK" w:cs="方正仿宋_GBK"/>
          <w:sz w:val="30"/>
          <w:szCs w:val="30"/>
          <w:highlight w:val="none"/>
          <w:lang w:val="en-US" w:eastAsia="zh-CN"/>
        </w:rPr>
        <w:t>主要是围绕团结和民主两大主题，履行政治协商、民主监督、参政议政职能。这三项主要职能是各党派团体、各族各界人士在中国政治体制中参与国事、发挥作用的重要内容和基本形式，体现了人民政协的性质和特点，是人民政协区别于其他政治组织的重要标志。</w:t>
      </w:r>
    </w:p>
    <w:p w14:paraId="7B197943">
      <w:pPr>
        <w:keepNext w:val="0"/>
        <w:keepLines w:val="0"/>
        <w:pageBreakBefore w:val="0"/>
        <w:kinsoku/>
        <w:wordWrap/>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二、基本情况</w:t>
      </w:r>
    </w:p>
    <w:p w14:paraId="256A3E11">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（一）机构设置情况</w:t>
      </w:r>
    </w:p>
    <w:p w14:paraId="532969CE">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en-US" w:eastAsia="zh-CN"/>
        </w:rPr>
      </w:pPr>
      <w:r>
        <w:rPr>
          <w:rFonts w:hint="default" w:ascii="Times New Roman" w:hAnsi="Times New Roman" w:eastAsia="方正仿宋_GBK" w:cs="方正仿宋_GBK"/>
          <w:sz w:val="30"/>
          <w:szCs w:val="30"/>
          <w:highlight w:val="none"/>
          <w:lang w:val="en-US" w:eastAsia="zh-CN"/>
        </w:rPr>
        <w:t xml:space="preserve">我部门共设置8个内设机构，包括：6委1室1中心，即：经济和农业农村委员会、提案联络委员会、文化文史和学习委员会、科教卫体委员会、民族宗教法制委员会、人口资源环境委员会、办公室、政协委员服务中心。      </w:t>
      </w:r>
    </w:p>
    <w:p w14:paraId="7427B1FB">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en-US" w:eastAsia="zh-CN"/>
        </w:rPr>
      </w:pPr>
      <w:r>
        <w:rPr>
          <w:rFonts w:hint="default" w:ascii="Times New Roman" w:hAnsi="Times New Roman" w:eastAsia="方正仿宋_GBK" w:cs="方正仿宋_GBK"/>
          <w:sz w:val="30"/>
          <w:szCs w:val="30"/>
          <w:highlight w:val="none"/>
          <w:lang w:val="en-US" w:eastAsia="zh-CN"/>
        </w:rPr>
        <w:t>所属单位0个。</w:t>
      </w:r>
    </w:p>
    <w:p w14:paraId="76758856">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
          <w:sz w:val="30"/>
          <w:szCs w:val="30"/>
          <w:highlight w:val="none"/>
          <w:lang w:eastAsia="zh-CN"/>
        </w:rPr>
      </w:pPr>
      <w:r>
        <w:rPr>
          <w:rFonts w:hint="eastAsia" w:ascii="Times New Roman" w:hAnsi="Times New Roman" w:eastAsia="方正楷体_GBK" w:cs="方正楷体_GBK"/>
          <w:sz w:val="30"/>
          <w:szCs w:val="30"/>
          <w:highlight w:val="none"/>
          <w:lang w:eastAsia="zh-CN"/>
        </w:rPr>
        <w:t>（二）决算单位构成情况</w:t>
      </w:r>
    </w:p>
    <w:p w14:paraId="7F6F90D1">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en-US" w:eastAsia="zh-CN"/>
        </w:rPr>
      </w:pPr>
      <w:r>
        <w:rPr>
          <w:rFonts w:hint="default" w:ascii="Times New Roman" w:hAnsi="Times New Roman" w:eastAsia="方正仿宋_GBK" w:cs="方正仿宋_GBK"/>
          <w:sz w:val="30"/>
          <w:szCs w:val="30"/>
          <w:highlight w:val="none"/>
          <w:lang w:val="en-US" w:eastAsia="zh-CN"/>
        </w:rPr>
        <w:t>纳入我部门202</w:t>
      </w:r>
      <w:r>
        <w:rPr>
          <w:rFonts w:hint="eastAsia" w:ascii="Times New Roman" w:hAnsi="Times New Roman" w:eastAsia="方正仿宋_GBK" w:cs="方正仿宋_GBK"/>
          <w:sz w:val="30"/>
          <w:szCs w:val="30"/>
          <w:highlight w:val="none"/>
          <w:lang w:val="en-US" w:eastAsia="zh-CN"/>
        </w:rPr>
        <w:t>5</w:t>
      </w:r>
      <w:r>
        <w:rPr>
          <w:rFonts w:hint="default" w:ascii="Times New Roman" w:hAnsi="Times New Roman" w:eastAsia="方正仿宋_GBK" w:cs="方正仿宋_GBK"/>
          <w:sz w:val="30"/>
          <w:szCs w:val="30"/>
          <w:highlight w:val="none"/>
          <w:lang w:val="en-US" w:eastAsia="zh-CN"/>
        </w:rPr>
        <w:t>年度部门决算编报的单位共1个。</w:t>
      </w:r>
      <w:r>
        <w:rPr>
          <w:rFonts w:hint="eastAsia" w:ascii="Times New Roman" w:hAnsi="Times New Roman" w:eastAsia="方正仿宋_GBK" w:cs="方正仿宋_GBK"/>
          <w:sz w:val="30"/>
          <w:szCs w:val="30"/>
          <w:highlight w:val="none"/>
          <w:lang w:val="en-US" w:eastAsia="zh-CN"/>
        </w:rPr>
        <w:t>即：</w:t>
      </w:r>
      <w:r>
        <w:rPr>
          <w:rFonts w:hint="default" w:ascii="Times New Roman" w:hAnsi="Times New Roman" w:eastAsia="方正仿宋_GBK" w:cs="方正仿宋_GBK"/>
          <w:sz w:val="30"/>
          <w:szCs w:val="30"/>
          <w:highlight w:val="none"/>
          <w:lang w:val="en-US" w:eastAsia="zh-CN"/>
        </w:rPr>
        <w:t>中国人民政治协商会议云南省华宁县委员会办公室。</w:t>
      </w:r>
    </w:p>
    <w:p w14:paraId="12CB2D31">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en-US" w:eastAsia="zh-CN"/>
        </w:rPr>
      </w:pPr>
      <w:r>
        <w:rPr>
          <w:rFonts w:hint="default" w:ascii="Times New Roman" w:hAnsi="Times New Roman" w:eastAsia="方正仿宋_GBK" w:cs="方正仿宋_GBK"/>
          <w:sz w:val="30"/>
          <w:szCs w:val="30"/>
          <w:highlight w:val="none"/>
          <w:lang w:val="en-US" w:eastAsia="zh-CN"/>
        </w:rPr>
        <w:t>纳入我部门202</w:t>
      </w:r>
      <w:r>
        <w:rPr>
          <w:rFonts w:hint="eastAsia" w:ascii="Times New Roman" w:hAnsi="Times New Roman" w:eastAsia="方正仿宋_GBK" w:cs="方正仿宋_GBK"/>
          <w:sz w:val="30"/>
          <w:szCs w:val="30"/>
          <w:highlight w:val="none"/>
          <w:lang w:val="en-US" w:eastAsia="zh-CN"/>
        </w:rPr>
        <w:t>5</w:t>
      </w:r>
      <w:r>
        <w:rPr>
          <w:rFonts w:hint="default" w:ascii="Times New Roman" w:hAnsi="Times New Roman" w:eastAsia="方正仿宋_GBK" w:cs="方正仿宋_GBK"/>
          <w:sz w:val="30"/>
          <w:szCs w:val="30"/>
          <w:highlight w:val="none"/>
          <w:lang w:val="en-US" w:eastAsia="zh-CN"/>
        </w:rPr>
        <w:t>年度部门决算编报的单位与我部门所属单位范围保持一致。</w:t>
      </w:r>
    </w:p>
    <w:p w14:paraId="67545141">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（三）部门人员和车辆的编制及实有情况</w:t>
      </w:r>
    </w:p>
    <w:p w14:paraId="01FE371A">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我部门2025年末编制内实有人员28人。包括财政拨款开支经费的：公务员19人，参照公务员法管理人员0人，事业管理人员和专业技术人员4人，机关和事业工人5人；经费自理人员0人。</w:t>
      </w:r>
    </w:p>
    <w:p w14:paraId="029A5DB0">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我部门2025年末其他人员0人。包括财政拨款开支经费的人员0人；经费自理人员0人。</w:t>
      </w:r>
    </w:p>
    <w:p w14:paraId="55B2C85C">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年末单位发放离退休费的离退休人员共计0人（离休0人，退休0人）。年末由养老保险基金发放养老金的离退休人员30人（离休0人，退休30人）。</w:t>
      </w:r>
    </w:p>
    <w:p w14:paraId="192BEF64">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车辆编制1辆，在编实有车辆1辆，超编0辆。</w:t>
      </w:r>
    </w:p>
    <w:p w14:paraId="62E01FA4">
      <w:pPr>
        <w:keepNext w:val="0"/>
        <w:keepLines w:val="0"/>
        <w:pageBreakBefore w:val="0"/>
        <w:kinsoku/>
        <w:wordWrap/>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三、重点工作概述</w:t>
      </w:r>
    </w:p>
    <w:p w14:paraId="1C85BF71">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2025年，华宁县政协紧扣“守初心、聚中心、筑同心、强信心”主线，履行专门协商机构职能，全力服务全县高质量发展。</w:t>
      </w:r>
    </w:p>
    <w:p w14:paraId="520F7619">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坚持把政治建设摆在首位，严格落实“第一议题”制度，常态化开展理论学习与委员履职培训，持续巩固主题教育成果，深化作风革命、效能革命。严格执行重大事项请示报告制度，全年向县委报送履职成果15项，把党的领导贯穿履职全过程。</w:t>
      </w:r>
    </w:p>
    <w:p w14:paraId="7C820463">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聚焦中心大局精准建言，全会收集意见建议81条，51件提案全部办结，重点提案由班子领衔督办；围绕基层治理、外向型农业开展专题协商，形成23条对策建议；创新协商式监督，开展10项课题调研，闭环落实群众意见76条。班子成员主动投身项目建设、债务化解、乡村振兴、河长制等重点工作。</w:t>
      </w:r>
    </w:p>
    <w:p w14:paraId="561D7B31">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深耕民生履职，开展12场院坝协商，化解民生难题40件，多项协商案例获省市级推介。组织委员大走访，收集群众急难愁盼问题51条；报送社情民意21件，争取300,000.00元专项资金落地民生项目，履职为民更接地气。</w:t>
      </w:r>
    </w:p>
    <w:p w14:paraId="386F8851">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广泛凝聚各界合力，依托委员工作室开展民族团结、政策宣讲活动9场，促进各民族交往交融。从严抓好自身建设，推动党建与履职深度融合，完善委员管理机制，完成巡察整改任务，升级数字政协平台，抓实文史编纂与宣传工作。</w:t>
      </w:r>
    </w:p>
    <w:p w14:paraId="6F1AB098">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同时，工作仍存在协商成果转化不足、民主监督力度有待加强等短板。下一步，县政协将紧扣“十五五”开局任务，持续提质增效，为华宁高质量发展贡献政协力量。</w:t>
      </w:r>
    </w:p>
    <w:p w14:paraId="5FEA54A2">
      <w:pPr>
        <w:keepNext w:val="0"/>
        <w:keepLines w:val="0"/>
        <w:pageBreakBefore w:val="0"/>
        <w:kinsoku/>
        <w:wordWrap/>
        <w:overflowPunct/>
        <w:topLinePunct w:val="0"/>
        <w:autoSpaceDE/>
        <w:autoSpaceDN/>
        <w:bidi w:val="0"/>
        <w:adjustRightInd/>
        <w:spacing w:line="590" w:lineRule="exact"/>
        <w:jc w:val="center"/>
        <w:textAlignment w:val="auto"/>
        <w:outlineLvl w:val="0"/>
        <w:rPr>
          <w:rFonts w:hint="eastAsia" w:ascii="Times New Roman" w:hAnsi="Times New Roman" w:eastAsia="黑体"/>
          <w:sz w:val="32"/>
          <w:szCs w:val="32"/>
          <w:highlight w:val="none"/>
        </w:rPr>
      </w:pPr>
      <w:r>
        <w:rPr>
          <w:rFonts w:hint="eastAsia" w:ascii="Times New Roman" w:hAnsi="Times New Roman" w:eastAsia="方正黑体_GBK" w:cs="方正黑体_GBK"/>
          <w:sz w:val="32"/>
          <w:szCs w:val="32"/>
          <w:highlight w:val="none"/>
        </w:rPr>
        <w:t xml:space="preserve">第二部分  </w:t>
      </w:r>
      <w:r>
        <w:rPr>
          <w:rFonts w:hint="eastAsia" w:ascii="Times New Roman" w:hAnsi="Times New Roman" w:eastAsia="方正黑体_GBK" w:cs="方正黑体_GBK"/>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部门决算表</w:t>
      </w:r>
    </w:p>
    <w:p w14:paraId="673B46C3">
      <w:pPr>
        <w:keepNext w:val="0"/>
        <w:keepLines w:val="0"/>
        <w:pageBreakBefore w:val="0"/>
        <w:kinsoku/>
        <w:wordWrap/>
        <w:overflowPunct/>
        <w:topLinePunct w:val="0"/>
        <w:autoSpaceDE/>
        <w:autoSpaceDN/>
        <w:bidi w:val="0"/>
        <w:adjustRightInd/>
        <w:spacing w:line="590" w:lineRule="exact"/>
        <w:ind w:firstLine="600" w:firstLineChars="200"/>
        <w:jc w:val="center"/>
        <w:textAlignment w:val="auto"/>
        <w:outlineLvl w:val="1"/>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sz w:val="30"/>
          <w:szCs w:val="30"/>
          <w:highlight w:val="none"/>
        </w:rPr>
        <w:t>（详见附件）</w:t>
      </w:r>
    </w:p>
    <w:p w14:paraId="646DCBCE">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en-US" w:eastAsia="zh-CN"/>
        </w:rPr>
      </w:pPr>
      <w:r>
        <w:rPr>
          <w:rFonts w:hint="default" w:ascii="Times New Roman" w:hAnsi="Times New Roman" w:eastAsia="方正仿宋_GBK" w:cs="方正仿宋_GBK"/>
          <w:sz w:val="30"/>
          <w:szCs w:val="30"/>
          <w:highlight w:val="none"/>
          <w:lang w:val="en-US" w:eastAsia="zh-CN"/>
        </w:rPr>
        <w:t>本部门202</w:t>
      </w:r>
      <w:r>
        <w:rPr>
          <w:rFonts w:hint="eastAsia" w:ascii="Times New Roman" w:hAnsi="Times New Roman" w:eastAsia="方正仿宋_GBK" w:cs="方正仿宋_GBK"/>
          <w:sz w:val="30"/>
          <w:szCs w:val="30"/>
          <w:highlight w:val="none"/>
          <w:lang w:val="en-US" w:eastAsia="zh-CN"/>
        </w:rPr>
        <w:t>5</w:t>
      </w:r>
      <w:r>
        <w:rPr>
          <w:rFonts w:hint="default" w:ascii="Times New Roman" w:hAnsi="Times New Roman" w:eastAsia="方正仿宋_GBK" w:cs="方正仿宋_GBK"/>
          <w:sz w:val="30"/>
          <w:szCs w:val="30"/>
          <w:highlight w:val="none"/>
          <w:lang w:val="en-US" w:eastAsia="zh-CN"/>
        </w:rPr>
        <w:t>年度无政府性基金收入，《政府性基金预算财政拨款收入支出决算表》为空表。</w:t>
      </w:r>
    </w:p>
    <w:p w14:paraId="134AD142">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zh-CN" w:eastAsia="zh-CN"/>
        </w:rPr>
      </w:pPr>
      <w:r>
        <w:rPr>
          <w:rFonts w:hint="default" w:ascii="Times New Roman" w:hAnsi="Times New Roman" w:eastAsia="方正仿宋_GBK" w:cs="方正仿宋_GBK"/>
          <w:sz w:val="30"/>
          <w:szCs w:val="30"/>
          <w:highlight w:val="none"/>
          <w:lang w:val="en-US" w:eastAsia="zh-CN"/>
        </w:rPr>
        <w:t>本部门202</w:t>
      </w:r>
      <w:r>
        <w:rPr>
          <w:rFonts w:hint="eastAsia" w:ascii="Times New Roman" w:hAnsi="Times New Roman" w:eastAsia="方正仿宋_GBK" w:cs="方正仿宋_GBK"/>
          <w:sz w:val="30"/>
          <w:szCs w:val="30"/>
          <w:highlight w:val="none"/>
          <w:lang w:val="en-US" w:eastAsia="zh-CN"/>
        </w:rPr>
        <w:t>5</w:t>
      </w:r>
      <w:r>
        <w:rPr>
          <w:rFonts w:hint="default" w:ascii="Times New Roman" w:hAnsi="Times New Roman" w:eastAsia="方正仿宋_GBK" w:cs="方正仿宋_GBK"/>
          <w:sz w:val="30"/>
          <w:szCs w:val="30"/>
          <w:highlight w:val="none"/>
          <w:lang w:val="en-US" w:eastAsia="zh-CN"/>
        </w:rPr>
        <w:t>年度无国有资本经营预算财政拨款收入，《国有资本经营预算财政拨款收入支出决算表》为空表。</w:t>
      </w:r>
    </w:p>
    <w:p w14:paraId="1D434A3F">
      <w:pPr>
        <w:keepNext w:val="0"/>
        <w:keepLines w:val="0"/>
        <w:pageBreakBefore w:val="0"/>
        <w:kinsoku/>
        <w:wordWrap/>
        <w:overflowPunct/>
        <w:topLinePunct w:val="0"/>
        <w:autoSpaceDE/>
        <w:autoSpaceDN/>
        <w:bidi w:val="0"/>
        <w:adjustRightInd/>
        <w:spacing w:line="590" w:lineRule="exact"/>
        <w:jc w:val="center"/>
        <w:textAlignment w:val="auto"/>
        <w:outlineLvl w:val="0"/>
        <w:rPr>
          <w:rFonts w:hint="eastAsia" w:ascii="Times New Roman" w:hAnsi="Times New Roman" w:eastAsia="黑体"/>
          <w:sz w:val="32"/>
          <w:szCs w:val="32"/>
          <w:highlight w:val="none"/>
        </w:rPr>
      </w:pPr>
      <w:r>
        <w:rPr>
          <w:rFonts w:hint="eastAsia" w:ascii="Times New Roman" w:hAnsi="Times New Roman" w:eastAsia="方正黑体_GBK" w:cs="方正黑体_GBK"/>
          <w:sz w:val="32"/>
          <w:szCs w:val="32"/>
          <w:highlight w:val="none"/>
        </w:rPr>
        <w:t>第三部</w:t>
      </w:r>
      <w:r>
        <w:rPr>
          <w:rFonts w:hint="eastAsia" w:ascii="Times New Roman" w:hAnsi="Times New Roman" w:eastAsia="方正黑体_GBK" w:cs="方正黑体_GBK"/>
          <w:sz w:val="32"/>
          <w:szCs w:val="32"/>
          <w:highlight w:val="none"/>
          <w:lang w:eastAsia="zh-CN"/>
        </w:rPr>
        <w:t>分</w:t>
      </w:r>
      <w:r>
        <w:rPr>
          <w:rFonts w:hint="eastAsia" w:ascii="Times New Roman" w:hAnsi="Times New Roman" w:eastAsia="方正黑体_GBK" w:cs="方正黑体_GBK"/>
          <w:sz w:val="32"/>
          <w:szCs w:val="32"/>
          <w:highlight w:val="none"/>
        </w:rPr>
        <w:t xml:space="preserve">  </w:t>
      </w:r>
      <w:r>
        <w:rPr>
          <w:rFonts w:hint="eastAsia" w:ascii="Times New Roman" w:hAnsi="Times New Roman" w:eastAsia="方正黑体_GBK" w:cs="方正黑体_GBK"/>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部门决算情况说明</w:t>
      </w:r>
    </w:p>
    <w:p w14:paraId="67EAE9E0">
      <w:pPr>
        <w:keepNext w:val="0"/>
        <w:keepLines w:val="0"/>
        <w:pageBreakBefore w:val="0"/>
        <w:kinsoku/>
        <w:wordWrap/>
        <w:overflowPunct/>
        <w:topLinePunct w:val="0"/>
        <w:autoSpaceDE/>
        <w:autoSpaceDN/>
        <w:bidi w:val="0"/>
        <w:adjustRightInd/>
        <w:spacing w:line="590" w:lineRule="exact"/>
        <w:ind w:firstLine="640" w:firstLineChars="200"/>
        <w:jc w:val="both"/>
        <w:textAlignment w:val="auto"/>
        <w:outlineLvl w:val="0"/>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黑体_GBK" w:cs="方正黑体_GBK"/>
          <w:sz w:val="32"/>
          <w:szCs w:val="32"/>
          <w:highlight w:val="none"/>
          <w:lang w:eastAsia="zh-CN"/>
        </w:rPr>
        <w:t>一、收入决算情况说明</w:t>
      </w:r>
    </w:p>
    <w:p w14:paraId="58AEA9D6">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zh-CN" w:eastAsia="zh-CN"/>
        </w:rPr>
        <w:t>中国人民政治协商会议云南省华宁县委员会办公室</w:t>
      </w:r>
      <w:r>
        <w:rPr>
          <w:rFonts w:hint="eastAsia" w:ascii="Times New Roman" w:hAnsi="Times New Roman" w:eastAsia="方正仿宋_GBK" w:cs="方正仿宋_GBK"/>
          <w:sz w:val="30"/>
          <w:szCs w:val="30"/>
          <w:highlight w:val="none"/>
          <w:lang w:val="en-US" w:eastAsia="zh-CN"/>
        </w:rPr>
        <w:t>2025年度收入合计</w:t>
      </w:r>
      <w:r>
        <w:rPr>
          <w:rFonts w:hint="eastAsia" w:ascii="Times New Roman" w:hAnsi="Times New Roman" w:eastAsia="方正仿宋_GBK" w:cs="方正仿宋_GBK"/>
          <w:sz w:val="30"/>
          <w:szCs w:val="30"/>
          <w:highlight w:val="none"/>
          <w:lang w:val="zh-CN" w:eastAsia="zh-CN"/>
        </w:rPr>
        <w:t>7</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170</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084.73</w:t>
      </w:r>
      <w:r>
        <w:rPr>
          <w:rFonts w:hint="eastAsia" w:ascii="Times New Roman" w:hAnsi="Times New Roman" w:eastAsia="方正仿宋_GBK" w:cs="方正仿宋_GBK"/>
          <w:sz w:val="30"/>
          <w:szCs w:val="30"/>
          <w:highlight w:val="none"/>
          <w:lang w:val="en-US" w:eastAsia="zh-CN"/>
        </w:rPr>
        <w:t>元。其中：财政拨款收入</w:t>
      </w:r>
      <w:r>
        <w:rPr>
          <w:rFonts w:hint="eastAsia" w:ascii="Times New Roman" w:hAnsi="Times New Roman" w:eastAsia="方正仿宋_GBK" w:cs="方正仿宋_GBK"/>
          <w:sz w:val="30"/>
          <w:szCs w:val="30"/>
          <w:highlight w:val="none"/>
          <w:lang w:val="zh-CN" w:eastAsia="zh-CN"/>
        </w:rPr>
        <w:t>7</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159</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893.99</w:t>
      </w:r>
      <w:r>
        <w:rPr>
          <w:rFonts w:hint="eastAsia" w:ascii="Times New Roman" w:hAnsi="Times New Roman" w:eastAsia="方正仿宋_GBK" w:cs="方正仿宋_GBK"/>
          <w:sz w:val="30"/>
          <w:szCs w:val="30"/>
          <w:highlight w:val="none"/>
          <w:lang w:val="en-US" w:eastAsia="zh-CN"/>
        </w:rPr>
        <w:t>元，占总收入的</w:t>
      </w:r>
      <w:r>
        <w:rPr>
          <w:rFonts w:hint="eastAsia" w:ascii="Times New Roman" w:hAnsi="Times New Roman" w:eastAsia="方正仿宋_GBK" w:cs="方正仿宋_GBK"/>
          <w:sz w:val="30"/>
          <w:szCs w:val="30"/>
          <w:highlight w:val="none"/>
          <w:lang w:val="zh-CN" w:eastAsia="zh-CN"/>
        </w:rPr>
        <w:t>99.86</w:t>
      </w:r>
      <w:r>
        <w:rPr>
          <w:rFonts w:hint="eastAsia" w:ascii="Times New Roman" w:hAnsi="Times New Roman" w:eastAsia="方正仿宋_GBK" w:cs="方正仿宋_GBK"/>
          <w:sz w:val="30"/>
          <w:szCs w:val="30"/>
          <w:highlight w:val="none"/>
          <w:lang w:val="en-US" w:eastAsia="zh-CN"/>
        </w:rPr>
        <w:t>%；其他收入</w:t>
      </w:r>
      <w:r>
        <w:rPr>
          <w:rFonts w:hint="eastAsia" w:ascii="Times New Roman" w:hAnsi="Times New Roman" w:eastAsia="方正仿宋_GBK" w:cs="方正仿宋_GBK"/>
          <w:sz w:val="30"/>
          <w:szCs w:val="30"/>
          <w:highlight w:val="none"/>
          <w:lang w:val="zh-CN" w:eastAsia="zh-CN"/>
        </w:rPr>
        <w:t>10</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190.74</w:t>
      </w:r>
      <w:r>
        <w:rPr>
          <w:rFonts w:hint="eastAsia" w:ascii="Times New Roman" w:hAnsi="Times New Roman" w:eastAsia="方正仿宋_GBK" w:cs="方正仿宋_GBK"/>
          <w:sz w:val="30"/>
          <w:szCs w:val="30"/>
          <w:highlight w:val="none"/>
          <w:lang w:val="en-US" w:eastAsia="zh-CN"/>
        </w:rPr>
        <w:t>元，占总收入的</w:t>
      </w:r>
      <w:r>
        <w:rPr>
          <w:rFonts w:hint="eastAsia" w:ascii="Times New Roman" w:hAnsi="Times New Roman" w:eastAsia="方正仿宋_GBK" w:cs="方正仿宋_GBK"/>
          <w:sz w:val="30"/>
          <w:szCs w:val="30"/>
          <w:highlight w:val="none"/>
          <w:lang w:val="zh-CN" w:eastAsia="zh-CN"/>
        </w:rPr>
        <w:t>0.14</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en-US" w:eastAsia="zh-CN"/>
        </w:rPr>
        <w:t>无上级补助收入、事业收入（含教育收费）、经营收入、附属单位上缴收入</w:t>
      </w:r>
      <w:r>
        <w:rPr>
          <w:rFonts w:hint="eastAsia" w:ascii="Times New Roman" w:hAnsi="Times New Roman" w:eastAsia="方正仿宋_GBK" w:cs="方正仿宋_GBK"/>
          <w:sz w:val="30"/>
          <w:szCs w:val="30"/>
          <w:highlight w:val="none"/>
          <w:lang w:val="en-US" w:eastAsia="zh-CN"/>
        </w:rPr>
        <w:t>。</w:t>
      </w:r>
    </w:p>
    <w:p w14:paraId="328F9C6F">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与上年相比，收入合计增加</w:t>
      </w:r>
      <w:r>
        <w:rPr>
          <w:rFonts w:hint="eastAsia" w:ascii="Times New Roman" w:hAnsi="Times New Roman" w:eastAsia="方正仿宋_GBK" w:cs="方正仿宋_GBK"/>
          <w:sz w:val="30"/>
          <w:szCs w:val="30"/>
          <w:highlight w:val="none"/>
          <w:lang w:val="zh-CN" w:eastAsia="zh-CN"/>
        </w:rPr>
        <w:t>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810</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827.01</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33.79</w:t>
      </w:r>
      <w:r>
        <w:rPr>
          <w:rFonts w:hint="eastAsia" w:ascii="Times New Roman" w:hAnsi="Times New Roman" w:eastAsia="方正仿宋_GBK" w:cs="方正仿宋_GBK"/>
          <w:sz w:val="30"/>
          <w:szCs w:val="30"/>
          <w:highlight w:val="none"/>
          <w:lang w:val="en-US" w:eastAsia="zh-CN"/>
        </w:rPr>
        <w:t>%。其中：财政拨款收入增加</w:t>
      </w:r>
      <w:r>
        <w:rPr>
          <w:rFonts w:hint="eastAsia" w:ascii="Times New Roman" w:hAnsi="Times New Roman" w:eastAsia="方正仿宋_GBK" w:cs="方正仿宋_GBK"/>
          <w:sz w:val="30"/>
          <w:szCs w:val="30"/>
          <w:highlight w:val="none"/>
          <w:lang w:val="zh-CN" w:eastAsia="zh-CN"/>
        </w:rPr>
        <w:t>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800</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636.27</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33.60</w:t>
      </w:r>
      <w:r>
        <w:rPr>
          <w:rFonts w:hint="eastAsia" w:ascii="Times New Roman" w:hAnsi="Times New Roman" w:eastAsia="方正仿宋_GBK" w:cs="方正仿宋_GBK"/>
          <w:sz w:val="30"/>
          <w:szCs w:val="30"/>
          <w:highlight w:val="none"/>
          <w:lang w:val="en-US" w:eastAsia="zh-CN"/>
        </w:rPr>
        <w:t>%；其他收入增加</w:t>
      </w:r>
      <w:r>
        <w:rPr>
          <w:rFonts w:hint="eastAsia" w:ascii="Times New Roman" w:hAnsi="Times New Roman" w:eastAsia="方正仿宋_GBK" w:cs="方正仿宋_GBK"/>
          <w:sz w:val="30"/>
          <w:szCs w:val="30"/>
          <w:highlight w:val="none"/>
          <w:lang w:val="zh-CN" w:eastAsia="zh-CN"/>
        </w:rPr>
        <w:t>10</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190.74</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%。主要原因是项目收入比上年增加616,999.60元，增长361.82%，及五险工资标准调增。</w:t>
      </w:r>
    </w:p>
    <w:p w14:paraId="77F306BD">
      <w:pPr>
        <w:keepNext w:val="0"/>
        <w:keepLines w:val="0"/>
        <w:pageBreakBefore w:val="0"/>
        <w:kinsoku/>
        <w:wordWrap/>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二、支出决算情况说明</w:t>
      </w:r>
    </w:p>
    <w:p w14:paraId="3C2F1D27">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zh-CN" w:eastAsia="zh-CN"/>
        </w:rPr>
        <w:t>中国人民政治协商会议云南省华宁县委员会办公室</w:t>
      </w:r>
      <w:r>
        <w:rPr>
          <w:rFonts w:hint="eastAsia" w:ascii="Times New Roman" w:hAnsi="Times New Roman" w:eastAsia="方正仿宋_GBK" w:cs="方正仿宋_GBK"/>
          <w:sz w:val="30"/>
          <w:szCs w:val="30"/>
          <w:highlight w:val="none"/>
          <w:lang w:val="en-US" w:eastAsia="zh-CN"/>
        </w:rPr>
        <w:t>2025年度支出合计</w:t>
      </w:r>
      <w:r>
        <w:rPr>
          <w:rFonts w:hint="eastAsia" w:ascii="Times New Roman" w:hAnsi="Times New Roman" w:eastAsia="方正仿宋_GBK" w:cs="方正仿宋_GBK"/>
          <w:sz w:val="30"/>
          <w:szCs w:val="30"/>
          <w:highlight w:val="none"/>
          <w:lang w:val="zh-CN" w:eastAsia="zh-CN"/>
        </w:rPr>
        <w:t>7</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170</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304.41</w:t>
      </w:r>
      <w:r>
        <w:rPr>
          <w:rFonts w:hint="eastAsia" w:ascii="Times New Roman" w:hAnsi="Times New Roman" w:eastAsia="方正仿宋_GBK" w:cs="方正仿宋_GBK"/>
          <w:sz w:val="30"/>
          <w:szCs w:val="30"/>
          <w:highlight w:val="none"/>
          <w:lang w:val="en-US" w:eastAsia="zh-CN"/>
        </w:rPr>
        <w:t>元。其中：基本支出</w:t>
      </w:r>
      <w:r>
        <w:rPr>
          <w:rFonts w:hint="eastAsia" w:ascii="Times New Roman" w:hAnsi="Times New Roman" w:eastAsia="方正仿宋_GBK" w:cs="方正仿宋_GBK"/>
          <w:sz w:val="30"/>
          <w:szCs w:val="30"/>
          <w:highlight w:val="none"/>
          <w:lang w:val="zh-CN" w:eastAsia="zh-CN"/>
        </w:rPr>
        <w:t>6</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382</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304.81</w:t>
      </w:r>
      <w:r>
        <w:rPr>
          <w:rFonts w:hint="eastAsia" w:ascii="Times New Roman" w:hAnsi="Times New Roman" w:eastAsia="方正仿宋_GBK" w:cs="方正仿宋_GBK"/>
          <w:sz w:val="30"/>
          <w:szCs w:val="30"/>
          <w:highlight w:val="none"/>
          <w:lang w:val="en-US" w:eastAsia="zh-CN"/>
        </w:rPr>
        <w:t>元，占总支出的</w:t>
      </w:r>
      <w:r>
        <w:rPr>
          <w:rFonts w:hint="eastAsia" w:ascii="Times New Roman" w:hAnsi="Times New Roman" w:eastAsia="方正仿宋_GBK" w:cs="方正仿宋_GBK"/>
          <w:sz w:val="30"/>
          <w:szCs w:val="30"/>
          <w:highlight w:val="none"/>
          <w:lang w:val="zh-CN" w:eastAsia="zh-CN"/>
        </w:rPr>
        <w:t>89.01</w:t>
      </w:r>
      <w:r>
        <w:rPr>
          <w:rFonts w:hint="eastAsia" w:ascii="Times New Roman" w:hAnsi="Times New Roman" w:eastAsia="方正仿宋_GBK" w:cs="方正仿宋_GBK"/>
          <w:sz w:val="30"/>
          <w:szCs w:val="30"/>
          <w:highlight w:val="none"/>
          <w:lang w:val="en-US" w:eastAsia="zh-CN"/>
        </w:rPr>
        <w:t>％；项目支出</w:t>
      </w:r>
      <w:r>
        <w:rPr>
          <w:rFonts w:hint="eastAsia" w:ascii="Times New Roman" w:hAnsi="Times New Roman" w:eastAsia="方正仿宋_GBK" w:cs="方正仿宋_GBK"/>
          <w:sz w:val="30"/>
          <w:szCs w:val="30"/>
          <w:highlight w:val="none"/>
          <w:lang w:val="zh-CN" w:eastAsia="zh-CN"/>
        </w:rPr>
        <w:t>787</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999.60</w:t>
      </w:r>
      <w:r>
        <w:rPr>
          <w:rFonts w:hint="eastAsia" w:ascii="Times New Roman" w:hAnsi="Times New Roman" w:eastAsia="方正仿宋_GBK" w:cs="方正仿宋_GBK"/>
          <w:sz w:val="30"/>
          <w:szCs w:val="30"/>
          <w:highlight w:val="none"/>
          <w:lang w:val="en-US" w:eastAsia="zh-CN"/>
        </w:rPr>
        <w:t>元，占总支出的</w:t>
      </w:r>
      <w:r>
        <w:rPr>
          <w:rFonts w:hint="eastAsia" w:ascii="Times New Roman" w:hAnsi="Times New Roman" w:eastAsia="方正仿宋_GBK" w:cs="方正仿宋_GBK"/>
          <w:sz w:val="30"/>
          <w:szCs w:val="30"/>
          <w:highlight w:val="none"/>
          <w:lang w:val="zh-CN" w:eastAsia="zh-CN"/>
        </w:rPr>
        <w:t>10.99</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en-US" w:eastAsia="zh-CN"/>
        </w:rPr>
        <w:t>无上缴上级支出、经营支出</w:t>
      </w:r>
      <w:r>
        <w:rPr>
          <w:rFonts w:hint="default" w:ascii="Times New Roman" w:hAnsi="Times New Roman" w:eastAsia="方正仿宋_GBK" w:cs="方正仿宋_GBK"/>
          <w:sz w:val="30"/>
          <w:szCs w:val="30"/>
          <w:highlight w:val="none"/>
          <w:lang w:val="zh-CN" w:eastAsia="zh-CN"/>
        </w:rPr>
        <w:t>、</w:t>
      </w:r>
      <w:r>
        <w:rPr>
          <w:rFonts w:hint="default" w:ascii="Times New Roman" w:hAnsi="Times New Roman" w:eastAsia="方正仿宋_GBK" w:cs="方正仿宋_GBK"/>
          <w:sz w:val="30"/>
          <w:szCs w:val="30"/>
          <w:highlight w:val="none"/>
          <w:lang w:val="en-US" w:eastAsia="zh-CN"/>
        </w:rPr>
        <w:t>对附属单位补助支出。</w:t>
      </w:r>
    </w:p>
    <w:p w14:paraId="7B664F8F">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与上年相比，支出合计增加</w:t>
      </w:r>
      <w:r>
        <w:rPr>
          <w:rFonts w:hint="eastAsia" w:ascii="Times New Roman" w:hAnsi="Times New Roman" w:eastAsia="方正仿宋_GBK" w:cs="方正仿宋_GBK"/>
          <w:sz w:val="30"/>
          <w:szCs w:val="30"/>
          <w:highlight w:val="none"/>
          <w:lang w:val="zh-CN" w:eastAsia="zh-CN"/>
        </w:rPr>
        <w:t>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811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046.69</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33.79</w:t>
      </w:r>
      <w:r>
        <w:rPr>
          <w:rFonts w:hint="eastAsia" w:ascii="Times New Roman" w:hAnsi="Times New Roman" w:eastAsia="方正仿宋_GBK" w:cs="方正仿宋_GBK"/>
          <w:sz w:val="30"/>
          <w:szCs w:val="30"/>
          <w:highlight w:val="none"/>
          <w:lang w:val="en-US" w:eastAsia="zh-CN"/>
        </w:rPr>
        <w:t>%。其中：基本支出增加</w:t>
      </w:r>
      <w:r>
        <w:rPr>
          <w:rFonts w:hint="eastAsia" w:ascii="Times New Roman" w:hAnsi="Times New Roman" w:eastAsia="方正仿宋_GBK" w:cs="方正仿宋_GBK"/>
          <w:sz w:val="30"/>
          <w:szCs w:val="30"/>
          <w:highlight w:val="none"/>
          <w:lang w:val="zh-CN" w:eastAsia="zh-CN"/>
        </w:rPr>
        <w:t>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194</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047.09</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23.01</w:t>
      </w:r>
      <w:r>
        <w:rPr>
          <w:rFonts w:hint="eastAsia" w:ascii="Times New Roman" w:hAnsi="Times New Roman" w:eastAsia="方正仿宋_GBK" w:cs="方正仿宋_GBK"/>
          <w:sz w:val="30"/>
          <w:szCs w:val="30"/>
          <w:highlight w:val="none"/>
          <w:lang w:val="en-US" w:eastAsia="zh-CN"/>
        </w:rPr>
        <w:t>%；项目支出增加</w:t>
      </w:r>
      <w:r>
        <w:rPr>
          <w:rFonts w:hint="eastAsia" w:ascii="Times New Roman" w:hAnsi="Times New Roman" w:eastAsia="方正仿宋_GBK" w:cs="方正仿宋_GBK"/>
          <w:sz w:val="30"/>
          <w:szCs w:val="30"/>
          <w:highlight w:val="none"/>
          <w:lang w:val="zh-CN" w:eastAsia="zh-CN"/>
        </w:rPr>
        <w:t>616</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999.60</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360.82</w:t>
      </w:r>
      <w:r>
        <w:rPr>
          <w:rFonts w:hint="eastAsia" w:ascii="Times New Roman" w:hAnsi="Times New Roman" w:eastAsia="方正仿宋_GBK" w:cs="方正仿宋_GBK"/>
          <w:sz w:val="30"/>
          <w:szCs w:val="30"/>
          <w:highlight w:val="none"/>
          <w:lang w:val="en-US" w:eastAsia="zh-CN"/>
        </w:rPr>
        <w:t>%；主要原因是五险及工资标准调增及项目新增4个。</w:t>
      </w:r>
    </w:p>
    <w:p w14:paraId="6A75A733">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w:t>
      </w:r>
      <w:r>
        <w:rPr>
          <w:rFonts w:hint="eastAsia" w:ascii="Times New Roman" w:hAnsi="Times New Roman" w:eastAsia="方正楷体_GBK" w:cs="方正楷体_GBK"/>
          <w:sz w:val="30"/>
          <w:szCs w:val="30"/>
          <w:highlight w:val="none"/>
          <w:lang w:eastAsia="zh-CN"/>
        </w:rPr>
        <w:t>一）基本支出情况</w:t>
      </w:r>
    </w:p>
    <w:p w14:paraId="0B9AD195">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2025年度用于保障</w:t>
      </w:r>
      <w:r>
        <w:rPr>
          <w:rFonts w:hint="eastAsia" w:ascii="Times New Roman" w:hAnsi="Times New Roman" w:eastAsia="方正仿宋_GBK" w:cs="方正仿宋_GBK"/>
          <w:sz w:val="30"/>
          <w:szCs w:val="30"/>
          <w:highlight w:val="none"/>
          <w:lang w:val="zh-CN" w:eastAsia="zh-CN"/>
        </w:rPr>
        <w:t>中国人民政治协商会议云南省华宁县委员会办公室</w:t>
      </w:r>
      <w:r>
        <w:rPr>
          <w:rFonts w:hint="eastAsia" w:ascii="Times New Roman" w:hAnsi="Times New Roman" w:eastAsia="方正仿宋_GBK" w:cs="方正仿宋_GBK"/>
          <w:sz w:val="30"/>
          <w:szCs w:val="30"/>
          <w:highlight w:val="none"/>
          <w:lang w:val="en-US" w:eastAsia="zh-CN"/>
        </w:rPr>
        <w:t>机关、下属事业单位等机构正常运转的日常支出</w:t>
      </w:r>
      <w:r>
        <w:rPr>
          <w:rFonts w:hint="eastAsia" w:ascii="Times New Roman" w:hAnsi="Times New Roman" w:eastAsia="方正仿宋_GBK" w:cs="方正仿宋_GBK"/>
          <w:sz w:val="30"/>
          <w:szCs w:val="30"/>
          <w:highlight w:val="none"/>
          <w:lang w:val="zh-CN" w:eastAsia="zh-CN"/>
        </w:rPr>
        <w:t>6</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382</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304.81</w:t>
      </w:r>
      <w:r>
        <w:rPr>
          <w:rFonts w:hint="eastAsia" w:ascii="Times New Roman" w:hAnsi="Times New Roman" w:eastAsia="方正仿宋_GBK" w:cs="方正仿宋_GBK"/>
          <w:sz w:val="30"/>
          <w:szCs w:val="30"/>
          <w:highlight w:val="none"/>
          <w:lang w:val="en-US" w:eastAsia="zh-CN"/>
        </w:rPr>
        <w:t>元。其中：基本工资、津贴补贴等人员经费支出</w:t>
      </w:r>
      <w:r>
        <w:rPr>
          <w:rFonts w:hint="eastAsia" w:ascii="Times New Roman" w:hAnsi="Times New Roman" w:eastAsia="方正仿宋_GBK" w:cs="方正仿宋_GBK"/>
          <w:sz w:val="30"/>
          <w:szCs w:val="30"/>
          <w:highlight w:val="none"/>
          <w:lang w:val="zh-CN" w:eastAsia="zh-CN"/>
        </w:rPr>
        <w:t>5</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859</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825.69</w:t>
      </w:r>
      <w:r>
        <w:rPr>
          <w:rFonts w:hint="eastAsia" w:ascii="Times New Roman" w:hAnsi="Times New Roman" w:eastAsia="方正仿宋_GBK" w:cs="方正仿宋_GBK"/>
          <w:sz w:val="30"/>
          <w:szCs w:val="30"/>
          <w:highlight w:val="none"/>
          <w:lang w:val="en-US" w:eastAsia="zh-CN"/>
        </w:rPr>
        <w:t>元，占基本支出的</w:t>
      </w:r>
      <w:r>
        <w:rPr>
          <w:rFonts w:hint="eastAsia" w:ascii="Times New Roman" w:hAnsi="Times New Roman" w:eastAsia="方正仿宋_GBK" w:cs="方正仿宋_GBK"/>
          <w:sz w:val="30"/>
          <w:szCs w:val="30"/>
          <w:highlight w:val="none"/>
          <w:lang w:val="zh-CN" w:eastAsia="zh-CN"/>
        </w:rPr>
        <w:t>91.81</w:t>
      </w:r>
      <w:r>
        <w:rPr>
          <w:rFonts w:hint="eastAsia" w:ascii="Times New Roman" w:hAnsi="Times New Roman" w:eastAsia="方正仿宋_GBK" w:cs="方正仿宋_GBK"/>
          <w:sz w:val="30"/>
          <w:szCs w:val="30"/>
          <w:highlight w:val="none"/>
          <w:lang w:val="en-US" w:eastAsia="zh-CN"/>
        </w:rPr>
        <w:t>％；办公费、印刷费、水电费、办公设备购置等公用经费</w:t>
      </w:r>
      <w:r>
        <w:rPr>
          <w:rFonts w:hint="eastAsia" w:ascii="Times New Roman" w:hAnsi="Times New Roman" w:eastAsia="方正仿宋_GBK" w:cs="方正仿宋_GBK"/>
          <w:sz w:val="30"/>
          <w:szCs w:val="30"/>
          <w:highlight w:val="none"/>
          <w:lang w:val="zh-CN" w:eastAsia="zh-CN"/>
        </w:rPr>
        <w:t>522</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479.12</w:t>
      </w:r>
      <w:r>
        <w:rPr>
          <w:rFonts w:hint="eastAsia" w:ascii="Times New Roman" w:hAnsi="Times New Roman" w:eastAsia="方正仿宋_GBK" w:cs="方正仿宋_GBK"/>
          <w:sz w:val="30"/>
          <w:szCs w:val="30"/>
          <w:highlight w:val="none"/>
          <w:lang w:val="en-US" w:eastAsia="zh-CN"/>
        </w:rPr>
        <w:t>元，占基本支出的</w:t>
      </w:r>
      <w:r>
        <w:rPr>
          <w:rFonts w:hint="eastAsia" w:ascii="Times New Roman" w:hAnsi="Times New Roman" w:eastAsia="方正仿宋_GBK" w:cs="方正仿宋_GBK"/>
          <w:sz w:val="30"/>
          <w:szCs w:val="30"/>
          <w:highlight w:val="none"/>
          <w:lang w:val="zh-CN" w:eastAsia="zh-CN"/>
        </w:rPr>
        <w:t>8.19</w:t>
      </w:r>
      <w:r>
        <w:rPr>
          <w:rFonts w:hint="eastAsia" w:ascii="Times New Roman" w:hAnsi="Times New Roman" w:eastAsia="方正仿宋_GBK" w:cs="方正仿宋_GBK"/>
          <w:sz w:val="30"/>
          <w:szCs w:val="30"/>
          <w:highlight w:val="none"/>
          <w:lang w:val="en-US" w:eastAsia="zh-CN"/>
        </w:rPr>
        <w:t>％。</w:t>
      </w:r>
    </w:p>
    <w:p w14:paraId="08664B45">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rPr>
        <w:t>（二）项目支出情况</w:t>
      </w:r>
    </w:p>
    <w:p w14:paraId="6B6DB0C3">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2025年度用于保障</w:t>
      </w:r>
      <w:r>
        <w:rPr>
          <w:rFonts w:hint="eastAsia" w:ascii="Times New Roman" w:hAnsi="Times New Roman" w:eastAsia="方正仿宋_GBK" w:cs="方正仿宋_GBK"/>
          <w:sz w:val="30"/>
          <w:szCs w:val="30"/>
          <w:highlight w:val="none"/>
          <w:lang w:val="zh-CN" w:eastAsia="zh-CN"/>
        </w:rPr>
        <w:t>中国人民政治协商会议云南省华宁县委员会办公室</w:t>
      </w:r>
      <w:r>
        <w:rPr>
          <w:rFonts w:hint="eastAsia" w:ascii="Times New Roman" w:hAnsi="Times New Roman" w:eastAsia="方正仿宋_GBK" w:cs="方正仿宋_GBK"/>
          <w:sz w:val="30"/>
          <w:szCs w:val="30"/>
          <w:highlight w:val="none"/>
          <w:lang w:val="en-US" w:eastAsia="zh-CN"/>
        </w:rPr>
        <w:t>机关、下属事业单位等机构为完成特定的行政工作任务或事业发展目标，用于专项业务工作的经费支出</w:t>
      </w:r>
      <w:r>
        <w:rPr>
          <w:rFonts w:hint="eastAsia" w:ascii="Times New Roman" w:hAnsi="Times New Roman" w:eastAsia="方正仿宋_GBK" w:cs="方正仿宋_GBK"/>
          <w:sz w:val="30"/>
          <w:szCs w:val="30"/>
          <w:highlight w:val="none"/>
          <w:lang w:val="zh-CN" w:eastAsia="zh-CN"/>
        </w:rPr>
        <w:t>787</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999.60</w:t>
      </w:r>
      <w:r>
        <w:rPr>
          <w:rFonts w:hint="eastAsia" w:ascii="Times New Roman" w:hAnsi="Times New Roman" w:eastAsia="方正仿宋_GBK" w:cs="方正仿宋_GBK"/>
          <w:sz w:val="30"/>
          <w:szCs w:val="30"/>
          <w:highlight w:val="none"/>
          <w:lang w:val="en-US" w:eastAsia="zh-CN"/>
        </w:rPr>
        <w:t>元。其中：基本建设类项目支出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w:t>
      </w:r>
    </w:p>
    <w:p w14:paraId="64A692EA">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《华宁县政协志》编纂出版项目经费120,000.00元，主要用于《华宁县政协志》3000册的编写、设计、印刷费用。</w:t>
      </w:r>
    </w:p>
    <w:p w14:paraId="1A0571CC">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2020、2021、2023年驻县区市政协委员履职项目经费37,000.00元，主要用于保障委员开展调研、视察、会议等相关活动。</w:t>
      </w:r>
    </w:p>
    <w:p w14:paraId="3223C3CD">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政协机关履职能力提升项目经费50,000.00元，主要用于政协机关干部培训、数字政协建设，提升机关履职保障水平。</w:t>
      </w:r>
    </w:p>
    <w:p w14:paraId="59D49F39">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省级第一批基层政协履职能力提升项目经费98,000.00元，主要用委员培训、业务建设，提升机关履职保障水平。</w:t>
      </w:r>
    </w:p>
    <w:p w14:paraId="427A8480">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en-US" w:eastAsia="zh-CN"/>
        </w:rPr>
      </w:pPr>
      <w:r>
        <w:rPr>
          <w:rFonts w:hint="default" w:ascii="Times New Roman" w:hAnsi="Times New Roman" w:eastAsia="方正仿宋_GBK" w:cs="方正仿宋_GBK"/>
          <w:sz w:val="30"/>
          <w:szCs w:val="30"/>
          <w:highlight w:val="none"/>
          <w:lang w:val="en-US" w:eastAsia="zh-CN"/>
        </w:rPr>
        <w:t>杨毅松徐生祥死亡一次性抚恤金及丧葬费项目经费</w:t>
      </w:r>
      <w:r>
        <w:rPr>
          <w:rFonts w:hint="eastAsia" w:ascii="Times New Roman" w:hAnsi="Times New Roman" w:eastAsia="方正仿宋_GBK" w:cs="方正仿宋_GBK"/>
          <w:sz w:val="30"/>
          <w:szCs w:val="30"/>
          <w:highlight w:val="none"/>
          <w:lang w:val="en-US" w:eastAsia="zh-CN"/>
        </w:rPr>
        <w:t>482,999.60元，主要用于</w:t>
      </w:r>
      <w:r>
        <w:rPr>
          <w:rFonts w:hint="default" w:ascii="Times New Roman" w:hAnsi="Times New Roman" w:eastAsia="方正仿宋_GBK" w:cs="方正仿宋_GBK"/>
          <w:sz w:val="30"/>
          <w:szCs w:val="30"/>
          <w:highlight w:val="none"/>
          <w:lang w:val="en-US" w:eastAsia="zh-CN"/>
        </w:rPr>
        <w:t>杨毅松</w:t>
      </w:r>
      <w:r>
        <w:rPr>
          <w:rFonts w:hint="eastAsia" w:ascii="Times New Roman" w:hAnsi="Times New Roman" w:eastAsia="方正仿宋_GBK" w:cs="方正仿宋_GBK"/>
          <w:sz w:val="30"/>
          <w:szCs w:val="30"/>
          <w:highlight w:val="none"/>
          <w:lang w:val="en-US" w:eastAsia="zh-CN"/>
        </w:rPr>
        <w:t>和</w:t>
      </w:r>
      <w:r>
        <w:rPr>
          <w:rFonts w:hint="default" w:ascii="Times New Roman" w:hAnsi="Times New Roman" w:eastAsia="方正仿宋_GBK" w:cs="方正仿宋_GBK"/>
          <w:sz w:val="30"/>
          <w:szCs w:val="30"/>
          <w:highlight w:val="none"/>
          <w:lang w:val="en-US" w:eastAsia="zh-CN"/>
        </w:rPr>
        <w:t>徐生祥</w:t>
      </w:r>
      <w:r>
        <w:rPr>
          <w:rFonts w:hint="eastAsia" w:ascii="Times New Roman" w:hAnsi="Times New Roman" w:eastAsia="方正仿宋_GBK" w:cs="方正仿宋_GBK"/>
          <w:sz w:val="30"/>
          <w:szCs w:val="30"/>
          <w:highlight w:val="none"/>
          <w:lang w:val="en-US" w:eastAsia="zh-CN"/>
        </w:rPr>
        <w:t>的死亡</w:t>
      </w:r>
      <w:r>
        <w:rPr>
          <w:rFonts w:hint="default" w:ascii="Times New Roman" w:hAnsi="Times New Roman" w:eastAsia="方正仿宋_GBK" w:cs="方正仿宋_GBK"/>
          <w:sz w:val="30"/>
          <w:szCs w:val="30"/>
          <w:highlight w:val="none"/>
          <w:lang w:val="en-US" w:eastAsia="zh-CN"/>
        </w:rPr>
        <w:t>一次性抚恤金及丧葬费</w:t>
      </w:r>
      <w:r>
        <w:rPr>
          <w:rFonts w:hint="eastAsia" w:ascii="Times New Roman" w:hAnsi="Times New Roman" w:eastAsia="方正仿宋_GBK" w:cs="方正仿宋_GBK"/>
          <w:sz w:val="30"/>
          <w:szCs w:val="30"/>
          <w:highlight w:val="none"/>
          <w:lang w:val="en-US" w:eastAsia="zh-CN"/>
        </w:rPr>
        <w:t>。</w:t>
      </w:r>
    </w:p>
    <w:p w14:paraId="277945F7">
      <w:pPr>
        <w:keepNext w:val="0"/>
        <w:keepLines w:val="0"/>
        <w:pageBreakBefore w:val="0"/>
        <w:kinsoku/>
        <w:wordWrap/>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三、一般公共预算财政拨款支出决算情况说明</w:t>
      </w:r>
    </w:p>
    <w:p w14:paraId="5234A18E">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w:t>
      </w:r>
      <w:r>
        <w:rPr>
          <w:rFonts w:hint="eastAsia" w:ascii="Times New Roman" w:hAnsi="Times New Roman" w:eastAsia="方正楷体_GBK" w:cs="方正楷体_GBK"/>
          <w:sz w:val="30"/>
          <w:szCs w:val="30"/>
          <w:highlight w:val="none"/>
          <w:lang w:eastAsia="zh-CN"/>
        </w:rPr>
        <w:t>一）一般公共预算财政拨款支出决算总体情况</w:t>
      </w:r>
    </w:p>
    <w:p w14:paraId="0149AC5F">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zh-CN" w:eastAsia="zh-CN"/>
        </w:rPr>
        <w:t>中国人民政治协商会议云南省华宁县委员会办公室</w:t>
      </w:r>
      <w:r>
        <w:rPr>
          <w:rFonts w:hint="eastAsia" w:ascii="Times New Roman" w:hAnsi="Times New Roman" w:eastAsia="方正仿宋_GBK" w:cs="方正仿宋_GBK"/>
          <w:sz w:val="30"/>
          <w:szCs w:val="30"/>
          <w:highlight w:val="none"/>
          <w:lang w:val="en-US" w:eastAsia="zh-CN"/>
        </w:rPr>
        <w:t>2025年度一般公共预算财政拨款支出</w:t>
      </w:r>
      <w:r>
        <w:rPr>
          <w:rFonts w:hint="eastAsia" w:ascii="Times New Roman" w:hAnsi="Times New Roman" w:eastAsia="方正仿宋_GBK" w:cs="方正仿宋_GBK"/>
          <w:sz w:val="30"/>
          <w:szCs w:val="30"/>
          <w:highlight w:val="none"/>
          <w:lang w:val="zh-CN" w:eastAsia="zh-CN"/>
        </w:rPr>
        <w:t>7</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159</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893.99</w:t>
      </w:r>
      <w:r>
        <w:rPr>
          <w:rFonts w:hint="eastAsia" w:ascii="Times New Roman" w:hAnsi="Times New Roman" w:eastAsia="方正仿宋_GBK" w:cs="方正仿宋_GBK"/>
          <w:sz w:val="30"/>
          <w:szCs w:val="30"/>
          <w:highlight w:val="none"/>
          <w:lang w:val="en-US" w:eastAsia="zh-CN"/>
        </w:rPr>
        <w:t>元</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占本年支出合计的</w:t>
      </w:r>
      <w:r>
        <w:rPr>
          <w:rFonts w:hint="eastAsia" w:ascii="Times New Roman" w:hAnsi="Times New Roman" w:eastAsia="方正仿宋_GBK" w:cs="方正仿宋_GBK"/>
          <w:sz w:val="30"/>
          <w:szCs w:val="30"/>
          <w:highlight w:val="none"/>
          <w:lang w:val="zh-CN" w:eastAsia="zh-CN"/>
        </w:rPr>
        <w:t>99.85</w:t>
      </w:r>
      <w:r>
        <w:rPr>
          <w:rFonts w:hint="eastAsia" w:ascii="Times New Roman" w:hAnsi="Times New Roman" w:eastAsia="方正仿宋_GBK" w:cs="方正仿宋_GBK"/>
          <w:sz w:val="30"/>
          <w:szCs w:val="30"/>
          <w:highlight w:val="none"/>
          <w:lang w:val="en-US" w:eastAsia="zh-CN"/>
        </w:rPr>
        <w:t>%。与上年相比增加</w:t>
      </w:r>
      <w:r>
        <w:rPr>
          <w:rFonts w:hint="eastAsia" w:ascii="Times New Roman" w:hAnsi="Times New Roman" w:eastAsia="方正仿宋_GBK" w:cs="方正仿宋_GBK"/>
          <w:sz w:val="30"/>
          <w:szCs w:val="30"/>
          <w:highlight w:val="none"/>
          <w:lang w:val="zh-CN" w:eastAsia="zh-CN"/>
        </w:rPr>
        <w:t>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800</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636.27</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33.60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125.69</w:t>
      </w:r>
      <w:r>
        <w:rPr>
          <w:rFonts w:hint="eastAsia" w:ascii="Times New Roman" w:hAnsi="Times New Roman" w:eastAsia="方正仿宋_GBK" w:cs="方正仿宋_GBK"/>
          <w:sz w:val="30"/>
          <w:szCs w:val="30"/>
          <w:highlight w:val="none"/>
          <w:lang w:val="en-US" w:eastAsia="zh-CN"/>
        </w:rPr>
        <w:t>%。</w:t>
      </w:r>
    </w:p>
    <w:p w14:paraId="185914DC">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
          <w:sz w:val="30"/>
          <w:szCs w:val="30"/>
          <w:highlight w:val="none"/>
        </w:rPr>
      </w:pPr>
      <w:r>
        <w:rPr>
          <w:rFonts w:hint="eastAsia" w:ascii="Times New Roman" w:hAnsi="Times New Roman" w:eastAsia="方正楷体_GBK" w:cs="方正楷体_GBK"/>
          <w:sz w:val="30"/>
          <w:szCs w:val="30"/>
          <w:highlight w:val="none"/>
          <w:lang w:eastAsia="zh-CN"/>
        </w:rPr>
        <w:t>（二）一般公共预算财政拨款支出决算分功能分类科目情况</w:t>
      </w:r>
      <w:r>
        <w:rPr>
          <w:rFonts w:hint="eastAsia" w:ascii="Times New Roman" w:hAnsi="Times New Roman" w:eastAsia="楷体"/>
          <w:sz w:val="30"/>
          <w:szCs w:val="30"/>
          <w:highlight w:val="none"/>
        </w:rPr>
        <w:tab/>
      </w:r>
    </w:p>
    <w:p w14:paraId="4D3558DB">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1.一般公共服务（类）支出4</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899</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540.40元，占一般公共预算财政拨款总支出的68.43%，完成年初预算的125.58</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。主要用于</w:t>
      </w:r>
      <w:r>
        <w:rPr>
          <w:rFonts w:hint="default" w:ascii="Times New Roman" w:hAnsi="Times New Roman" w:eastAsia="方正仿宋_GBK" w:cs="方正仿宋_GBK"/>
          <w:sz w:val="30"/>
          <w:szCs w:val="30"/>
          <w:highlight w:val="none"/>
          <w:lang w:val="zh-CN" w:eastAsia="zh-CN"/>
        </w:rPr>
        <w:t>行政运行支出</w:t>
      </w:r>
      <w:r>
        <w:rPr>
          <w:rFonts w:hint="eastAsia" w:ascii="Times New Roman" w:hAnsi="Times New Roman" w:eastAsia="方正仿宋_GBK" w:cs="方正仿宋_GBK"/>
          <w:sz w:val="30"/>
          <w:szCs w:val="30"/>
          <w:highlight w:val="none"/>
          <w:lang w:val="en-US" w:eastAsia="zh-CN"/>
        </w:rPr>
        <w:t>4,714,540.40</w:t>
      </w:r>
      <w:r>
        <w:rPr>
          <w:rFonts w:hint="default" w:ascii="Times New Roman" w:hAnsi="Times New Roman" w:eastAsia="方正仿宋_GBK" w:cs="方正仿宋_GBK"/>
          <w:sz w:val="30"/>
          <w:szCs w:val="30"/>
          <w:highlight w:val="none"/>
          <w:lang w:val="en-US" w:eastAsia="zh-CN"/>
        </w:rPr>
        <w:t>元，</w:t>
      </w:r>
      <w:r>
        <w:rPr>
          <w:rFonts w:hint="eastAsia" w:ascii="Times New Roman" w:hAnsi="Times New Roman" w:eastAsia="方正仿宋_GBK" w:cs="方正仿宋_GBK"/>
          <w:sz w:val="30"/>
          <w:szCs w:val="30"/>
          <w:highlight w:val="none"/>
          <w:lang w:val="en-US" w:eastAsia="zh-CN"/>
        </w:rPr>
        <w:t>委员视察37,000.00元，</w:t>
      </w:r>
      <w:r>
        <w:rPr>
          <w:rFonts w:hint="default" w:ascii="Times New Roman" w:hAnsi="Times New Roman" w:eastAsia="方正仿宋_GBK" w:cs="方正仿宋_GBK"/>
          <w:sz w:val="30"/>
          <w:szCs w:val="30"/>
          <w:highlight w:val="none"/>
          <w:lang w:val="en-US" w:eastAsia="zh-CN"/>
        </w:rPr>
        <w:t>其他政协事务支出</w:t>
      </w:r>
      <w:r>
        <w:rPr>
          <w:rFonts w:hint="eastAsia" w:ascii="Times New Roman" w:hAnsi="Times New Roman" w:eastAsia="方正仿宋_GBK" w:cs="方正仿宋_GBK"/>
          <w:sz w:val="30"/>
          <w:szCs w:val="30"/>
          <w:highlight w:val="none"/>
          <w:lang w:val="en-US" w:eastAsia="zh-CN"/>
        </w:rPr>
        <w:t>148,000.00</w:t>
      </w:r>
      <w:r>
        <w:rPr>
          <w:rFonts w:hint="default" w:ascii="Times New Roman" w:hAnsi="Times New Roman" w:eastAsia="方正仿宋_GBK" w:cs="方正仿宋_GBK"/>
          <w:sz w:val="30"/>
          <w:szCs w:val="30"/>
          <w:highlight w:val="none"/>
          <w:lang w:val="en-US" w:eastAsia="zh-CN"/>
        </w:rPr>
        <w:t>元</w:t>
      </w:r>
      <w:r>
        <w:rPr>
          <w:rFonts w:hint="eastAsia" w:ascii="Times New Roman" w:hAnsi="Times New Roman" w:eastAsia="方正仿宋_GBK" w:cs="方正仿宋_GBK"/>
          <w:sz w:val="30"/>
          <w:szCs w:val="30"/>
          <w:highlight w:val="none"/>
          <w:lang w:val="zh-CN" w:eastAsia="zh-CN"/>
        </w:rPr>
        <w:t>。造成预决算差异的主要原因是</w:t>
      </w:r>
      <w:r>
        <w:rPr>
          <w:rFonts w:hint="default" w:ascii="Times New Roman" w:hAnsi="Times New Roman" w:eastAsia="方正仿宋_GBK" w:cs="方正仿宋_GBK"/>
          <w:sz w:val="30"/>
          <w:szCs w:val="30"/>
          <w:highlight w:val="none"/>
          <w:lang w:val="zh-CN" w:eastAsia="zh-CN"/>
        </w:rPr>
        <w:t>人员基本工资调增。</w:t>
      </w:r>
    </w:p>
    <w:p w14:paraId="3FDE0CA8">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2.外交（类）支出0.00元，占一般公共预算财政拨款总支出的0.00%，年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4F303553">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3.国防（类）支出0.00元，占一般公共预算财政拨款总支出的0.00%，年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4880D0DA">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4.公共安全（类）支出0.00元，占一般公共预算财政拨款总支出的0.00%，年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143091DB">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5.教育（类）支出0.00元，占一般公共预算财政拨款总支出的0.00%</w:t>
      </w:r>
      <w:r>
        <w:rPr>
          <w:rFonts w:hint="eastAsia" w:ascii="Times New Roman" w:hAnsi="Times New Roman" w:eastAsia="方正仿宋_GBK" w:cs="方正仿宋_GBK"/>
          <w:sz w:val="30"/>
          <w:szCs w:val="30"/>
          <w:highlight w:val="none"/>
          <w:lang w:val="zh-CN" w:eastAsia="zh-CN"/>
        </w:rPr>
        <w:t>，年</w:t>
      </w:r>
      <w:r>
        <w:rPr>
          <w:rFonts w:hint="default" w:ascii="Times New Roman" w:hAnsi="Times New Roman" w:eastAsia="方正仿宋_GBK" w:cs="方正仿宋_GBK"/>
          <w:sz w:val="30"/>
          <w:szCs w:val="30"/>
          <w:highlight w:val="none"/>
          <w:lang w:val="zh-CN" w:eastAsia="zh-CN"/>
        </w:rPr>
        <w:t>初无此项预算，本部门无此项支出。</w:t>
      </w:r>
    </w:p>
    <w:p w14:paraId="40B16B01">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6.科学技术（类）支出0.00元，占一般公共预算财政拨款总支出的0.00%</w:t>
      </w:r>
      <w:r>
        <w:rPr>
          <w:rFonts w:hint="eastAsia" w:ascii="Times New Roman" w:hAnsi="Times New Roman" w:eastAsia="方正仿宋_GBK" w:cs="方正仿宋_GBK"/>
          <w:sz w:val="30"/>
          <w:szCs w:val="30"/>
          <w:highlight w:val="none"/>
          <w:lang w:val="zh-CN" w:eastAsia="zh-CN"/>
        </w:rPr>
        <w:t>，年</w:t>
      </w:r>
      <w:r>
        <w:rPr>
          <w:rFonts w:hint="default" w:ascii="Times New Roman" w:hAnsi="Times New Roman" w:eastAsia="方正仿宋_GBK" w:cs="方正仿宋_GBK"/>
          <w:sz w:val="30"/>
          <w:szCs w:val="30"/>
          <w:highlight w:val="none"/>
          <w:lang w:val="zh-CN" w:eastAsia="zh-CN"/>
        </w:rPr>
        <w:t>初无此项预算，本部门无此项支出。</w:t>
      </w:r>
    </w:p>
    <w:p w14:paraId="4CDC121D">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7.文化旅游体育与传媒（类）支出0.00元，占一般公共预算财政拨款总支出的0.00%</w:t>
      </w:r>
      <w:r>
        <w:rPr>
          <w:rFonts w:hint="eastAsia" w:ascii="Times New Roman" w:hAnsi="Times New Roman" w:eastAsia="方正仿宋_GBK" w:cs="方正仿宋_GBK"/>
          <w:sz w:val="30"/>
          <w:szCs w:val="30"/>
          <w:highlight w:val="none"/>
          <w:lang w:val="zh-CN" w:eastAsia="zh-CN"/>
        </w:rPr>
        <w:t>，年</w:t>
      </w:r>
      <w:r>
        <w:rPr>
          <w:rFonts w:hint="default" w:ascii="Times New Roman" w:hAnsi="Times New Roman" w:eastAsia="方正仿宋_GBK" w:cs="方正仿宋_GBK"/>
          <w:sz w:val="30"/>
          <w:szCs w:val="30"/>
          <w:highlight w:val="none"/>
          <w:lang w:val="zh-CN" w:eastAsia="zh-CN"/>
        </w:rPr>
        <w:t>初无此项预算，本部门无此项支出。</w:t>
      </w:r>
    </w:p>
    <w:p w14:paraId="5F38D686">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8.社会保障和就业（类）支出116,585,5.26元，占一般公共预算财政拨款总支出的16.28%</w:t>
      </w:r>
      <w:r>
        <w:rPr>
          <w:rFonts w:hint="eastAsia" w:ascii="Times New Roman" w:hAnsi="Times New Roman" w:eastAsia="方正仿宋_GBK" w:cs="方正仿宋_GBK"/>
          <w:sz w:val="30"/>
          <w:szCs w:val="30"/>
          <w:highlight w:val="none"/>
          <w:lang w:val="zh-CN" w:eastAsia="zh-CN"/>
        </w:rPr>
        <w:t>，完成年初预算的134.93</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zh-CN" w:eastAsia="zh-CN"/>
        </w:rPr>
        <w:t>全部用于机关事业单位基本养老保险缴费</w:t>
      </w:r>
      <w:r>
        <w:rPr>
          <w:rFonts w:hint="eastAsia" w:ascii="Times New Roman" w:hAnsi="Times New Roman" w:eastAsia="方正仿宋_GBK" w:cs="方正仿宋_GBK"/>
          <w:sz w:val="30"/>
          <w:szCs w:val="30"/>
          <w:highlight w:val="none"/>
          <w:lang w:val="zh-CN" w:eastAsia="zh-CN"/>
        </w:rPr>
        <w:t>及死亡抚恤金支出，</w:t>
      </w:r>
      <w:r>
        <w:rPr>
          <w:rFonts w:hint="default" w:ascii="Times New Roman" w:hAnsi="Times New Roman" w:eastAsia="方正仿宋_GBK" w:cs="方正仿宋_GBK"/>
          <w:sz w:val="30"/>
          <w:szCs w:val="30"/>
          <w:highlight w:val="none"/>
          <w:lang w:val="zh-CN" w:eastAsia="zh-CN"/>
        </w:rPr>
        <w:t>造成预决算差异的主要原因是</w:t>
      </w:r>
      <w:r>
        <w:rPr>
          <w:rFonts w:hint="eastAsia" w:ascii="Times New Roman" w:hAnsi="Times New Roman" w:eastAsia="方正仿宋_GBK" w:cs="方正仿宋_GBK"/>
          <w:sz w:val="30"/>
          <w:szCs w:val="30"/>
          <w:highlight w:val="none"/>
          <w:lang w:val="zh-CN" w:eastAsia="zh-CN"/>
        </w:rPr>
        <w:t>增加死亡抚恤金支出。</w:t>
      </w:r>
    </w:p>
    <w:p w14:paraId="73CE35DD">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9.卫生健康（类）支出</w:t>
      </w:r>
      <w:r>
        <w:rPr>
          <w:rFonts w:hint="eastAsia" w:ascii="Times New Roman" w:hAnsi="Times New Roman" w:eastAsia="方正仿宋_GBK" w:cs="方正仿宋_GBK"/>
          <w:sz w:val="30"/>
          <w:szCs w:val="30"/>
          <w:highlight w:val="none"/>
          <w:lang w:val="zh-CN" w:eastAsia="zh-CN"/>
        </w:rPr>
        <w:t>604</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515.33元，占一般公共预算财政拨款总支出的8.44%,完成年初预算的123.73</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w:t>
      </w:r>
      <w:r>
        <w:rPr>
          <w:rFonts w:hint="default" w:ascii="Times New Roman" w:hAnsi="Times New Roman" w:eastAsia="方正仿宋_GBK" w:cs="方正仿宋_GBK"/>
          <w:sz w:val="30"/>
          <w:szCs w:val="30"/>
          <w:highlight w:val="none"/>
          <w:lang w:val="zh-CN" w:eastAsia="zh-CN"/>
        </w:rPr>
        <w:t>主要用于行政单位医疗支出</w:t>
      </w:r>
      <w:r>
        <w:rPr>
          <w:rFonts w:hint="default" w:ascii="Times New Roman" w:hAnsi="Times New Roman" w:eastAsia="方正仿宋_GBK" w:cs="方正仿宋_GBK"/>
          <w:sz w:val="30"/>
          <w:szCs w:val="30"/>
          <w:highlight w:val="none"/>
          <w:lang w:val="en-US" w:eastAsia="zh-CN"/>
        </w:rPr>
        <w:t>329</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en-US" w:eastAsia="zh-CN"/>
        </w:rPr>
        <w:t>597.71元，公务员医疗补助261</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en-US" w:eastAsia="zh-CN"/>
        </w:rPr>
        <w:t>892.96元，其他行政事业单位医疗支出130</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en-US" w:eastAsia="zh-CN"/>
        </w:rPr>
        <w:t>24.66元</w:t>
      </w:r>
      <w:r>
        <w:rPr>
          <w:rFonts w:hint="default" w:ascii="Times New Roman" w:hAnsi="Times New Roman" w:eastAsia="方正仿宋_GBK" w:cs="方正仿宋_GBK"/>
          <w:sz w:val="30"/>
          <w:szCs w:val="30"/>
          <w:highlight w:val="none"/>
          <w:lang w:val="zh-CN" w:eastAsia="zh-CN"/>
        </w:rPr>
        <w:t>；造成预决算差异的主要原因是</w:t>
      </w:r>
      <w:r>
        <w:rPr>
          <w:rFonts w:hint="eastAsia" w:ascii="Times New Roman" w:hAnsi="Times New Roman" w:eastAsia="方正仿宋_GBK" w:cs="方正仿宋_GBK"/>
          <w:sz w:val="30"/>
          <w:szCs w:val="30"/>
          <w:highlight w:val="none"/>
          <w:lang w:val="zh-CN" w:eastAsia="zh-CN"/>
        </w:rPr>
        <w:t>医疗保险基数调增，支出增加。</w:t>
      </w:r>
    </w:p>
    <w:p w14:paraId="5F5609A8">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10.节能环保（类）支出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0036C07E">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11.城乡社区（类）支出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1994ACCA">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12.农林水（类）支出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3A32D67D">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13.交通运输（类）支出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3C13EF56">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14.资源勘探工业信息等（类）支出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013C7FCF">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15.商业服务业等（类）支出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46CEBF84">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16.金融（类）支出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543C3C63">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17.援助其他地区（类）支出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334586C5">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18.自然资源海洋气象等（类）支出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54740567">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19.住房保障（类）支出</w:t>
      </w:r>
      <w:r>
        <w:rPr>
          <w:rFonts w:hint="eastAsia" w:ascii="Times New Roman" w:hAnsi="Times New Roman" w:eastAsia="方正仿宋_GBK" w:cs="方正仿宋_GBK"/>
          <w:sz w:val="30"/>
          <w:szCs w:val="30"/>
          <w:highlight w:val="none"/>
          <w:lang w:val="zh-CN" w:eastAsia="zh-CN"/>
        </w:rPr>
        <w:t>489</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983.00元，占一般公共预算财政拨款总支出的6.84%，完成年初预算的110.77</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zh-CN" w:eastAsia="zh-CN"/>
        </w:rPr>
        <w:t>全部用于住房公积金支出；造成预决算差异的主要原因是</w:t>
      </w:r>
      <w:r>
        <w:rPr>
          <w:rFonts w:hint="eastAsia" w:ascii="Times New Roman" w:hAnsi="Times New Roman" w:eastAsia="方正仿宋_GBK" w:cs="方正仿宋_GBK"/>
          <w:sz w:val="30"/>
          <w:szCs w:val="30"/>
          <w:highlight w:val="none"/>
          <w:lang w:val="zh-CN" w:eastAsia="zh-CN"/>
        </w:rPr>
        <w:t>公积金基数调增，支出增加。</w:t>
      </w:r>
    </w:p>
    <w:p w14:paraId="45DCA511">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20.粮油物资储备（类）支出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1D816BC5">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21.国有资本经营预算（类）支出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5DCB97D4">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22.灾害防治及应急管理（类）支出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04DB18BF">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23.其他（类）支出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02FA1DD8">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24.债务还本（类）支出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17790A49">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25.债务付息（类）支出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6D004B77">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26.抗疫特别国债安排（类）支出</w:t>
      </w:r>
      <w:r>
        <w:rPr>
          <w:rFonts w:hint="eastAsia" w:ascii="Times New Roman" w:hAnsi="Times New Roman" w:eastAsia="方正仿宋_GBK" w:cs="方正仿宋_GBK"/>
          <w:sz w:val="30"/>
          <w:szCs w:val="30"/>
          <w:highlight w:val="none"/>
          <w:lang w:val="zh-CN" w:eastAsia="zh-CN"/>
        </w:rPr>
        <w:t>0.00元，占一般公共预算财政拨款总支出的0.00%，年</w:t>
      </w:r>
      <w:r>
        <w:rPr>
          <w:rFonts w:hint="default" w:ascii="Times New Roman" w:hAnsi="Times New Roman" w:eastAsia="方正仿宋_GBK" w:cs="方正仿宋_GBK"/>
          <w:sz w:val="30"/>
          <w:szCs w:val="30"/>
          <w:highlight w:val="none"/>
          <w:lang w:val="zh-CN" w:eastAsia="zh-CN"/>
        </w:rPr>
        <w:t>初无此项预算，本部门无此项支出。</w:t>
      </w:r>
    </w:p>
    <w:p w14:paraId="76487441">
      <w:pPr>
        <w:keepNext w:val="0"/>
        <w:keepLines w:val="0"/>
        <w:pageBreakBefore w:val="0"/>
        <w:kinsoku/>
        <w:wordWrap/>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lang w:eastAsia="zh-CN"/>
        </w:rPr>
        <w:t>四、</w:t>
      </w:r>
      <w:r>
        <w:rPr>
          <w:rFonts w:hint="eastAsia" w:ascii="Times New Roman" w:hAnsi="Times New Roman" w:eastAsia="方正黑体_GBK" w:cs="方正黑体_GBK"/>
          <w:sz w:val="30"/>
          <w:szCs w:val="30"/>
          <w:highlight w:val="none"/>
        </w:rPr>
        <w:t>财政拨款“三公”经费支出决算情况说明</w:t>
      </w:r>
    </w:p>
    <w:p w14:paraId="3C9E9728">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（一）总体情况</w:t>
      </w:r>
    </w:p>
    <w:p w14:paraId="660DD0BF">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2025年度财政拨款“三公”经费支出决算中，财政拨款“三公”经费支出年初预算为27,000.00元，决算为</w:t>
      </w:r>
      <w:r>
        <w:rPr>
          <w:rFonts w:hint="eastAsia" w:ascii="Times New Roman" w:hAnsi="Times New Roman" w:eastAsia="方正仿宋_GBK" w:cs="方正仿宋_GBK"/>
          <w:sz w:val="30"/>
          <w:szCs w:val="30"/>
          <w:highlight w:val="none"/>
          <w:lang w:val="zh-CN" w:eastAsia="zh-CN"/>
        </w:rPr>
        <w:t>26</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159.50</w:t>
      </w:r>
      <w:r>
        <w:rPr>
          <w:rFonts w:hint="eastAsia" w:ascii="Times New Roman" w:hAnsi="Times New Roman" w:eastAsia="方正仿宋_GBK" w:cs="方正仿宋_GBK"/>
          <w:sz w:val="30"/>
          <w:szCs w:val="30"/>
          <w:highlight w:val="none"/>
          <w:lang w:val="en-US" w:eastAsia="zh-CN"/>
        </w:rPr>
        <w:t>元，完成年初预算的</w:t>
      </w:r>
      <w:r>
        <w:rPr>
          <w:rFonts w:hint="eastAsia" w:ascii="Times New Roman" w:hAnsi="Times New Roman" w:eastAsia="方正仿宋_GBK" w:cs="方正仿宋_GBK"/>
          <w:sz w:val="30"/>
          <w:szCs w:val="30"/>
          <w:highlight w:val="none"/>
          <w:lang w:val="zh-CN" w:eastAsia="zh-CN"/>
        </w:rPr>
        <w:t>96.89</w:t>
      </w:r>
      <w:r>
        <w:rPr>
          <w:rFonts w:hint="eastAsia" w:ascii="Times New Roman" w:hAnsi="Times New Roman" w:eastAsia="方正仿宋_GBK" w:cs="方正仿宋_GBK"/>
          <w:sz w:val="30"/>
          <w:szCs w:val="30"/>
          <w:highlight w:val="none"/>
          <w:lang w:val="en-US" w:eastAsia="zh-CN"/>
        </w:rPr>
        <w:t>%；支出决算较上年增加</w:t>
      </w:r>
      <w:r>
        <w:rPr>
          <w:rFonts w:hint="eastAsia" w:ascii="Times New Roman" w:hAnsi="Times New Roman" w:eastAsia="方正仿宋_GBK" w:cs="方正仿宋_GBK"/>
          <w:sz w:val="30"/>
          <w:szCs w:val="30"/>
          <w:highlight w:val="none"/>
          <w:lang w:val="zh-CN" w:eastAsia="zh-CN"/>
        </w:rPr>
        <w:t>11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983.00</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84.53</w:t>
      </w:r>
      <w:r>
        <w:rPr>
          <w:rFonts w:hint="eastAsia" w:ascii="Times New Roman" w:hAnsi="Times New Roman" w:eastAsia="方正仿宋_GBK" w:cs="方正仿宋_GBK"/>
          <w:sz w:val="30"/>
          <w:szCs w:val="30"/>
          <w:highlight w:val="none"/>
          <w:lang w:val="en-US" w:eastAsia="zh-CN"/>
        </w:rPr>
        <w:t>%。</w:t>
      </w:r>
    </w:p>
    <w:p w14:paraId="59356850">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因公出国（境）费用支出年初预算为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元，占财政拨款“三公”经费总支出决算的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%；公务用车购置费支出年初预算为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元，占财政拨款“三公”经费总支出决算的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%；公务用车运行维护费支出年初预算为</w:t>
      </w:r>
      <w:r>
        <w:rPr>
          <w:rFonts w:hint="eastAsia" w:ascii="Times New Roman" w:hAnsi="Times New Roman" w:eastAsia="方正仿宋_GBK" w:cs="方正仿宋_GBK"/>
          <w:sz w:val="30"/>
          <w:szCs w:val="30"/>
          <w:highlight w:val="none"/>
          <w:lang w:val="zh-CN" w:eastAsia="zh-CN"/>
        </w:rPr>
        <w:t>12</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000.00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11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409.50</w:t>
      </w:r>
      <w:r>
        <w:rPr>
          <w:rFonts w:hint="eastAsia" w:ascii="Times New Roman" w:hAnsi="Times New Roman" w:eastAsia="方正仿宋_GBK" w:cs="方正仿宋_GBK"/>
          <w:sz w:val="30"/>
          <w:szCs w:val="30"/>
          <w:highlight w:val="none"/>
          <w:lang w:val="en-US" w:eastAsia="zh-CN"/>
        </w:rPr>
        <w:t>元，占财政拨款“三公”经费总支出决算的</w:t>
      </w:r>
      <w:r>
        <w:rPr>
          <w:rFonts w:hint="eastAsia" w:ascii="Times New Roman" w:hAnsi="Times New Roman" w:eastAsia="方正仿宋_GBK" w:cs="方正仿宋_GBK"/>
          <w:sz w:val="30"/>
          <w:szCs w:val="30"/>
          <w:highlight w:val="none"/>
          <w:lang w:val="zh-CN" w:eastAsia="zh-CN"/>
        </w:rPr>
        <w:t>43.62</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95.08</w:t>
      </w:r>
      <w:r>
        <w:rPr>
          <w:rFonts w:hint="eastAsia" w:ascii="Times New Roman" w:hAnsi="Times New Roman" w:eastAsia="方正仿宋_GBK" w:cs="方正仿宋_GBK"/>
          <w:sz w:val="30"/>
          <w:szCs w:val="30"/>
          <w:highlight w:val="none"/>
          <w:lang w:val="en-US" w:eastAsia="zh-CN"/>
        </w:rPr>
        <w:t>%；公务接待费支出年初预算为</w:t>
      </w:r>
      <w:r>
        <w:rPr>
          <w:rFonts w:hint="eastAsia" w:ascii="Times New Roman" w:hAnsi="Times New Roman" w:eastAsia="方正仿宋_GBK" w:cs="方正仿宋_GBK"/>
          <w:sz w:val="30"/>
          <w:szCs w:val="30"/>
          <w:highlight w:val="none"/>
          <w:lang w:val="zh-CN" w:eastAsia="zh-CN"/>
        </w:rPr>
        <w:t>15</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000.00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14</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750.00</w:t>
      </w:r>
      <w:r>
        <w:rPr>
          <w:rFonts w:hint="eastAsia" w:ascii="Times New Roman" w:hAnsi="Times New Roman" w:eastAsia="方正仿宋_GBK" w:cs="方正仿宋_GBK"/>
          <w:sz w:val="30"/>
          <w:szCs w:val="30"/>
          <w:highlight w:val="none"/>
          <w:lang w:val="en-US" w:eastAsia="zh-CN"/>
        </w:rPr>
        <w:t>元，占财政拨款“三公”经费总支出决算的</w:t>
      </w:r>
      <w:r>
        <w:rPr>
          <w:rFonts w:hint="eastAsia" w:ascii="Times New Roman" w:hAnsi="Times New Roman" w:eastAsia="方正仿宋_GBK" w:cs="方正仿宋_GBK"/>
          <w:sz w:val="30"/>
          <w:szCs w:val="30"/>
          <w:highlight w:val="none"/>
          <w:lang w:val="zh-CN" w:eastAsia="zh-CN"/>
        </w:rPr>
        <w:t>56.38</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98.33</w:t>
      </w:r>
      <w:r>
        <w:rPr>
          <w:rFonts w:hint="eastAsia" w:ascii="Times New Roman" w:hAnsi="Times New Roman" w:eastAsia="方正仿宋_GBK" w:cs="方正仿宋_GBK"/>
          <w:sz w:val="30"/>
          <w:szCs w:val="30"/>
          <w:highlight w:val="none"/>
          <w:lang w:val="en-US" w:eastAsia="zh-CN"/>
        </w:rPr>
        <w:t>%。</w:t>
      </w:r>
    </w:p>
    <w:p w14:paraId="3BE0C04B">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因公出国（境）费用支出决算较上年增加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元，上年无此项支出；公务用车购置费支出决算较上年增加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w:t>
      </w:r>
      <w:r>
        <w:rPr>
          <w:rFonts w:hint="default" w:ascii="Times New Roman" w:hAnsi="Times New Roman" w:eastAsia="方正仿宋_GBK" w:cs="方正仿宋_GBK"/>
          <w:sz w:val="30"/>
          <w:szCs w:val="30"/>
          <w:highlight w:val="none"/>
          <w:lang w:val="en-US" w:eastAsia="zh-CN"/>
        </w:rPr>
        <w:t>上年无此项支出</w:t>
      </w:r>
      <w:r>
        <w:rPr>
          <w:rFonts w:hint="eastAsia" w:ascii="Times New Roman" w:hAnsi="Times New Roman" w:eastAsia="方正仿宋_GBK" w:cs="方正仿宋_GBK"/>
          <w:sz w:val="30"/>
          <w:szCs w:val="30"/>
          <w:highlight w:val="none"/>
          <w:lang w:val="en-US" w:eastAsia="zh-CN"/>
        </w:rPr>
        <w:t>；公务用车运行维护费支出决算较上年增加</w:t>
      </w:r>
      <w:r>
        <w:rPr>
          <w:rFonts w:hint="eastAsia" w:ascii="Times New Roman" w:hAnsi="Times New Roman" w:eastAsia="方正仿宋_GBK" w:cs="方正仿宋_GBK"/>
          <w:sz w:val="30"/>
          <w:szCs w:val="30"/>
          <w:highlight w:val="none"/>
          <w:lang w:val="zh-CN" w:eastAsia="zh-CN"/>
        </w:rPr>
        <w:t>3</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409.50</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42.62</w:t>
      </w:r>
      <w:r>
        <w:rPr>
          <w:rFonts w:hint="eastAsia" w:ascii="Times New Roman" w:hAnsi="Times New Roman" w:eastAsia="方正仿宋_GBK" w:cs="方正仿宋_GBK"/>
          <w:sz w:val="30"/>
          <w:szCs w:val="30"/>
          <w:highlight w:val="none"/>
          <w:lang w:val="en-US" w:eastAsia="zh-CN"/>
        </w:rPr>
        <w:t>%；公务接待费支出决算较上年增加</w:t>
      </w:r>
      <w:r>
        <w:rPr>
          <w:rFonts w:hint="eastAsia" w:ascii="Times New Roman" w:hAnsi="Times New Roman" w:eastAsia="方正仿宋_GBK" w:cs="方正仿宋_GBK"/>
          <w:sz w:val="30"/>
          <w:szCs w:val="30"/>
          <w:highlight w:val="none"/>
          <w:lang w:val="zh-CN" w:eastAsia="zh-CN"/>
        </w:rPr>
        <w:t>8</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573.50</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138.81</w:t>
      </w:r>
      <w:r>
        <w:rPr>
          <w:rFonts w:hint="eastAsia" w:ascii="Times New Roman" w:hAnsi="Times New Roman" w:eastAsia="方正仿宋_GBK" w:cs="方正仿宋_GBK"/>
          <w:sz w:val="30"/>
          <w:szCs w:val="30"/>
          <w:highlight w:val="none"/>
          <w:lang w:val="en-US" w:eastAsia="zh-CN"/>
        </w:rPr>
        <w:t>%；具体是国内接待费支出决算</w:t>
      </w:r>
      <w:r>
        <w:rPr>
          <w:rFonts w:hint="eastAsia" w:ascii="Times New Roman" w:hAnsi="Times New Roman" w:eastAsia="方正仿宋_GBK" w:cs="方正仿宋_GBK"/>
          <w:sz w:val="30"/>
          <w:szCs w:val="30"/>
          <w:highlight w:val="none"/>
          <w:lang w:val="zh-CN" w:eastAsia="zh-CN"/>
        </w:rPr>
        <w:t>14</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750.00</w:t>
      </w:r>
      <w:r>
        <w:rPr>
          <w:rFonts w:hint="eastAsia" w:ascii="Times New Roman" w:hAnsi="Times New Roman" w:eastAsia="方正仿宋_GBK" w:cs="方正仿宋_GBK"/>
          <w:sz w:val="30"/>
          <w:szCs w:val="30"/>
          <w:highlight w:val="none"/>
          <w:lang w:val="en-US" w:eastAsia="zh-CN"/>
        </w:rPr>
        <w:t>元（其中：外事接待费支出决算</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元），较上年增加</w:t>
      </w:r>
      <w:r>
        <w:rPr>
          <w:rFonts w:hint="eastAsia" w:ascii="Times New Roman" w:hAnsi="Times New Roman" w:eastAsia="方正仿宋_GBK" w:cs="方正仿宋_GBK"/>
          <w:sz w:val="30"/>
          <w:szCs w:val="30"/>
          <w:highlight w:val="none"/>
          <w:lang w:val="zh-CN" w:eastAsia="zh-CN"/>
        </w:rPr>
        <w:t>8</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573.50</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138.81</w:t>
      </w:r>
      <w:r>
        <w:rPr>
          <w:rFonts w:hint="eastAsia" w:ascii="Times New Roman" w:hAnsi="Times New Roman" w:eastAsia="方正仿宋_GBK" w:cs="方正仿宋_GBK"/>
          <w:sz w:val="30"/>
          <w:szCs w:val="30"/>
          <w:highlight w:val="none"/>
          <w:lang w:val="en-US" w:eastAsia="zh-CN"/>
        </w:rPr>
        <w:t>%；国（境）外接待费支出决算</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元，较上年增加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w:t>
      </w:r>
      <w:r>
        <w:rPr>
          <w:rFonts w:hint="default" w:ascii="Times New Roman" w:hAnsi="Times New Roman" w:eastAsia="方正仿宋_GBK" w:cs="方正仿宋_GBK"/>
          <w:sz w:val="30"/>
          <w:szCs w:val="30"/>
          <w:highlight w:val="none"/>
          <w:lang w:val="en-US" w:eastAsia="zh-CN"/>
        </w:rPr>
        <w:t>上年无此项支出。</w:t>
      </w:r>
    </w:p>
    <w:p w14:paraId="35D67710">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（二）一般公共预算财政拨款“三公”经费支出决算情况说明</w:t>
      </w:r>
    </w:p>
    <w:p w14:paraId="12ABEDF6">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2025年度一般公共预算财政拨款“三公”经费支出年初预算为</w:t>
      </w:r>
      <w:r>
        <w:rPr>
          <w:rFonts w:hint="eastAsia" w:ascii="Times New Roman" w:hAnsi="Times New Roman" w:eastAsia="方正仿宋_GBK" w:cs="方正仿宋_GBK"/>
          <w:sz w:val="30"/>
          <w:szCs w:val="30"/>
          <w:highlight w:val="none"/>
          <w:lang w:val="zh-CN" w:eastAsia="zh-CN"/>
        </w:rPr>
        <w:t>27</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000.00</w:t>
      </w:r>
      <w:r>
        <w:rPr>
          <w:rFonts w:hint="eastAsia" w:ascii="Times New Roman" w:hAnsi="Times New Roman" w:eastAsia="方正仿宋_GBK" w:cs="方正仿宋_GBK"/>
          <w:sz w:val="30"/>
          <w:szCs w:val="30"/>
          <w:highlight w:val="none"/>
          <w:lang w:val="en-US" w:eastAsia="zh-CN"/>
        </w:rPr>
        <w:t>元，支出决算为</w:t>
      </w:r>
      <w:r>
        <w:rPr>
          <w:rFonts w:hint="eastAsia" w:ascii="Times New Roman" w:hAnsi="Times New Roman" w:eastAsia="方正仿宋_GBK" w:cs="方正仿宋_GBK"/>
          <w:sz w:val="30"/>
          <w:szCs w:val="30"/>
          <w:highlight w:val="none"/>
          <w:lang w:val="zh-CN" w:eastAsia="zh-CN"/>
        </w:rPr>
        <w:t>26</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159.50</w:t>
      </w:r>
      <w:r>
        <w:rPr>
          <w:rFonts w:hint="eastAsia" w:ascii="Times New Roman" w:hAnsi="Times New Roman" w:eastAsia="方正仿宋_GBK" w:cs="方正仿宋_GBK"/>
          <w:sz w:val="30"/>
          <w:szCs w:val="30"/>
          <w:highlight w:val="none"/>
          <w:lang w:val="en-US" w:eastAsia="zh-CN"/>
        </w:rPr>
        <w:t>元，完成年初预算的</w:t>
      </w:r>
      <w:r>
        <w:rPr>
          <w:rFonts w:hint="eastAsia" w:ascii="Times New Roman" w:hAnsi="Times New Roman" w:eastAsia="方正仿宋_GBK" w:cs="方正仿宋_GBK"/>
          <w:sz w:val="30"/>
          <w:szCs w:val="30"/>
          <w:highlight w:val="none"/>
          <w:lang w:val="zh-CN" w:eastAsia="zh-CN"/>
        </w:rPr>
        <w:t>96.89</w:t>
      </w:r>
      <w:r>
        <w:rPr>
          <w:rFonts w:hint="eastAsia" w:ascii="Times New Roman" w:hAnsi="Times New Roman" w:eastAsia="方正仿宋_GBK" w:cs="方正仿宋_GBK"/>
          <w:sz w:val="30"/>
          <w:szCs w:val="30"/>
          <w:highlight w:val="none"/>
          <w:lang w:val="en-US" w:eastAsia="zh-CN"/>
        </w:rPr>
        <w:t>%，支出决算较上年增加</w:t>
      </w:r>
      <w:r>
        <w:rPr>
          <w:rFonts w:hint="eastAsia" w:ascii="Times New Roman" w:hAnsi="Times New Roman" w:eastAsia="方正仿宋_GBK" w:cs="方正仿宋_GBK"/>
          <w:sz w:val="30"/>
          <w:szCs w:val="30"/>
          <w:highlight w:val="none"/>
          <w:lang w:val="zh-CN" w:eastAsia="zh-CN"/>
        </w:rPr>
        <w:t>11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983.00</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84.53</w:t>
      </w:r>
      <w:r>
        <w:rPr>
          <w:rFonts w:hint="eastAsia" w:ascii="Times New Roman" w:hAnsi="Times New Roman" w:eastAsia="方正仿宋_GBK" w:cs="方正仿宋_GBK"/>
          <w:sz w:val="30"/>
          <w:szCs w:val="30"/>
          <w:highlight w:val="none"/>
          <w:lang w:val="en-US" w:eastAsia="zh-CN"/>
        </w:rPr>
        <w:t>%。</w:t>
      </w:r>
    </w:p>
    <w:p w14:paraId="5109DEA8">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一般公共预算财政拨款“三公”经费支出中：因公出国（境）费用支出年初预算为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元；公务用车购置费支出年初预算为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元；公务用车运行维护费支出年初预算为</w:t>
      </w:r>
      <w:r>
        <w:rPr>
          <w:rFonts w:hint="eastAsia" w:ascii="Times New Roman" w:hAnsi="Times New Roman" w:eastAsia="方正仿宋_GBK" w:cs="方正仿宋_GBK"/>
          <w:sz w:val="30"/>
          <w:szCs w:val="30"/>
          <w:highlight w:val="none"/>
          <w:lang w:val="zh-CN" w:eastAsia="zh-CN"/>
        </w:rPr>
        <w:t>15</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000.00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11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409.50</w:t>
      </w:r>
      <w:r>
        <w:rPr>
          <w:rFonts w:hint="eastAsia" w:ascii="Times New Roman" w:hAnsi="Times New Roman" w:eastAsia="方正仿宋_GBK" w:cs="方正仿宋_GBK"/>
          <w:sz w:val="30"/>
          <w:szCs w:val="30"/>
          <w:highlight w:val="none"/>
          <w:lang w:val="en-US" w:eastAsia="zh-CN"/>
        </w:rPr>
        <w:t>元，完成年初预算的</w:t>
      </w:r>
      <w:r>
        <w:rPr>
          <w:rFonts w:hint="eastAsia" w:ascii="Times New Roman" w:hAnsi="Times New Roman" w:eastAsia="方正仿宋_GBK" w:cs="方正仿宋_GBK"/>
          <w:sz w:val="30"/>
          <w:szCs w:val="30"/>
          <w:highlight w:val="none"/>
          <w:lang w:val="zh-CN" w:eastAsia="zh-CN"/>
        </w:rPr>
        <w:t>76.06</w:t>
      </w:r>
      <w:r>
        <w:rPr>
          <w:rFonts w:hint="eastAsia" w:ascii="Times New Roman" w:hAnsi="Times New Roman" w:eastAsia="方正仿宋_GBK" w:cs="方正仿宋_GBK"/>
          <w:sz w:val="30"/>
          <w:szCs w:val="30"/>
          <w:highlight w:val="none"/>
          <w:lang w:val="en-US" w:eastAsia="zh-CN"/>
        </w:rPr>
        <w:t>%；公务接待费支出年初预算为</w:t>
      </w:r>
      <w:r>
        <w:rPr>
          <w:rFonts w:hint="eastAsia" w:ascii="Times New Roman" w:hAnsi="Times New Roman" w:eastAsia="方正仿宋_GBK" w:cs="方正仿宋_GBK"/>
          <w:sz w:val="30"/>
          <w:szCs w:val="30"/>
          <w:highlight w:val="none"/>
          <w:lang w:val="zh-CN" w:eastAsia="zh-CN"/>
        </w:rPr>
        <w:t>12</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000.00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14</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750.00</w:t>
      </w:r>
      <w:r>
        <w:rPr>
          <w:rFonts w:hint="eastAsia" w:ascii="Times New Roman" w:hAnsi="Times New Roman" w:eastAsia="方正仿宋_GBK" w:cs="方正仿宋_GBK"/>
          <w:sz w:val="30"/>
          <w:szCs w:val="30"/>
          <w:highlight w:val="none"/>
          <w:lang w:val="en-US" w:eastAsia="zh-CN"/>
        </w:rPr>
        <w:t>元，完成年初预算的</w:t>
      </w:r>
      <w:r>
        <w:rPr>
          <w:rFonts w:hint="eastAsia" w:ascii="Times New Roman" w:hAnsi="Times New Roman" w:eastAsia="方正仿宋_GBK" w:cs="方正仿宋_GBK"/>
          <w:sz w:val="30"/>
          <w:szCs w:val="30"/>
          <w:highlight w:val="none"/>
          <w:lang w:val="zh-CN" w:eastAsia="zh-CN"/>
        </w:rPr>
        <w:t>122.92</w:t>
      </w:r>
      <w:r>
        <w:rPr>
          <w:rFonts w:hint="eastAsia" w:ascii="Times New Roman" w:hAnsi="Times New Roman" w:eastAsia="方正仿宋_GBK" w:cs="方正仿宋_GBK"/>
          <w:sz w:val="30"/>
          <w:szCs w:val="30"/>
          <w:highlight w:val="none"/>
          <w:lang w:val="en-US" w:eastAsia="zh-CN"/>
        </w:rPr>
        <w:t>%。2025年度一般公共预算财政拨款“三公”经费支出决算数小于年初预算数的主要原因是严格控制“三公”经费支出。</w:t>
      </w:r>
    </w:p>
    <w:p w14:paraId="201BF7F5">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一般公共预算财政拨款“三公”经费支出中：因公出国（境）费用支出决算增加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元，上年无此项支出；公务用车购置费支出决算增加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元，上年无此项支出；公务用车运行维护费支出决算增加</w:t>
      </w:r>
      <w:r>
        <w:rPr>
          <w:rFonts w:hint="eastAsia" w:ascii="Times New Roman" w:hAnsi="Times New Roman" w:eastAsia="方正仿宋_GBK" w:cs="方正仿宋_GBK"/>
          <w:sz w:val="30"/>
          <w:szCs w:val="30"/>
          <w:highlight w:val="none"/>
          <w:lang w:val="zh-CN" w:eastAsia="zh-CN"/>
        </w:rPr>
        <w:t>3</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409.50</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42.62</w:t>
      </w:r>
      <w:r>
        <w:rPr>
          <w:rFonts w:hint="eastAsia" w:ascii="Times New Roman" w:hAnsi="Times New Roman" w:eastAsia="方正仿宋_GBK" w:cs="方正仿宋_GBK"/>
          <w:sz w:val="30"/>
          <w:szCs w:val="30"/>
          <w:highlight w:val="none"/>
          <w:lang w:val="en-US" w:eastAsia="zh-CN"/>
        </w:rPr>
        <w:t>%；公务接待费支出决算增加</w:t>
      </w:r>
      <w:r>
        <w:rPr>
          <w:rFonts w:hint="eastAsia" w:ascii="Times New Roman" w:hAnsi="Times New Roman" w:eastAsia="方正仿宋_GBK" w:cs="方正仿宋_GBK"/>
          <w:sz w:val="30"/>
          <w:szCs w:val="30"/>
          <w:highlight w:val="none"/>
          <w:lang w:val="zh-CN" w:eastAsia="zh-CN"/>
        </w:rPr>
        <w:t>8</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573.50</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138.81</w:t>
      </w:r>
      <w:r>
        <w:rPr>
          <w:rFonts w:hint="eastAsia" w:ascii="Times New Roman" w:hAnsi="Times New Roman" w:eastAsia="方正仿宋_GBK" w:cs="方正仿宋_GBK"/>
          <w:sz w:val="30"/>
          <w:szCs w:val="30"/>
          <w:highlight w:val="none"/>
          <w:lang w:val="en-US" w:eastAsia="zh-CN"/>
        </w:rPr>
        <w:t>%，具体是国内接待费支出决算</w:t>
      </w:r>
      <w:r>
        <w:rPr>
          <w:rFonts w:hint="eastAsia" w:ascii="Times New Roman" w:hAnsi="Times New Roman" w:eastAsia="方正仿宋_GBK" w:cs="方正仿宋_GBK"/>
          <w:sz w:val="30"/>
          <w:szCs w:val="30"/>
          <w:highlight w:val="none"/>
          <w:lang w:val="zh-CN" w:eastAsia="zh-CN"/>
        </w:rPr>
        <w:t>14</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750.00</w:t>
      </w:r>
      <w:r>
        <w:rPr>
          <w:rFonts w:hint="eastAsia" w:ascii="Times New Roman" w:hAnsi="Times New Roman" w:eastAsia="方正仿宋_GBK" w:cs="方正仿宋_GBK"/>
          <w:sz w:val="30"/>
          <w:szCs w:val="30"/>
          <w:highlight w:val="none"/>
          <w:lang w:val="en-US" w:eastAsia="zh-CN"/>
        </w:rPr>
        <w:t>元（其中：外事接待费支出决算</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元），较上年增加8,573.50元，增长138.81%</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国（境）外接待费支出决算</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元较上年增加0.00元，上年无此项支出。2025年度一般公共预算财政拨款“三公”经费支出决算增加主要原因是履职调研、公务接待、公务出行等公务活动任务增多，相关保障支出增加。</w:t>
      </w:r>
    </w:p>
    <w:p w14:paraId="369B81FD">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一般公共预算财政拨款“三公”经费支出实物量的具体情况：</w:t>
      </w:r>
    </w:p>
    <w:p w14:paraId="025DCF96">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sz w:val="30"/>
          <w:szCs w:val="30"/>
          <w:highlight w:val="none"/>
          <w:lang w:val="en-US" w:eastAsia="zh-CN"/>
        </w:rPr>
      </w:pPr>
      <w:r>
        <w:rPr>
          <w:rFonts w:hint="default" w:ascii="Times New Roman" w:hAnsi="Times New Roman" w:eastAsia="方正仿宋_GBK" w:cs="方正仿宋_GBK"/>
          <w:sz w:val="30"/>
          <w:szCs w:val="30"/>
          <w:highlight w:val="none"/>
          <w:lang w:val="en-US" w:eastAsia="zh-CN"/>
        </w:rPr>
        <w:t>1.安排因公出国（境）团组</w:t>
      </w:r>
      <w:r>
        <w:rPr>
          <w:rFonts w:hint="default" w:ascii="Times New Roman" w:hAnsi="Times New Roman" w:eastAsia="方正仿宋_GBK" w:cs="方正仿宋_GBK"/>
          <w:sz w:val="30"/>
          <w:szCs w:val="30"/>
          <w:highlight w:val="none"/>
          <w:lang w:val="zh-CN" w:eastAsia="zh-CN"/>
        </w:rPr>
        <w:t>0</w:t>
      </w:r>
      <w:r>
        <w:rPr>
          <w:rFonts w:hint="default" w:ascii="Times New Roman" w:hAnsi="Times New Roman" w:eastAsia="方正仿宋_GBK" w:cs="方正仿宋_GBK"/>
          <w:sz w:val="30"/>
          <w:szCs w:val="30"/>
          <w:highlight w:val="none"/>
          <w:lang w:val="en-US" w:eastAsia="zh-CN"/>
        </w:rPr>
        <w:t>个，累计</w:t>
      </w:r>
      <w:r>
        <w:rPr>
          <w:rFonts w:hint="default" w:ascii="Times New Roman" w:hAnsi="Times New Roman" w:eastAsia="方正仿宋_GBK" w:cs="方正仿宋_GBK"/>
          <w:sz w:val="30"/>
          <w:szCs w:val="30"/>
          <w:highlight w:val="none"/>
          <w:lang w:val="zh-CN" w:eastAsia="zh-CN"/>
        </w:rPr>
        <w:t>0</w:t>
      </w:r>
      <w:r>
        <w:rPr>
          <w:rFonts w:hint="default" w:ascii="Times New Roman" w:hAnsi="Times New Roman" w:eastAsia="方正仿宋_GBK" w:cs="方正仿宋_GBK"/>
          <w:sz w:val="30"/>
          <w:szCs w:val="30"/>
          <w:highlight w:val="none"/>
          <w:lang w:val="en-US" w:eastAsia="zh-CN"/>
        </w:rPr>
        <w:t>人次。本单位202</w:t>
      </w:r>
      <w:r>
        <w:rPr>
          <w:rFonts w:hint="eastAsia" w:ascii="Times New Roman" w:hAnsi="Times New Roman" w:eastAsia="方正仿宋_GBK" w:cs="方正仿宋_GBK"/>
          <w:sz w:val="30"/>
          <w:szCs w:val="30"/>
          <w:highlight w:val="none"/>
          <w:lang w:val="en-US" w:eastAsia="zh-CN"/>
        </w:rPr>
        <w:t>5</w:t>
      </w:r>
      <w:r>
        <w:rPr>
          <w:rFonts w:hint="default" w:ascii="Times New Roman" w:hAnsi="Times New Roman" w:eastAsia="方正仿宋_GBK" w:cs="方正仿宋_GBK"/>
          <w:sz w:val="30"/>
          <w:szCs w:val="30"/>
          <w:highlight w:val="none"/>
          <w:lang w:val="en-US" w:eastAsia="zh-CN"/>
        </w:rPr>
        <w:t>年无安排因公出国（境）情况。</w:t>
      </w:r>
    </w:p>
    <w:p w14:paraId="2F606209">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sz w:val="30"/>
          <w:szCs w:val="30"/>
          <w:highlight w:val="none"/>
          <w:lang w:val="en-US" w:eastAsia="zh-CN"/>
        </w:rPr>
      </w:pPr>
      <w:r>
        <w:rPr>
          <w:rFonts w:hint="default" w:ascii="Times New Roman" w:hAnsi="Times New Roman" w:eastAsia="方正仿宋_GBK" w:cs="方正仿宋_GBK"/>
          <w:sz w:val="30"/>
          <w:szCs w:val="30"/>
          <w:highlight w:val="none"/>
          <w:lang w:val="en-US" w:eastAsia="zh-CN"/>
        </w:rPr>
        <w:t>2.购置车辆</w:t>
      </w:r>
      <w:r>
        <w:rPr>
          <w:rFonts w:hint="default" w:ascii="Times New Roman" w:hAnsi="Times New Roman" w:eastAsia="方正仿宋_GBK" w:cs="方正仿宋_GBK"/>
          <w:sz w:val="30"/>
          <w:szCs w:val="30"/>
          <w:highlight w:val="none"/>
          <w:lang w:val="zh-CN" w:eastAsia="zh-CN"/>
        </w:rPr>
        <w:t>0</w:t>
      </w:r>
      <w:r>
        <w:rPr>
          <w:rFonts w:hint="default" w:ascii="Times New Roman" w:hAnsi="Times New Roman" w:eastAsia="方正仿宋_GBK" w:cs="方正仿宋_GBK"/>
          <w:sz w:val="30"/>
          <w:szCs w:val="30"/>
          <w:highlight w:val="none"/>
          <w:lang w:val="en-US" w:eastAsia="zh-CN"/>
        </w:rPr>
        <w:t>辆。本单位202</w:t>
      </w:r>
      <w:r>
        <w:rPr>
          <w:rFonts w:hint="eastAsia" w:ascii="Times New Roman" w:hAnsi="Times New Roman" w:eastAsia="方正仿宋_GBK" w:cs="方正仿宋_GBK"/>
          <w:sz w:val="30"/>
          <w:szCs w:val="30"/>
          <w:highlight w:val="none"/>
          <w:lang w:val="en-US" w:eastAsia="zh-CN"/>
        </w:rPr>
        <w:t>5</w:t>
      </w:r>
      <w:r>
        <w:rPr>
          <w:rFonts w:hint="default" w:ascii="Times New Roman" w:hAnsi="Times New Roman" w:eastAsia="方正仿宋_GBK" w:cs="方正仿宋_GBK"/>
          <w:sz w:val="30"/>
          <w:szCs w:val="30"/>
          <w:highlight w:val="none"/>
          <w:lang w:val="en-US" w:eastAsia="zh-CN"/>
        </w:rPr>
        <w:t>年无购置车辆情况。开支一般公共预算财政拨款的公务用车保有量为</w:t>
      </w:r>
      <w:r>
        <w:rPr>
          <w:rFonts w:hint="default" w:ascii="Times New Roman" w:hAnsi="Times New Roman" w:eastAsia="方正仿宋_GBK" w:cs="方正仿宋_GBK"/>
          <w:sz w:val="30"/>
          <w:szCs w:val="30"/>
          <w:highlight w:val="none"/>
          <w:lang w:val="zh-CN" w:eastAsia="zh-CN"/>
        </w:rPr>
        <w:t>1</w:t>
      </w:r>
      <w:r>
        <w:rPr>
          <w:rFonts w:hint="default" w:ascii="Times New Roman" w:hAnsi="Times New Roman" w:eastAsia="方正仿宋_GBK" w:cs="方正仿宋_GBK"/>
          <w:sz w:val="30"/>
          <w:szCs w:val="30"/>
          <w:highlight w:val="none"/>
          <w:lang w:val="en-US" w:eastAsia="zh-CN"/>
        </w:rPr>
        <w:t>辆。主要用于政协委员调研、视察所需车辆燃料费、维修费、过路过桥费、保险费等。</w:t>
      </w:r>
    </w:p>
    <w:p w14:paraId="08425923">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3.安排国内公务接待23批次（其中：外事接待</w:t>
      </w:r>
      <w:r>
        <w:rPr>
          <w:rFonts w:hint="eastAsia" w:ascii="Times New Roman" w:hAnsi="Times New Roman" w:eastAsia="方正仿宋_GBK" w:cs="方正仿宋_GBK"/>
          <w:sz w:val="30"/>
          <w:szCs w:val="30"/>
          <w:highlight w:val="none"/>
          <w:lang w:val="zh-CN" w:eastAsia="zh-CN"/>
        </w:rPr>
        <w:t>0</w:t>
      </w:r>
      <w:r>
        <w:rPr>
          <w:rFonts w:hint="eastAsia" w:ascii="Times New Roman" w:hAnsi="Times New Roman" w:eastAsia="方正仿宋_GBK" w:cs="方正仿宋_GBK"/>
          <w:sz w:val="30"/>
          <w:szCs w:val="30"/>
          <w:highlight w:val="none"/>
          <w:lang w:val="en-US" w:eastAsia="zh-CN"/>
        </w:rPr>
        <w:t>批次），接待人次185人（其中：外事接待人次</w:t>
      </w:r>
      <w:r>
        <w:rPr>
          <w:rFonts w:hint="eastAsia" w:ascii="Times New Roman" w:hAnsi="Times New Roman" w:eastAsia="方正仿宋_GBK" w:cs="方正仿宋_GBK"/>
          <w:sz w:val="30"/>
          <w:szCs w:val="30"/>
          <w:highlight w:val="none"/>
          <w:lang w:val="zh-CN" w:eastAsia="zh-CN"/>
        </w:rPr>
        <w:t>0</w:t>
      </w:r>
      <w:r>
        <w:rPr>
          <w:rFonts w:hint="eastAsia" w:ascii="Times New Roman" w:hAnsi="Times New Roman" w:eastAsia="方正仿宋_GBK" w:cs="方正仿宋_GBK"/>
          <w:sz w:val="30"/>
          <w:szCs w:val="30"/>
          <w:highlight w:val="none"/>
          <w:lang w:val="en-US" w:eastAsia="zh-CN"/>
        </w:rPr>
        <w:t>人）。主要用于</w:t>
      </w:r>
      <w:r>
        <w:rPr>
          <w:rFonts w:hint="default" w:ascii="Times New Roman" w:hAnsi="Times New Roman" w:eastAsia="方正仿宋_GBK" w:cs="方正仿宋_GBK"/>
          <w:sz w:val="30"/>
          <w:szCs w:val="30"/>
          <w:highlight w:val="none"/>
          <w:lang w:val="en-US" w:eastAsia="zh-CN"/>
        </w:rPr>
        <w:t>各界人士在政治协商、反映社情民意过程中发生的接待支出。</w:t>
      </w:r>
      <w:r>
        <w:rPr>
          <w:rFonts w:hint="eastAsia" w:ascii="Times New Roman" w:hAnsi="Times New Roman" w:eastAsia="方正仿宋_GBK" w:cs="方正仿宋_GBK"/>
          <w:sz w:val="30"/>
          <w:szCs w:val="30"/>
          <w:highlight w:val="none"/>
          <w:lang w:val="en-US" w:eastAsia="zh-CN"/>
        </w:rPr>
        <w:t>安排国（境）外公务接待</w:t>
      </w:r>
      <w:r>
        <w:rPr>
          <w:rFonts w:hint="eastAsia" w:ascii="Times New Roman" w:hAnsi="Times New Roman" w:eastAsia="方正仿宋_GBK" w:cs="方正仿宋_GBK"/>
          <w:sz w:val="30"/>
          <w:szCs w:val="30"/>
          <w:highlight w:val="none"/>
          <w:lang w:val="zh-CN" w:eastAsia="zh-CN"/>
        </w:rPr>
        <w:t>0</w:t>
      </w:r>
      <w:r>
        <w:rPr>
          <w:rFonts w:hint="eastAsia" w:ascii="Times New Roman" w:hAnsi="Times New Roman" w:eastAsia="方正仿宋_GBK" w:cs="方正仿宋_GBK"/>
          <w:sz w:val="30"/>
          <w:szCs w:val="30"/>
          <w:highlight w:val="none"/>
          <w:lang w:val="en-US" w:eastAsia="zh-CN"/>
        </w:rPr>
        <w:t>批次，接待人次</w:t>
      </w:r>
      <w:r>
        <w:rPr>
          <w:rFonts w:hint="eastAsia" w:ascii="Times New Roman" w:hAnsi="Times New Roman" w:eastAsia="方正仿宋_GBK" w:cs="方正仿宋_GBK"/>
          <w:sz w:val="30"/>
          <w:szCs w:val="30"/>
          <w:highlight w:val="none"/>
          <w:lang w:val="zh-CN" w:eastAsia="zh-CN"/>
        </w:rPr>
        <w:t>0</w:t>
      </w:r>
      <w:r>
        <w:rPr>
          <w:rFonts w:hint="eastAsia" w:ascii="Times New Roman" w:hAnsi="Times New Roman" w:eastAsia="方正仿宋_GBK" w:cs="方正仿宋_GBK"/>
          <w:sz w:val="30"/>
          <w:szCs w:val="30"/>
          <w:highlight w:val="none"/>
          <w:lang w:val="en-US" w:eastAsia="zh-CN"/>
        </w:rPr>
        <w:t>人。</w:t>
      </w:r>
    </w:p>
    <w:p w14:paraId="62EC6412">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（三）需要说明的事项</w:t>
      </w:r>
    </w:p>
    <w:p w14:paraId="679EBA26">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lang w:val="en-US" w:eastAsia="zh-CN"/>
        </w:rPr>
      </w:pPr>
      <w:r>
        <w:rPr>
          <w:rFonts w:hint="default" w:ascii="Times New Roman" w:hAnsi="Times New Roman" w:eastAsia="方正仿宋_GBK" w:cs="方正仿宋_GBK"/>
          <w:sz w:val="30"/>
          <w:szCs w:val="30"/>
          <w:highlight w:val="none"/>
          <w:lang w:val="en-US" w:eastAsia="zh-CN"/>
        </w:rPr>
        <w:t>不存在需要说明的事项。</w:t>
      </w:r>
    </w:p>
    <w:p w14:paraId="2C28E821">
      <w:pPr>
        <w:keepNext w:val="0"/>
        <w:keepLines w:val="0"/>
        <w:pageBreakBefore w:val="0"/>
        <w:widowControl/>
        <w:kinsoku/>
        <w:wordWrap/>
        <w:overflowPunct/>
        <w:topLinePunct w:val="0"/>
        <w:autoSpaceDE/>
        <w:autoSpaceDN/>
        <w:bidi w:val="0"/>
        <w:adjustRightInd/>
        <w:snapToGrid w:val="0"/>
        <w:spacing w:before="100" w:after="100" w:line="590" w:lineRule="exact"/>
        <w:ind w:firstLine="640" w:firstLineChars="200"/>
        <w:jc w:val="left"/>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第四部分  其他重要事项及相关口径情况说明</w:t>
      </w:r>
    </w:p>
    <w:p w14:paraId="4B8A25BE">
      <w:pPr>
        <w:keepNext w:val="0"/>
        <w:keepLines w:val="0"/>
        <w:pageBreakBefore w:val="0"/>
        <w:kinsoku/>
        <w:wordWrap/>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黑体" w:cs="黑体"/>
          <w:sz w:val="30"/>
          <w:szCs w:val="30"/>
          <w:highlight w:val="none"/>
        </w:rPr>
      </w:pPr>
      <w:r>
        <w:rPr>
          <w:rFonts w:hint="eastAsia" w:ascii="Times New Roman" w:hAnsi="Times New Roman" w:eastAsia="方正黑体_GBK" w:cs="方正黑体_GBK"/>
          <w:sz w:val="30"/>
          <w:szCs w:val="30"/>
          <w:highlight w:val="none"/>
          <w:lang w:eastAsia="zh-CN"/>
        </w:rPr>
        <w:t>一、机关运行经费支出情况</w:t>
      </w:r>
    </w:p>
    <w:p w14:paraId="4BF8856A">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zh-CN" w:eastAsia="zh-CN"/>
        </w:rPr>
        <w:t>中国人民政治协商会议云南省华宁县委员会办公室</w:t>
      </w:r>
      <w:r>
        <w:rPr>
          <w:rFonts w:hint="eastAsia" w:ascii="Times New Roman" w:hAnsi="Times New Roman" w:eastAsia="方正仿宋_GBK" w:cs="方正仿宋_GBK"/>
          <w:sz w:val="30"/>
          <w:szCs w:val="30"/>
          <w:highlight w:val="none"/>
          <w:lang w:val="en-US" w:eastAsia="zh-CN"/>
        </w:rPr>
        <w:t>2025年机关运行经费支出522,479.12元，比上年增加64,620.53元，增长</w:t>
      </w:r>
      <w:r>
        <w:rPr>
          <w:rFonts w:hint="eastAsia" w:ascii="Times New Roman" w:hAnsi="Times New Roman" w:eastAsia="方正仿宋_GBK" w:cs="方正仿宋_GBK"/>
          <w:sz w:val="30"/>
          <w:szCs w:val="30"/>
          <w:highlight w:val="none"/>
          <w:lang w:val="zh-CN" w:eastAsia="zh-CN"/>
        </w:rPr>
        <w:t>14.11</w:t>
      </w:r>
      <w:r>
        <w:rPr>
          <w:rFonts w:hint="eastAsia" w:ascii="Times New Roman" w:hAnsi="Times New Roman" w:eastAsia="方正仿宋_GBK" w:cs="方正仿宋_GBK"/>
          <w:sz w:val="30"/>
          <w:szCs w:val="30"/>
          <w:highlight w:val="none"/>
          <w:lang w:val="en-US" w:eastAsia="zh-CN"/>
        </w:rPr>
        <w:t>%,主要原因是公务运转保障需求提升、相关服务成本提升。部门机关运行经费主要</w:t>
      </w:r>
      <w:r>
        <w:rPr>
          <w:rFonts w:hint="default" w:ascii="Times New Roman" w:hAnsi="Times New Roman" w:eastAsia="方正仿宋_GBK" w:cs="方正仿宋_GBK"/>
          <w:sz w:val="30"/>
          <w:szCs w:val="30"/>
          <w:highlight w:val="none"/>
          <w:lang w:val="en-US" w:eastAsia="zh-CN"/>
        </w:rPr>
        <w:t>用于办公费</w:t>
      </w:r>
      <w:r>
        <w:rPr>
          <w:rFonts w:hint="eastAsia" w:ascii="Times New Roman" w:hAnsi="Times New Roman" w:eastAsia="方正仿宋_GBK" w:cs="方正仿宋_GBK"/>
          <w:sz w:val="30"/>
          <w:szCs w:val="30"/>
          <w:highlight w:val="none"/>
          <w:lang w:val="en-US" w:eastAsia="zh-CN"/>
        </w:rPr>
        <w:t>124,021.15</w:t>
      </w:r>
      <w:r>
        <w:rPr>
          <w:rFonts w:hint="default" w:ascii="Times New Roman" w:hAnsi="Times New Roman" w:eastAsia="方正仿宋_GBK" w:cs="方正仿宋_GBK"/>
          <w:sz w:val="30"/>
          <w:szCs w:val="30"/>
          <w:highlight w:val="none"/>
          <w:lang w:val="en-US" w:eastAsia="zh-CN"/>
        </w:rPr>
        <w:t>元</w:t>
      </w:r>
      <w:r>
        <w:rPr>
          <w:rFonts w:hint="eastAsia" w:ascii="Times New Roman" w:hAnsi="Times New Roman" w:eastAsia="方正仿宋_GBK" w:cs="方正仿宋_GBK"/>
          <w:sz w:val="30"/>
          <w:szCs w:val="30"/>
          <w:highlight w:val="none"/>
          <w:lang w:val="en-US" w:eastAsia="zh-CN"/>
        </w:rPr>
        <w:t>、水电费4,574.87、</w:t>
      </w:r>
      <w:r>
        <w:rPr>
          <w:rFonts w:hint="default" w:ascii="Times New Roman" w:hAnsi="Times New Roman" w:eastAsia="方正仿宋_GBK" w:cs="方正仿宋_GBK"/>
          <w:sz w:val="30"/>
          <w:szCs w:val="30"/>
          <w:highlight w:val="none"/>
          <w:lang w:val="en-US" w:eastAsia="zh-CN"/>
        </w:rPr>
        <w:t>邮电费</w:t>
      </w:r>
      <w:r>
        <w:rPr>
          <w:rFonts w:hint="eastAsia" w:ascii="Times New Roman" w:hAnsi="Times New Roman" w:eastAsia="方正仿宋_GBK" w:cs="方正仿宋_GBK"/>
          <w:sz w:val="30"/>
          <w:szCs w:val="30"/>
          <w:highlight w:val="none"/>
          <w:lang w:val="en-US" w:eastAsia="zh-CN"/>
        </w:rPr>
        <w:t>21,000.00</w:t>
      </w:r>
      <w:r>
        <w:rPr>
          <w:rFonts w:hint="default" w:ascii="Times New Roman" w:hAnsi="Times New Roman" w:eastAsia="方正仿宋_GBK" w:cs="方正仿宋_GBK"/>
          <w:sz w:val="30"/>
          <w:szCs w:val="30"/>
          <w:highlight w:val="none"/>
          <w:lang w:val="en-US" w:eastAsia="zh-CN"/>
        </w:rPr>
        <w:t>元</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en-US" w:eastAsia="zh-CN"/>
        </w:rPr>
        <w:t>会议费</w:t>
      </w:r>
      <w:r>
        <w:rPr>
          <w:rFonts w:hint="eastAsia" w:ascii="Times New Roman" w:hAnsi="Times New Roman" w:eastAsia="方正仿宋_GBK" w:cs="方正仿宋_GBK"/>
          <w:sz w:val="30"/>
          <w:szCs w:val="30"/>
          <w:highlight w:val="none"/>
          <w:lang w:val="en-US" w:eastAsia="zh-CN"/>
        </w:rPr>
        <w:t>55,700.60</w:t>
      </w:r>
      <w:r>
        <w:rPr>
          <w:rFonts w:hint="default" w:ascii="Times New Roman" w:hAnsi="Times New Roman" w:eastAsia="方正仿宋_GBK" w:cs="方正仿宋_GBK"/>
          <w:sz w:val="30"/>
          <w:szCs w:val="30"/>
          <w:highlight w:val="none"/>
          <w:lang w:val="en-US" w:eastAsia="zh-CN"/>
        </w:rPr>
        <w:t>元</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en-US" w:eastAsia="zh-CN"/>
        </w:rPr>
        <w:t>公务接待费</w:t>
      </w:r>
      <w:r>
        <w:rPr>
          <w:rFonts w:hint="eastAsia" w:ascii="Times New Roman" w:hAnsi="Times New Roman" w:eastAsia="方正仿宋_GBK" w:cs="方正仿宋_GBK"/>
          <w:sz w:val="30"/>
          <w:szCs w:val="30"/>
          <w:highlight w:val="none"/>
          <w:lang w:val="en-US" w:eastAsia="zh-CN"/>
        </w:rPr>
        <w:t>14,750.00</w:t>
      </w:r>
      <w:r>
        <w:rPr>
          <w:rFonts w:hint="default" w:ascii="Times New Roman" w:hAnsi="Times New Roman" w:eastAsia="方正仿宋_GBK" w:cs="方正仿宋_GBK"/>
          <w:sz w:val="30"/>
          <w:szCs w:val="30"/>
          <w:highlight w:val="none"/>
          <w:lang w:val="en-US" w:eastAsia="zh-CN"/>
        </w:rPr>
        <w:t>元</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en-US" w:eastAsia="zh-CN"/>
        </w:rPr>
        <w:t>工会经费</w:t>
      </w:r>
      <w:r>
        <w:rPr>
          <w:rFonts w:hint="eastAsia" w:ascii="Times New Roman" w:hAnsi="Times New Roman" w:eastAsia="方正仿宋_GBK" w:cs="方正仿宋_GBK"/>
          <w:sz w:val="30"/>
          <w:szCs w:val="30"/>
          <w:highlight w:val="none"/>
          <w:lang w:val="en-US" w:eastAsia="zh-CN"/>
        </w:rPr>
        <w:t>1,550.00</w:t>
      </w:r>
      <w:r>
        <w:rPr>
          <w:rFonts w:hint="default" w:ascii="Times New Roman" w:hAnsi="Times New Roman" w:eastAsia="方正仿宋_GBK" w:cs="方正仿宋_GBK"/>
          <w:sz w:val="30"/>
          <w:szCs w:val="30"/>
          <w:highlight w:val="none"/>
          <w:lang w:val="en-US" w:eastAsia="zh-CN"/>
        </w:rPr>
        <w:t>元</w:t>
      </w:r>
      <w:r>
        <w:rPr>
          <w:rFonts w:hint="eastAsia" w:ascii="Times New Roman" w:hAnsi="Times New Roman" w:eastAsia="方正仿宋_GBK" w:cs="方正仿宋_GBK"/>
          <w:sz w:val="30"/>
          <w:szCs w:val="30"/>
          <w:highlight w:val="none"/>
          <w:lang w:val="en-US" w:eastAsia="zh-CN"/>
        </w:rPr>
        <w:t>、福利费26,223.00、</w:t>
      </w:r>
      <w:r>
        <w:rPr>
          <w:rFonts w:hint="default" w:ascii="Times New Roman" w:hAnsi="Times New Roman" w:eastAsia="方正仿宋_GBK" w:cs="方正仿宋_GBK"/>
          <w:sz w:val="30"/>
          <w:szCs w:val="30"/>
          <w:highlight w:val="none"/>
          <w:lang w:val="en-US" w:eastAsia="zh-CN"/>
        </w:rPr>
        <w:t>公务用车运行维护费</w:t>
      </w:r>
      <w:r>
        <w:rPr>
          <w:rFonts w:hint="eastAsia" w:ascii="Times New Roman" w:hAnsi="Times New Roman" w:eastAsia="方正仿宋_GBK" w:cs="方正仿宋_GBK"/>
          <w:sz w:val="30"/>
          <w:szCs w:val="30"/>
          <w:highlight w:val="none"/>
          <w:lang w:val="en-US" w:eastAsia="zh-CN"/>
        </w:rPr>
        <w:t>11,409.50</w:t>
      </w:r>
      <w:r>
        <w:rPr>
          <w:rFonts w:hint="default" w:ascii="Times New Roman" w:hAnsi="Times New Roman" w:eastAsia="方正仿宋_GBK" w:cs="方正仿宋_GBK"/>
          <w:sz w:val="30"/>
          <w:szCs w:val="30"/>
          <w:highlight w:val="none"/>
          <w:lang w:val="en-US" w:eastAsia="zh-CN"/>
        </w:rPr>
        <w:t>元</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en-US" w:eastAsia="zh-CN"/>
        </w:rPr>
        <w:t>其他交通费用</w:t>
      </w:r>
      <w:r>
        <w:rPr>
          <w:rFonts w:hint="eastAsia" w:ascii="Times New Roman" w:hAnsi="Times New Roman" w:eastAsia="方正仿宋_GBK" w:cs="方正仿宋_GBK"/>
          <w:sz w:val="30"/>
          <w:szCs w:val="30"/>
          <w:highlight w:val="none"/>
          <w:lang w:val="en-US" w:eastAsia="zh-CN"/>
        </w:rPr>
        <w:t>263,250.00</w:t>
      </w:r>
      <w:r>
        <w:rPr>
          <w:rFonts w:hint="default" w:ascii="Times New Roman" w:hAnsi="Times New Roman" w:eastAsia="方正仿宋_GBK" w:cs="方正仿宋_GBK"/>
          <w:sz w:val="30"/>
          <w:szCs w:val="30"/>
          <w:highlight w:val="none"/>
          <w:lang w:val="en-US" w:eastAsia="zh-CN"/>
        </w:rPr>
        <w:t>元。</w:t>
      </w:r>
    </w:p>
    <w:p w14:paraId="020921AA">
      <w:pPr>
        <w:keepNext w:val="0"/>
        <w:keepLines w:val="0"/>
        <w:pageBreakBefore w:val="0"/>
        <w:widowControl/>
        <w:kinsoku/>
        <w:wordWrap/>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黑体" w:cs="黑体"/>
          <w:sz w:val="30"/>
          <w:szCs w:val="30"/>
          <w:highlight w:val="none"/>
          <w:lang w:eastAsia="zh-CN"/>
        </w:rPr>
      </w:pPr>
      <w:r>
        <w:rPr>
          <w:rFonts w:hint="eastAsia" w:ascii="Times New Roman" w:hAnsi="Times New Roman" w:eastAsia="方正黑体_GBK" w:cs="方正黑体_GBK"/>
          <w:sz w:val="32"/>
          <w:szCs w:val="32"/>
          <w:highlight w:val="none"/>
          <w:lang w:val="en-US" w:eastAsia="zh-CN"/>
        </w:rPr>
        <w:t>二、</w:t>
      </w:r>
      <w:r>
        <w:rPr>
          <w:rFonts w:hint="eastAsia" w:ascii="Times New Roman" w:hAnsi="Times New Roman" w:eastAsia="方正黑体_GBK" w:cs="方正黑体_GBK"/>
          <w:sz w:val="32"/>
          <w:szCs w:val="32"/>
          <w:highlight w:val="none"/>
          <w:lang w:eastAsia="zh-CN"/>
        </w:rPr>
        <w:t>国有资产占用情况</w:t>
      </w:r>
    </w:p>
    <w:p w14:paraId="2A5E2495">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截至2025年末，中国人民政治协商会议云南省华宁县委员会办公室资产总额</w:t>
      </w:r>
      <w:r>
        <w:rPr>
          <w:rFonts w:hint="eastAsia" w:ascii="Times New Roman" w:hAnsi="Times New Roman" w:eastAsia="方正仿宋_GBK" w:cs="方正仿宋_GBK"/>
          <w:sz w:val="30"/>
          <w:szCs w:val="30"/>
          <w:highlight w:val="none"/>
          <w:lang w:val="en-US" w:eastAsia="zh-CN"/>
        </w:rPr>
        <w:t>329,647.74</w:t>
      </w:r>
      <w:r>
        <w:rPr>
          <w:rFonts w:hint="eastAsia" w:ascii="Times New Roman" w:hAnsi="Times New Roman" w:eastAsia="方正仿宋_GBK" w:cs="方正仿宋_GBK"/>
          <w:sz w:val="30"/>
          <w:szCs w:val="30"/>
          <w:highlight w:val="none"/>
          <w:lang w:val="zh-CN" w:eastAsia="zh-CN"/>
        </w:rPr>
        <w:t>元，其中，流动资产</w:t>
      </w:r>
      <w:r>
        <w:rPr>
          <w:rFonts w:hint="eastAsia" w:ascii="Times New Roman" w:hAnsi="Times New Roman" w:eastAsia="方正仿宋_GBK" w:cs="方正仿宋_GBK"/>
          <w:sz w:val="30"/>
          <w:szCs w:val="30"/>
          <w:highlight w:val="none"/>
          <w:lang w:val="en-US" w:eastAsia="zh-CN"/>
        </w:rPr>
        <w:t>135,392.03</w:t>
      </w:r>
      <w:r>
        <w:rPr>
          <w:rFonts w:hint="eastAsia" w:ascii="Times New Roman" w:hAnsi="Times New Roman" w:eastAsia="方正仿宋_GBK" w:cs="方正仿宋_GBK"/>
          <w:sz w:val="30"/>
          <w:szCs w:val="30"/>
          <w:highlight w:val="none"/>
          <w:lang w:val="zh-CN" w:eastAsia="zh-CN"/>
        </w:rPr>
        <w:t>元，固定资产</w:t>
      </w:r>
      <w:r>
        <w:rPr>
          <w:rFonts w:hint="eastAsia" w:ascii="Times New Roman" w:hAnsi="Times New Roman" w:eastAsia="方正仿宋_GBK" w:cs="方正仿宋_GBK"/>
          <w:sz w:val="30"/>
          <w:szCs w:val="30"/>
          <w:highlight w:val="none"/>
          <w:lang w:val="en-US" w:eastAsia="zh-CN"/>
        </w:rPr>
        <w:t>194,255.71</w:t>
      </w:r>
      <w:r>
        <w:rPr>
          <w:rFonts w:hint="eastAsia" w:ascii="Times New Roman" w:hAnsi="Times New Roman" w:eastAsia="方正仿宋_GBK" w:cs="方正仿宋_GBK"/>
          <w:sz w:val="30"/>
          <w:szCs w:val="30"/>
          <w:highlight w:val="none"/>
          <w:lang w:val="zh-CN" w:eastAsia="zh-CN"/>
        </w:rPr>
        <w:t>元（净值），对外投资及有价证券</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元，在建工程</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元，无形资产</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元（净值），其他资产</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元（净值）（具体内容详见附表）。与上年相比，本年资产总额增加</w:t>
      </w:r>
      <w:r>
        <w:rPr>
          <w:rFonts w:hint="eastAsia" w:ascii="Times New Roman" w:hAnsi="Times New Roman" w:eastAsia="方正仿宋_GBK" w:cs="方正仿宋_GBK"/>
          <w:sz w:val="30"/>
          <w:szCs w:val="30"/>
          <w:highlight w:val="none"/>
          <w:lang w:val="en-US" w:eastAsia="zh-CN"/>
        </w:rPr>
        <w:t>49,384.53</w:t>
      </w:r>
      <w:r>
        <w:rPr>
          <w:rFonts w:hint="eastAsia" w:ascii="Times New Roman" w:hAnsi="Times New Roman" w:eastAsia="方正仿宋_GBK" w:cs="方正仿宋_GBK"/>
          <w:sz w:val="30"/>
          <w:szCs w:val="30"/>
          <w:highlight w:val="none"/>
          <w:lang w:val="zh-CN" w:eastAsia="zh-CN"/>
        </w:rPr>
        <w:t>元，其中固定资产减少</w:t>
      </w:r>
      <w:r>
        <w:rPr>
          <w:rFonts w:hint="eastAsia" w:ascii="Times New Roman" w:hAnsi="Times New Roman" w:eastAsia="方正仿宋_GBK" w:cs="方正仿宋_GBK"/>
          <w:sz w:val="30"/>
          <w:szCs w:val="30"/>
          <w:highlight w:val="none"/>
          <w:lang w:val="en-US" w:eastAsia="zh-CN"/>
        </w:rPr>
        <w:t>45,474.42</w:t>
      </w:r>
      <w:r>
        <w:rPr>
          <w:rFonts w:hint="eastAsia" w:ascii="Times New Roman" w:hAnsi="Times New Roman" w:eastAsia="方正仿宋_GBK" w:cs="方正仿宋_GBK"/>
          <w:sz w:val="30"/>
          <w:szCs w:val="30"/>
          <w:highlight w:val="none"/>
          <w:lang w:val="zh-CN" w:eastAsia="zh-CN"/>
        </w:rPr>
        <w:t>元。处置房屋建筑物</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平方米，账面原值</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元；处置车辆</w:t>
      </w:r>
      <w:r>
        <w:rPr>
          <w:rFonts w:hint="eastAsia" w:ascii="Times New Roman" w:hAnsi="Times New Roman" w:eastAsia="方正仿宋_GBK" w:cs="方正仿宋_GBK"/>
          <w:sz w:val="30"/>
          <w:szCs w:val="30"/>
          <w:highlight w:val="none"/>
          <w:lang w:val="en-US" w:eastAsia="zh-CN"/>
        </w:rPr>
        <w:t>0</w:t>
      </w:r>
      <w:r>
        <w:rPr>
          <w:rFonts w:hint="eastAsia" w:ascii="Times New Roman" w:hAnsi="Times New Roman" w:eastAsia="方正仿宋_GBK" w:cs="方正仿宋_GBK"/>
          <w:sz w:val="30"/>
          <w:szCs w:val="30"/>
          <w:highlight w:val="none"/>
          <w:lang w:val="zh-CN" w:eastAsia="zh-CN"/>
        </w:rPr>
        <w:t>辆，账面原值</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元；报废报损资产</w:t>
      </w:r>
      <w:r>
        <w:rPr>
          <w:rFonts w:hint="eastAsia" w:ascii="Times New Roman" w:hAnsi="Times New Roman" w:eastAsia="方正仿宋_GBK" w:cs="方正仿宋_GBK"/>
          <w:sz w:val="30"/>
          <w:szCs w:val="30"/>
          <w:highlight w:val="none"/>
          <w:lang w:val="en-US" w:eastAsia="zh-CN"/>
        </w:rPr>
        <w:t>0</w:t>
      </w:r>
      <w:r>
        <w:rPr>
          <w:rFonts w:hint="eastAsia" w:ascii="Times New Roman" w:hAnsi="Times New Roman" w:eastAsia="方正仿宋_GBK" w:cs="方正仿宋_GBK"/>
          <w:sz w:val="30"/>
          <w:szCs w:val="30"/>
          <w:highlight w:val="none"/>
          <w:lang w:val="zh-CN" w:eastAsia="zh-CN"/>
        </w:rPr>
        <w:t>项，账面原值</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元，实现资产处置收入</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元；出租房屋</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平方米，账面原值</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元，实现资产使用收入</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元。</w:t>
      </w:r>
    </w:p>
    <w:p w14:paraId="69615580">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（国有资产占有使用情况表详见附表）</w:t>
      </w:r>
    </w:p>
    <w:tbl>
      <w:tblPr>
        <w:tblStyle w:val="6"/>
        <w:tblpPr w:leftFromText="180" w:rightFromText="180" w:topFromText="100" w:bottomFromText="100" w:vertAnchor="text" w:horzAnchor="page" w:tblpX="534" w:tblpY="490"/>
        <w:tblOverlap w:val="never"/>
        <w:tblW w:w="0" w:type="auto"/>
        <w:tblInd w:w="-15" w:type="dxa"/>
        <w:tblLayout w:type="fixed"/>
        <w:tblCellMar>
          <w:top w:w="0" w:type="dxa"/>
          <w:left w:w="0" w:type="dxa"/>
          <w:bottom w:w="0" w:type="dxa"/>
          <w:right w:w="0" w:type="dxa"/>
        </w:tblCellMar>
      </w:tblPr>
      <w:tblGrid>
        <w:gridCol w:w="142"/>
      </w:tblGrid>
      <w:tr w14:paraId="614E081E">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6FD5E1D2">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14298FCF">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49755B0D">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4C795147">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4A9813D1">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04299497">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561A08F6">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7701A9CF">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711887B6">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2A1A1C3D">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2E35EEAA">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41D7995E">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6C5B7036">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3989AE42">
        <w:tblPrEx>
          <w:tblCellMar>
            <w:top w:w="0" w:type="dxa"/>
            <w:left w:w="0" w:type="dxa"/>
            <w:bottom w:w="0" w:type="dxa"/>
            <w:right w:w="0" w:type="dxa"/>
          </w:tblCellMar>
        </w:tblPrEx>
        <w:trPr>
          <w:trHeight w:val="495" w:hRule="atLeast"/>
        </w:trPr>
        <w:tc>
          <w:tcPr>
            <w:tcW w:w="142" w:type="dxa"/>
            <w:noWrap w:val="0"/>
            <w:vAlign w:val="center"/>
          </w:tcPr>
          <w:p w14:paraId="41F624FB">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eastAsia="Times New Roman"/>
                <w:kern w:val="0"/>
                <w:sz w:val="20"/>
                <w:szCs w:val="20"/>
                <w:highlight w:val="none"/>
              </w:rPr>
            </w:pPr>
          </w:p>
        </w:tc>
      </w:tr>
    </w:tbl>
    <w:p w14:paraId="2336CA82">
      <w:pPr>
        <w:keepNext w:val="0"/>
        <w:keepLines w:val="0"/>
        <w:pageBreakBefore w:val="0"/>
        <w:widowControl/>
        <w:kinsoku/>
        <w:wordWrap/>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三、政府采购支出情况</w:t>
      </w:r>
    </w:p>
    <w:p w14:paraId="3103BDC6">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2025年度，部门政府采购支出总额</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元，其中：政府采购货物支出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元；政府采购工程支出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元；政府采购服务支出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元。授予中小企业合同金额</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元，其中：授予小微企业合同金额</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元。（以上“政府采购工程支出”不包括适用《中华人民共和国招标投标法》的“政府采购工程项目”支出情况）。</w:t>
      </w:r>
    </w:p>
    <w:p w14:paraId="6883A48D">
      <w:pPr>
        <w:keepNext w:val="0"/>
        <w:keepLines w:val="0"/>
        <w:pageBreakBefore w:val="0"/>
        <w:widowControl/>
        <w:kinsoku/>
        <w:wordWrap/>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四、部门绩效自评情况</w:t>
      </w:r>
    </w:p>
    <w:p w14:paraId="02A65D0E">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部门绩效自评情况详见附表。</w:t>
      </w:r>
    </w:p>
    <w:p w14:paraId="22D9CA64">
      <w:pPr>
        <w:keepNext w:val="0"/>
        <w:keepLines w:val="0"/>
        <w:pageBreakBefore w:val="0"/>
        <w:widowControl/>
        <w:kinsoku/>
        <w:wordWrap/>
        <w:overflowPunct/>
        <w:topLinePunct w:val="0"/>
        <w:autoSpaceDE/>
        <w:autoSpaceDN/>
        <w:bidi w:val="0"/>
        <w:adjustRightInd/>
        <w:snapToGrid w:val="0"/>
        <w:spacing w:before="100" w:after="100" w:line="590" w:lineRule="exact"/>
        <w:ind w:firstLine="640" w:firstLineChars="200"/>
        <w:jc w:val="left"/>
        <w:textAlignment w:val="auto"/>
        <w:outlineLvl w:val="1"/>
        <w:rPr>
          <w:rFonts w:hint="eastAsia" w:ascii="Times New Roman" w:hAnsi="Times New Roman" w:eastAsia="黑体" w:cs="黑体"/>
          <w:sz w:val="30"/>
          <w:szCs w:val="30"/>
          <w:highlight w:val="none"/>
          <w:lang w:val="en-US" w:eastAsia="zh-CN"/>
        </w:rPr>
      </w:pPr>
      <w:r>
        <w:rPr>
          <w:rFonts w:hint="eastAsia" w:ascii="Times New Roman" w:hAnsi="Times New Roman" w:eastAsia="方正黑体_GBK" w:cs="方正黑体_GBK"/>
          <w:sz w:val="32"/>
          <w:szCs w:val="32"/>
          <w:highlight w:val="none"/>
          <w:lang w:val="en-US" w:eastAsia="zh-CN"/>
        </w:rPr>
        <w:t>五、其他重要事项情况说明</w:t>
      </w:r>
    </w:p>
    <w:p w14:paraId="5964A1DB">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default" w:ascii="Times New Roman" w:hAnsi="Times New Roman" w:eastAsia="方正仿宋_GBK" w:cs="方正仿宋_GBK"/>
          <w:sz w:val="30"/>
          <w:szCs w:val="30"/>
          <w:highlight w:val="none"/>
          <w:lang w:val="en-US" w:eastAsia="zh-CN"/>
        </w:rPr>
      </w:pPr>
      <w:r>
        <w:rPr>
          <w:rFonts w:hint="default" w:ascii="Times New Roman" w:hAnsi="Times New Roman" w:eastAsia="方正仿宋_GBK" w:cs="方正仿宋_GBK"/>
          <w:sz w:val="30"/>
          <w:szCs w:val="30"/>
          <w:highlight w:val="none"/>
          <w:lang w:val="en-US" w:eastAsia="zh-CN"/>
        </w:rPr>
        <w:t>本单位无其他重要事项情况说明。</w:t>
      </w:r>
    </w:p>
    <w:p w14:paraId="3C369355">
      <w:pPr>
        <w:keepNext w:val="0"/>
        <w:keepLines w:val="0"/>
        <w:pageBreakBefore w:val="0"/>
        <w:widowControl/>
        <w:kinsoku/>
        <w:wordWrap/>
        <w:overflowPunct/>
        <w:topLinePunct w:val="0"/>
        <w:autoSpaceDE/>
        <w:autoSpaceDN/>
        <w:bidi w:val="0"/>
        <w:adjustRightInd/>
        <w:snapToGrid w:val="0"/>
        <w:spacing w:before="100" w:after="100" w:line="590" w:lineRule="exact"/>
        <w:ind w:firstLine="640" w:firstLineChars="200"/>
        <w:jc w:val="left"/>
        <w:textAlignment w:val="auto"/>
        <w:outlineLvl w:val="1"/>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六、相关口径说明</w:t>
      </w:r>
    </w:p>
    <w:p w14:paraId="2840753C">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w:t>
      </w:r>
      <w:r>
        <w:rPr>
          <w:rFonts w:hint="eastAsia" w:ascii="Times New Roman" w:hAnsi="Times New Roman" w:eastAsia="方正仿宋_GBK" w:cs="方正仿宋_GBK"/>
          <w:sz w:val="30"/>
          <w:szCs w:val="30"/>
          <w:highlight w:val="none"/>
          <w:lang w:val="en-US" w:eastAsia="zh-CN"/>
        </w:rPr>
        <w:t>基本支出中人员经费包括工资福利支出和对个人和家庭的补助，公用经费包括商品和服务支出、资本性支出等人员经费以外的支出。</w:t>
      </w:r>
    </w:p>
    <w:p w14:paraId="4B253BF2">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w:t>
      </w:r>
      <w:r>
        <w:rPr>
          <w:rFonts w:hint="eastAsia" w:ascii="Times New Roman" w:hAnsi="Times New Roman" w:eastAsia="方正仿宋_GBK" w:cs="方正仿宋_GBK"/>
          <w:sz w:val="30"/>
          <w:szCs w:val="30"/>
          <w:highlight w:val="none"/>
          <w:lang w:val="en-US" w:eastAsia="zh-CN"/>
        </w:rPr>
        <w:t>机关运行经费指行政单位和参照公务员法管理的事业单位使用一般公共预算财政拨款安排的基本支出中的公用经费支出。</w:t>
      </w:r>
    </w:p>
    <w:p w14:paraId="0063ACB7">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（三）</w:t>
      </w:r>
      <w:r>
        <w:rPr>
          <w:rFonts w:hint="eastAsia" w:ascii="Times New Roman" w:hAnsi="Times New Roman" w:eastAsia="方正仿宋_GBK" w:cs="方正仿宋_GBK"/>
          <w:sz w:val="30"/>
          <w:szCs w:val="30"/>
          <w:highlight w:val="none"/>
          <w:lang w:val="en-US" w:eastAsia="zh-CN"/>
        </w:rPr>
        <w:t>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5FC17B87">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（四）</w:t>
      </w:r>
      <w:r>
        <w:rPr>
          <w:rFonts w:hint="eastAsia" w:ascii="Times New Roman" w:hAnsi="Times New Roman" w:eastAsia="方正仿宋_GBK" w:cs="方正仿宋_GBK"/>
          <w:sz w:val="30"/>
          <w:szCs w:val="30"/>
          <w:highlight w:val="none"/>
          <w:lang w:val="en-US" w:eastAsia="zh-CN"/>
        </w:rPr>
        <w:t>本文所称财政拨款“三公”经费决算数是指各部门（含下属单位）当年通过本级财政拨款和以前年度财政拨款结转结余资金安排的因公出国（境）费用、公务用车购置及运行维护费和公务接待费支出数（包括基本支出和项目支出）。</w:t>
      </w:r>
    </w:p>
    <w:p w14:paraId="5ECDEE10">
      <w:pPr>
        <w:keepNext w:val="0"/>
        <w:keepLines w:val="0"/>
        <w:pageBreakBefore w:val="0"/>
        <w:widowControl/>
        <w:kinsoku/>
        <w:wordWrap/>
        <w:overflowPunct/>
        <w:topLinePunct w:val="0"/>
        <w:autoSpaceDE/>
        <w:autoSpaceDN/>
        <w:bidi w:val="0"/>
        <w:adjustRightInd/>
        <w:snapToGrid w:val="0"/>
        <w:spacing w:before="100" w:after="100" w:line="590" w:lineRule="exact"/>
        <w:ind w:firstLine="640" w:firstLineChars="200"/>
        <w:jc w:val="center"/>
        <w:textAlignment w:val="auto"/>
        <w:outlineLvl w:val="1"/>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第五部分  名词解释</w:t>
      </w:r>
    </w:p>
    <w:p w14:paraId="771A3F9A">
      <w:pPr>
        <w:keepNext w:val="0"/>
        <w:keepLines w:val="0"/>
        <w:pageBreakBefore w:val="0"/>
        <w:kinsoku/>
        <w:wordWrap/>
        <w:overflowPunct/>
        <w:topLinePunct w:val="0"/>
        <w:autoSpaceDE/>
        <w:autoSpaceDN/>
        <w:bidi w:val="0"/>
        <w:adjustRightInd/>
        <w:spacing w:line="590" w:lineRule="exact"/>
        <w:ind w:firstLine="600" w:firstLineChars="200"/>
        <w:jc w:val="both"/>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5C5A898D">
      <w:pPr>
        <w:keepNext w:val="0"/>
        <w:keepLines w:val="0"/>
        <w:pageBreakBefore w:val="0"/>
        <w:kinsoku/>
        <w:wordWrap/>
        <w:overflowPunct/>
        <w:topLinePunct w:val="0"/>
        <w:autoSpaceDE/>
        <w:autoSpaceDN/>
        <w:bidi w:val="0"/>
        <w:adjustRightInd/>
        <w:spacing w:line="590" w:lineRule="exact"/>
        <w:ind w:firstLine="420" w:firstLineChars="200"/>
        <w:jc w:val="left"/>
        <w:textAlignment w:val="auto"/>
        <w:rPr>
          <w:rFonts w:ascii="Times New Roman" w:hAnsi="Times New Roman"/>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方正仿宋">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超粗黑_GBK">
    <w:panose1 w:val="02000000000000000000"/>
    <w:charset w:val="86"/>
    <w:family w:val="auto"/>
    <w:pitch w:val="default"/>
    <w:sig w:usb0="A00002BF" w:usb1="38CF7CFA" w:usb2="00082016" w:usb3="00000000" w:csb0="00040001" w:csb1="00000000"/>
  </w:font>
  <w:font w:name="方正魏碑_GBK">
    <w:panose1 w:val="02000000000000000000"/>
    <w:charset w:val="86"/>
    <w:family w:val="auto"/>
    <w:pitch w:val="default"/>
    <w:sig w:usb0="A00002BF" w:usb1="39CF7CFA" w:usb2="00082016"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细黑一_GBK">
    <w:panose1 w:val="02000000000000000000"/>
    <w:charset w:val="86"/>
    <w:family w:val="auto"/>
    <w:pitch w:val="default"/>
    <w:sig w:usb0="A00002BF" w:usb1="38CF7CFA" w:usb2="00082016" w:usb3="00000000" w:csb0="00040001" w:csb1="00000000"/>
  </w:font>
  <w:font w:name="方正粗黑宋简体">
    <w:panose1 w:val="02000000000000000000"/>
    <w:charset w:val="86"/>
    <w:family w:val="auto"/>
    <w:pitch w:val="default"/>
    <w:sig w:usb0="A00002BF" w:usb1="184F6CFA" w:usb2="00000012" w:usb3="00000000" w:csb0="00040001"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B768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0A67CE9">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00A67CE9">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8042C">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79341B8A">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735EF">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045DF2"/>
    <w:rsid w:val="14EF3F6B"/>
    <w:rsid w:val="15722EF0"/>
    <w:rsid w:val="1ECB39DD"/>
    <w:rsid w:val="25781413"/>
    <w:rsid w:val="26B3099F"/>
    <w:rsid w:val="2833487B"/>
    <w:rsid w:val="3A16550A"/>
    <w:rsid w:val="3AE1507C"/>
    <w:rsid w:val="3B762586"/>
    <w:rsid w:val="3BA26D92"/>
    <w:rsid w:val="3BD009A7"/>
    <w:rsid w:val="3E75078E"/>
    <w:rsid w:val="409C46F8"/>
    <w:rsid w:val="4B6444D1"/>
    <w:rsid w:val="56DC2290"/>
    <w:rsid w:val="5BDC0494"/>
    <w:rsid w:val="5C452E7E"/>
    <w:rsid w:val="6271733B"/>
    <w:rsid w:val="668F3111"/>
    <w:rsid w:val="66BD541F"/>
    <w:rsid w:val="68376F02"/>
    <w:rsid w:val="6FC7059A"/>
    <w:rsid w:val="6FDB6303"/>
    <w:rsid w:val="71F96A05"/>
    <w:rsid w:val="782A525A"/>
    <w:rsid w:val="7A066163"/>
    <w:rsid w:val="7BDF802F"/>
    <w:rsid w:val="7DCC2DB4"/>
    <w:rsid w:val="7FD50AB1"/>
    <w:rsid w:val="BFF9379B"/>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2052-11.8.2.12309</vt:lpwstr>
  </property>
  <property xmlns="http://schemas.openxmlformats.org/officeDocument/2006/custom-properties" fmtid="{D5CDD505-2E9C-101B-9397-08002B2CF9AE}" name="ICV" pid="3">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e7c0db-4778-4ce6-b270-deafc8ae2b67}">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6581</Words>
  <Characters>7857</Characters>
  <Lines>0</Lines>
  <Paragraphs>0</Paragraphs>
  <TotalTime>20</TotalTime>
  <ScaleCrop>false</ScaleCrop>
  <LinksUpToDate>false</LinksUpToDate>
  <CharactersWithSpaces>7884</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2025-06-26T09:23:00Z</dcterms:created>
  <dc:creator>jq</dc:creator>
  <cp:lastModifiedBy>kylin</cp:lastModifiedBy>
  <dcterms:modified xsi:type="dcterms:W3CDTF">2026-10-26T08:38:30Z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1E259E1EC27C18222B9FDE6A5E7E030F_43</vt:lpwstr>
  </property>
  <property fmtid="{D5CDD505-2E9C-101B-9397-08002B2CF9AE}" pid="4" name="KSOTemplateDocerSaveRecord">
    <vt:lpwstr>eyJoZGlkIjoiMTE3NGNjYzNiNzcxMWExNTg1YmU0MWRiYWFhNjU4ZWEiLCJ1c2VySWQiOiIzNTMwNjA3NDUifQ==</vt:lpwstr>
  </property>
</Properties>
</file>