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763EA">
      <w:pPr>
        <w:keepNext w:val="0"/>
        <w:keepLines w:val="0"/>
        <w:pageBreakBefore w:val="0"/>
        <w:kinsoku/>
        <w:wordWrap/>
        <w:overflowPunct/>
        <w:topLinePunct w:val="0"/>
        <w:autoSpaceDE/>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lang w:val="zh-CN"/>
        </w:rPr>
        <w:t>华宁县红十字会</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7D58FFE2">
      <w:pPr>
        <w:keepNext w:val="0"/>
        <w:keepLines w:val="0"/>
        <w:pageBreakBefore w:val="0"/>
        <w:kinsoku/>
        <w:wordWrap/>
        <w:overflowPunct/>
        <w:topLinePunct w:val="0"/>
        <w:autoSpaceDE/>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7351993E">
      <w:pPr>
        <w:keepNext w:val="0"/>
        <w:keepLines w:val="0"/>
        <w:pageBreakBefore w:val="0"/>
        <w:kinsoku/>
        <w:wordWrap/>
        <w:overflowPunct/>
        <w:topLinePunct w:val="0"/>
        <w:autoSpaceDE/>
        <w:bidi w:val="0"/>
        <w:adjustRightInd/>
        <w:spacing w:line="590" w:lineRule="exact"/>
        <w:jc w:val="left"/>
        <w:textAlignment w:val="auto"/>
        <w:rPr>
          <w:rFonts w:hint="eastAsia" w:ascii="Times New Roman" w:hAnsi="Times New Roman" w:eastAsia="黑体"/>
          <w:sz w:val="30"/>
          <w:szCs w:val="30"/>
          <w:highlight w:val="none"/>
        </w:rPr>
      </w:pPr>
    </w:p>
    <w:p w14:paraId="6F5759FE">
      <w:pPr>
        <w:keepNext w:val="0"/>
        <w:keepLines w:val="0"/>
        <w:pageBreakBefore w:val="0"/>
        <w:kinsoku/>
        <w:wordWrap/>
        <w:overflowPunct/>
        <w:topLinePunct w:val="0"/>
        <w:autoSpaceDE/>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0DC01378">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72B01A02">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7BD4B683">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773171AE">
      <w:pPr>
        <w:keepNext w:val="0"/>
        <w:keepLines w:val="0"/>
        <w:pageBreakBefore w:val="0"/>
        <w:kinsoku/>
        <w:wordWrap/>
        <w:overflowPunct/>
        <w:topLinePunct w:val="0"/>
        <w:autoSpaceDE/>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16B5B684">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340A23F8">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0627F5CD">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1B71272E">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384A82D2">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73A64EB6">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33ED8817">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57E1E3E4">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6E535B71">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522E8999">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4B0E2340">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4A943ADC">
      <w:pPr>
        <w:keepNext w:val="0"/>
        <w:keepLines w:val="0"/>
        <w:pageBreakBefore w:val="0"/>
        <w:kinsoku/>
        <w:wordWrap/>
        <w:overflowPunct/>
        <w:topLinePunct w:val="0"/>
        <w:autoSpaceDE/>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6EB9E56C">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11858E4A">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08853153">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59C42A74">
      <w:pPr>
        <w:keepNext w:val="0"/>
        <w:keepLines w:val="0"/>
        <w:pageBreakBefore w:val="0"/>
        <w:widowControl/>
        <w:kinsoku/>
        <w:wordWrap/>
        <w:overflowPunct/>
        <w:topLinePunct w:val="0"/>
        <w:autoSpaceDE/>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3A7784E6">
      <w:pPr>
        <w:keepNext w:val="0"/>
        <w:keepLines w:val="0"/>
        <w:pageBreakBefore w:val="0"/>
        <w:widowControl/>
        <w:kinsoku/>
        <w:wordWrap/>
        <w:overflowPunct/>
        <w:topLinePunct w:val="0"/>
        <w:autoSpaceDE/>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1069C0E1">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61A74DB8">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07EBF387">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5327C1F2">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47C001CB">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0C9F9658">
      <w:pPr>
        <w:keepNext w:val="0"/>
        <w:keepLines w:val="0"/>
        <w:pageBreakBefore w:val="0"/>
        <w:kinsoku/>
        <w:wordWrap/>
        <w:overflowPunct/>
        <w:topLinePunct w:val="0"/>
        <w:autoSpaceDE/>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0B5A0727">
      <w:pPr>
        <w:keepNext w:val="0"/>
        <w:keepLines w:val="0"/>
        <w:pageBreakBefore w:val="0"/>
        <w:widowControl/>
        <w:kinsoku/>
        <w:wordWrap/>
        <w:overflowPunct/>
        <w:topLinePunct w:val="0"/>
        <w:autoSpaceDE/>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3E71F2D9">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755A8878">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33799D06">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65958F77">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2C47C91D">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1B98E32B">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17539CEB">
      <w:pPr>
        <w:keepNext w:val="0"/>
        <w:keepLines w:val="0"/>
        <w:pageBreakBefore w:val="0"/>
        <w:kinsoku/>
        <w:wordWrap/>
        <w:overflowPunct/>
        <w:topLinePunct w:val="0"/>
        <w:autoSpaceDE/>
        <w:bidi w:val="0"/>
        <w:adjustRightInd/>
        <w:spacing w:line="590" w:lineRule="exact"/>
        <w:jc w:val="center"/>
        <w:textAlignment w:val="auto"/>
        <w:rPr>
          <w:rFonts w:hint="eastAsia" w:ascii="Times New Roman" w:hAnsi="Times New Roman" w:eastAsia="黑体"/>
          <w:sz w:val="32"/>
          <w:szCs w:val="32"/>
          <w:highlight w:val="none"/>
        </w:rPr>
      </w:pPr>
    </w:p>
    <w:p w14:paraId="0109D948">
      <w:pPr>
        <w:pStyle w:val="2"/>
        <w:keepNext w:val="0"/>
        <w:keepLines w:val="0"/>
        <w:pageBreakBefore w:val="0"/>
        <w:kinsoku/>
        <w:wordWrap/>
        <w:overflowPunct/>
        <w:topLinePunct w:val="0"/>
        <w:autoSpaceDE/>
        <w:bidi w:val="0"/>
        <w:adjustRightInd/>
        <w:spacing w:line="590" w:lineRule="exact"/>
        <w:textAlignment w:val="auto"/>
        <w:rPr>
          <w:rFonts w:hint="eastAsia" w:ascii="Times New Roman" w:hAnsi="Times New Roman" w:eastAsia="黑体"/>
          <w:sz w:val="32"/>
          <w:szCs w:val="32"/>
          <w:highlight w:val="none"/>
        </w:rPr>
      </w:pPr>
    </w:p>
    <w:p w14:paraId="597BE8CB">
      <w:pPr>
        <w:keepNext w:val="0"/>
        <w:keepLines w:val="0"/>
        <w:pageBreakBefore w:val="0"/>
        <w:kinsoku/>
        <w:wordWrap/>
        <w:overflowPunct/>
        <w:topLinePunct w:val="0"/>
        <w:autoSpaceDE/>
        <w:bidi w:val="0"/>
        <w:adjustRightInd/>
        <w:spacing w:line="590" w:lineRule="exact"/>
        <w:textAlignment w:val="auto"/>
        <w:rPr>
          <w:rFonts w:hint="eastAsia" w:ascii="Times New Roman" w:hAnsi="Times New Roman" w:eastAsia="黑体"/>
          <w:sz w:val="32"/>
          <w:szCs w:val="32"/>
          <w:highlight w:val="none"/>
        </w:rPr>
      </w:pPr>
    </w:p>
    <w:p w14:paraId="647DDB8F">
      <w:pPr>
        <w:pStyle w:val="2"/>
        <w:keepNext w:val="0"/>
        <w:keepLines w:val="0"/>
        <w:pageBreakBefore w:val="0"/>
        <w:kinsoku/>
        <w:wordWrap/>
        <w:overflowPunct/>
        <w:topLinePunct w:val="0"/>
        <w:autoSpaceDE/>
        <w:bidi w:val="0"/>
        <w:adjustRightInd/>
        <w:spacing w:line="590" w:lineRule="exact"/>
        <w:textAlignment w:val="auto"/>
        <w:rPr>
          <w:rFonts w:hint="eastAsia" w:ascii="Times New Roman" w:hAnsi="Times New Roman"/>
        </w:rPr>
      </w:pPr>
    </w:p>
    <w:p w14:paraId="1C697850">
      <w:pPr>
        <w:keepNext w:val="0"/>
        <w:keepLines w:val="0"/>
        <w:pageBreakBefore w:val="0"/>
        <w:kinsoku/>
        <w:wordWrap/>
        <w:overflowPunct/>
        <w:topLinePunct w:val="0"/>
        <w:autoSpaceDE/>
        <w:bidi w:val="0"/>
        <w:adjustRightInd/>
        <w:spacing w:line="590" w:lineRule="exact"/>
        <w:jc w:val="both"/>
        <w:textAlignment w:val="auto"/>
        <w:rPr>
          <w:rFonts w:hint="eastAsia" w:ascii="Times New Roman" w:hAnsi="Times New Roman" w:eastAsia="黑体"/>
          <w:sz w:val="32"/>
          <w:szCs w:val="32"/>
          <w:highlight w:val="none"/>
        </w:rPr>
      </w:pPr>
    </w:p>
    <w:p w14:paraId="14B76267">
      <w:pPr>
        <w:keepNext w:val="0"/>
        <w:keepLines w:val="0"/>
        <w:pageBreakBefore w:val="0"/>
        <w:kinsoku/>
        <w:wordWrap/>
        <w:overflowPunct/>
        <w:topLinePunct w:val="0"/>
        <w:autoSpaceDE/>
        <w:bidi w:val="0"/>
        <w:adjustRightInd/>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方正黑体_GBK" w:cs="方正黑体_GBK"/>
          <w:sz w:val="32"/>
          <w:szCs w:val="32"/>
          <w:highlight w:val="none"/>
        </w:rPr>
        <w:t xml:space="preserve">第一部分  </w:t>
      </w:r>
      <w:r>
        <w:rPr>
          <w:rFonts w:hint="eastAsia" w:ascii="Times New Roman" w:hAnsi="Times New Roman" w:eastAsia="方正黑体_GBK" w:cs="方正黑体_GBK"/>
          <w:sz w:val="32"/>
          <w:szCs w:val="32"/>
          <w:highlight w:val="none"/>
          <w:lang w:eastAsia="zh-CN"/>
        </w:rPr>
        <w:t>部门概况</w:t>
      </w:r>
    </w:p>
    <w:p w14:paraId="7F27DBE7">
      <w:pPr>
        <w:keepNext w:val="0"/>
        <w:keepLines w:val="0"/>
        <w:pageBreakBefore w:val="0"/>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方正黑体_GBK" w:cs="方正黑体_GBK"/>
          <w:sz w:val="30"/>
          <w:szCs w:val="30"/>
          <w:highlight w:val="none"/>
        </w:rPr>
        <w:t>一、主要</w:t>
      </w:r>
      <w:r>
        <w:rPr>
          <w:rFonts w:hint="eastAsia" w:ascii="Times New Roman" w:hAnsi="Times New Roman" w:eastAsia="方正黑体_GBK" w:cs="方正黑体_GBK"/>
          <w:sz w:val="30"/>
          <w:szCs w:val="30"/>
          <w:highlight w:val="none"/>
          <w:lang w:eastAsia="zh-CN"/>
        </w:rPr>
        <w:t>职责</w:t>
      </w:r>
    </w:p>
    <w:p w14:paraId="139CE8C9">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仿宋_GBK"/>
          <w:sz w:val="30"/>
          <w:szCs w:val="30"/>
          <w:highlight w:val="none"/>
          <w:lang w:val="en-US" w:eastAsia="zh-CN"/>
        </w:rPr>
        <w:t>传播国际红十字运动知识，宣传、执行《中华人民共和国红十字会法》等法律、法规，遵循《中国红十字会章程》,依法建会、治会、兴会。</w:t>
      </w:r>
    </w:p>
    <w:p w14:paraId="53676705">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仿宋_GBK"/>
          <w:sz w:val="30"/>
          <w:szCs w:val="30"/>
          <w:highlight w:val="none"/>
          <w:lang w:val="en-US" w:eastAsia="zh-CN"/>
        </w:rPr>
        <w:t>开展人道领域的社会公益活动，传播红十字运动基本知识，弘扬红十字精神。</w:t>
      </w:r>
    </w:p>
    <w:p w14:paraId="5F92F207">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仿宋_GBK"/>
          <w:sz w:val="30"/>
          <w:szCs w:val="30"/>
          <w:highlight w:val="none"/>
          <w:lang w:val="en-US" w:eastAsia="zh-CN"/>
        </w:rPr>
        <w:t>开展备灾救灾工作，在自然灾害和突发事件中，对伤病人员和其他受害者提供紧急救援和人道救助;建立红十字应急救援体系;依法组织开展募捐活动。</w:t>
      </w:r>
    </w:p>
    <w:p w14:paraId="181BC1B8">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仿宋_GBK"/>
          <w:sz w:val="30"/>
          <w:szCs w:val="30"/>
          <w:highlight w:val="none"/>
          <w:lang w:val="en-US" w:eastAsia="zh-CN"/>
        </w:rPr>
        <w:t>组织开展应急救护培训，普及应急救护、防灾避险和卫生健康知识，组织志愿者参与现场救护。</w:t>
      </w:r>
    </w:p>
    <w:p w14:paraId="6AC88DD7">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（五）</w:t>
      </w:r>
      <w:r>
        <w:rPr>
          <w:rFonts w:hint="eastAsia" w:ascii="Times New Roman" w:hAnsi="Times New Roman" w:eastAsia="方正仿宋_GBK" w:cs="方正仿宋_GBK"/>
          <w:sz w:val="30"/>
          <w:szCs w:val="30"/>
          <w:highlight w:val="none"/>
          <w:lang w:val="en-US" w:eastAsia="zh-CN"/>
        </w:rPr>
        <w:t>组织开展红十字志愿服务、红十字青少年工作。</w:t>
      </w:r>
    </w:p>
    <w:p w14:paraId="05B36332">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（六）</w:t>
      </w:r>
      <w:r>
        <w:rPr>
          <w:rFonts w:hint="eastAsia" w:ascii="Times New Roman" w:hAnsi="Times New Roman" w:eastAsia="方正仿宋_GBK" w:cs="方正仿宋_GBK"/>
          <w:sz w:val="30"/>
          <w:szCs w:val="30"/>
          <w:highlight w:val="none"/>
          <w:lang w:val="en-US" w:eastAsia="zh-CN"/>
        </w:rPr>
        <w:t>宣传、推动无偿献血、造血干细胞捐献、遗体与器官捐献工作，开展其他人道主义服务活动。</w:t>
      </w:r>
    </w:p>
    <w:p w14:paraId="0863916D">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（七）</w:t>
      </w:r>
      <w:r>
        <w:rPr>
          <w:rFonts w:hint="eastAsia" w:ascii="Times New Roman" w:hAnsi="Times New Roman" w:eastAsia="方正仿宋_GBK" w:cs="方正仿宋_GBK"/>
          <w:sz w:val="30"/>
          <w:szCs w:val="30"/>
          <w:highlight w:val="none"/>
          <w:lang w:val="en-US" w:eastAsia="zh-CN"/>
        </w:rPr>
        <w:t>承担县委、县政府和市红十字会交办的其他任务。</w:t>
      </w:r>
    </w:p>
    <w:p w14:paraId="4929048D">
      <w:pPr>
        <w:keepNext w:val="0"/>
        <w:keepLines w:val="0"/>
        <w:pageBreakBefore w:val="0"/>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基本情况</w:t>
      </w:r>
    </w:p>
    <w:p w14:paraId="29E1BFB5">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（一）机构设置情况</w:t>
      </w:r>
    </w:p>
    <w:p w14:paraId="4A6AF677">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我部门共设置1个内设机构，包括：办公室。</w:t>
      </w:r>
    </w:p>
    <w:p w14:paraId="142C1FDC">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所属单位0个。</w:t>
      </w:r>
    </w:p>
    <w:p w14:paraId="2C66C08A">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（二）决算单位构成情况</w:t>
      </w:r>
    </w:p>
    <w:p w14:paraId="601565C3">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纳入我部门2025年度部门决算编报的单位共1个。分别是：</w:t>
      </w:r>
    </w:p>
    <w:p w14:paraId="68803A21">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2" w:firstLineChars="200"/>
        <w:jc w:val="both"/>
        <w:textAlignment w:val="auto"/>
        <w:rPr>
          <w:rFonts w:hint="default" w:ascii="Times New Roman" w:hAnsi="Times New Roman" w:eastAsia="方正仿宋_GBK" w:cs="方正仿宋_GBK"/>
          <w:b/>
          <w:bCs/>
          <w:sz w:val="30"/>
          <w:szCs w:val="30"/>
          <w:highlight w:val="none"/>
          <w:lang w:val="en-US" w:eastAsia="zh-CN"/>
        </w:rPr>
      </w:pPr>
      <w:r>
        <w:rPr>
          <w:rFonts w:hint="eastAsia" w:ascii="Times New Roman" w:hAnsi="Times New Roman" w:eastAsia="方正仿宋_GBK" w:cs="方正仿宋_GBK"/>
          <w:b/>
          <w:bCs/>
          <w:sz w:val="30"/>
          <w:szCs w:val="30"/>
          <w:highlight w:val="none"/>
          <w:lang w:val="en-US" w:eastAsia="zh-CN"/>
        </w:rPr>
        <w:t>1.华宁县红十字会</w:t>
      </w:r>
    </w:p>
    <w:p w14:paraId="4106679F">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纳入我部门2025年度部门决算编报的单位与我部门所属单位范围保持一致。</w:t>
      </w:r>
    </w:p>
    <w:p w14:paraId="24811A3C">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（三）部门人员和车辆的编制及实有情况</w:t>
      </w:r>
    </w:p>
    <w:p w14:paraId="7FFE7DD1">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我部门2025年末编制内实有人员5人。包括财政拨款开支经费的：公务员0人，参照公务员法管理人员5人，事业管理人员和专业技术人员0人，机关和事业工人0人；经费自理人员0人。</w:t>
      </w:r>
    </w:p>
    <w:p w14:paraId="0177777A">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我部门2025年末其他人员0人。包括财政拨款开支经费的人员0人；经费自理人员0人。</w:t>
      </w:r>
    </w:p>
    <w:p w14:paraId="60277EAC">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年末单位发放离退休费的离退休人员共计0人（离休0人，退休0人）。年末由养老保险基金发放养老金的离退休人员2人（离休0人，退休2人）。年末遗属0人。</w:t>
      </w:r>
    </w:p>
    <w:p w14:paraId="2F31AAA2">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车辆编制0辆，在编实有车辆0辆，超编0辆。</w:t>
      </w:r>
    </w:p>
    <w:p w14:paraId="77127566">
      <w:pPr>
        <w:keepNext w:val="0"/>
        <w:keepLines w:val="0"/>
        <w:pageBreakBefore w:val="0"/>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三、重点工作概述</w:t>
      </w:r>
    </w:p>
    <w:p w14:paraId="3FA36F9F">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2025年，华宁县红十字会以习近平新时代中国特色社会主义思想为指导，深入学习贯彻党的二十大</w:t>
      </w:r>
      <w:r>
        <w:rPr>
          <w:rFonts w:hint="eastAsia" w:eastAsia="方正仿宋_GBK" w:cs="方正仿宋_GBK"/>
          <w:sz w:val="30"/>
          <w:szCs w:val="30"/>
          <w:highlight w:val="none"/>
          <w:lang w:val="en-US" w:eastAsia="zh-CN"/>
        </w:rPr>
        <w:t>和</w:t>
      </w:r>
      <w:bookmarkStart w:id="1" w:name="_GoBack"/>
      <w:bookmarkEnd w:id="1"/>
      <w:r>
        <w:rPr>
          <w:rFonts w:hint="default" w:ascii="Times New Roman" w:hAnsi="Times New Roman" w:eastAsia="方正仿宋_GBK" w:cs="方正仿宋_GBK"/>
          <w:sz w:val="30"/>
          <w:szCs w:val="30"/>
          <w:highlight w:val="none"/>
          <w:lang w:val="en-US" w:eastAsia="zh-CN"/>
        </w:rPr>
        <w:t>二十届历次全会精神，全面贯彻习近平总书记考察云南重要讲话和重要指示批示精神，聚焦“三救三献”核心业务和自身能力建设，</w:t>
      </w:r>
      <w:r>
        <w:rPr>
          <w:rFonts w:hint="eastAsia" w:ascii="Times New Roman" w:hAnsi="Times New Roman" w:eastAsia="方正仿宋_GBK" w:cs="方正仿宋_GBK"/>
          <w:sz w:val="30"/>
          <w:szCs w:val="30"/>
          <w:highlight w:val="none"/>
          <w:lang w:val="en-US" w:eastAsia="zh-CN"/>
        </w:rPr>
        <w:t>紧扣</w:t>
      </w:r>
      <w:r>
        <w:rPr>
          <w:rFonts w:hint="default" w:ascii="Times New Roman" w:hAnsi="Times New Roman" w:eastAsia="方正仿宋_GBK" w:cs="方正仿宋_GBK"/>
          <w:sz w:val="30"/>
          <w:szCs w:val="30"/>
          <w:highlight w:val="none"/>
          <w:lang w:val="en-US" w:eastAsia="zh-CN"/>
        </w:rPr>
        <w:t>“疏民忧解民困”服务民生重点，实干担当、奋楫争先，主动融入县委、县政府工作大局，积极推进红十字各项工作践行见效，率先在全市超额完成省、市下达的12项重点任务指标。其中</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“一老一小”医疗救助、助学帮扶、人体器官捐献登记3项</w:t>
      </w:r>
      <w:r>
        <w:rPr>
          <w:rFonts w:hint="eastAsia" w:ascii="Times New Roman" w:hAnsi="Times New Roman" w:eastAsia="方正仿宋_GBK" w:cs="方正仿宋_GBK"/>
          <w:sz w:val="30"/>
          <w:szCs w:val="30"/>
          <w:highlight w:val="none"/>
          <w:lang w:val="en-US" w:eastAsia="zh-CN"/>
        </w:rPr>
        <w:t>工作居</w:t>
      </w:r>
      <w:r>
        <w:rPr>
          <w:rFonts w:hint="default" w:ascii="Times New Roman" w:hAnsi="Times New Roman" w:eastAsia="方正仿宋_GBK" w:cs="方正仿宋_GBK"/>
          <w:sz w:val="30"/>
          <w:szCs w:val="30"/>
          <w:highlight w:val="none"/>
          <w:lang w:val="en-US" w:eastAsia="zh-CN"/>
        </w:rPr>
        <w:t>全市</w:t>
      </w:r>
      <w:r>
        <w:rPr>
          <w:rFonts w:hint="eastAsia" w:ascii="Times New Roman" w:hAnsi="Times New Roman" w:eastAsia="方正仿宋_GBK" w:cs="方正仿宋_GBK"/>
          <w:sz w:val="30"/>
          <w:szCs w:val="30"/>
          <w:highlight w:val="none"/>
          <w:lang w:val="en-US" w:eastAsia="zh-CN"/>
        </w:rPr>
        <w:t>首位</w:t>
      </w:r>
      <w:r>
        <w:rPr>
          <w:rFonts w:hint="default" w:ascii="Times New Roman" w:hAnsi="Times New Roman" w:eastAsia="方正仿宋_GBK" w:cs="方正仿宋_GBK"/>
          <w:sz w:val="30"/>
          <w:szCs w:val="30"/>
          <w:highlight w:val="none"/>
          <w:lang w:val="en-US" w:eastAsia="zh-CN"/>
        </w:rPr>
        <w:t>；募捐</w:t>
      </w:r>
      <w:r>
        <w:rPr>
          <w:rFonts w:hint="eastAsia" w:ascii="Times New Roman" w:hAnsi="Times New Roman" w:eastAsia="方正仿宋_GBK" w:cs="方正仿宋_GBK"/>
          <w:sz w:val="30"/>
          <w:szCs w:val="30"/>
          <w:highlight w:val="none"/>
          <w:lang w:val="en-US" w:eastAsia="zh-CN"/>
        </w:rPr>
        <w:t>工作居</w:t>
      </w:r>
      <w:r>
        <w:rPr>
          <w:rFonts w:hint="default" w:ascii="Times New Roman" w:hAnsi="Times New Roman" w:eastAsia="方正仿宋_GBK" w:cs="方正仿宋_GBK"/>
          <w:sz w:val="30"/>
          <w:szCs w:val="30"/>
          <w:highlight w:val="none"/>
          <w:lang w:val="en-US" w:eastAsia="zh-CN"/>
        </w:rPr>
        <w:t>全市第二</w:t>
      </w:r>
      <w:r>
        <w:rPr>
          <w:rFonts w:hint="eastAsia" w:ascii="Times New Roman" w:hAnsi="Times New Roman" w:eastAsia="方正仿宋_GBK" w:cs="方正仿宋_GBK"/>
          <w:sz w:val="30"/>
          <w:szCs w:val="30"/>
          <w:highlight w:val="none"/>
          <w:lang w:val="en-US" w:eastAsia="zh-CN"/>
        </w:rPr>
        <w:t>位</w:t>
      </w:r>
      <w:r>
        <w:rPr>
          <w:rFonts w:hint="default" w:ascii="Times New Roman" w:hAnsi="Times New Roman" w:eastAsia="方正仿宋_GBK" w:cs="方正仿宋_GBK"/>
          <w:sz w:val="30"/>
          <w:szCs w:val="30"/>
          <w:highlight w:val="none"/>
          <w:lang w:val="en-US" w:eastAsia="zh-CN"/>
        </w:rPr>
        <w:t>，“久久公益节”互联网筹款人次及金额获省红十字会通报表扬</w:t>
      </w:r>
      <w:r>
        <w:rPr>
          <w:rFonts w:hint="eastAsia" w:ascii="Times New Roman" w:hAnsi="Times New Roman" w:eastAsia="方正仿宋_GBK" w:cs="方正仿宋_GBK"/>
          <w:sz w:val="30"/>
          <w:szCs w:val="30"/>
          <w:highlight w:val="none"/>
          <w:lang w:val="en-US" w:eastAsia="zh-CN"/>
        </w:rPr>
        <w:t xml:space="preserve">。         </w:t>
      </w:r>
    </w:p>
    <w:p w14:paraId="2D64342A">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（一）筹资募捐工作名列前茅，人道资源动员能力显著增强</w:t>
      </w:r>
    </w:p>
    <w:p w14:paraId="5DF19E7C">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县红十字会积极动员社会力量开展筹资募捐</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着力解决一批基层所盼、民心所向的问题，积极践行了红十字会为党政分忧、为群众解难的服务宗旨。</w:t>
      </w:r>
      <w:r>
        <w:rPr>
          <w:rFonts w:hint="eastAsia" w:ascii="Times New Roman" w:hAnsi="Times New Roman" w:eastAsia="方正仿宋_GBK" w:cs="方正仿宋_GBK"/>
          <w:sz w:val="30"/>
          <w:szCs w:val="30"/>
          <w:highlight w:val="none"/>
          <w:lang w:val="en-US" w:eastAsia="zh-CN"/>
        </w:rPr>
        <w:t>全年接受捐赠收入6</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135</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069.39元，占总收入的84.14%。其中:捐赠资金收入5</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752</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031.05元，捐赠物资价值收入383</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038.34元。</w:t>
      </w:r>
      <w:r>
        <w:rPr>
          <w:rFonts w:hint="default" w:ascii="Times New Roman" w:hAnsi="Times New Roman" w:eastAsia="方正仿宋_GBK" w:cs="方正仿宋_GBK"/>
          <w:sz w:val="30"/>
          <w:szCs w:val="30"/>
          <w:highlight w:val="none"/>
          <w:lang w:val="en-US" w:eastAsia="zh-CN"/>
        </w:rPr>
        <w:t>爱心企业云南活发磷化有限公司荣获2025年中国红十字奉献奖章。</w:t>
      </w:r>
      <w:r>
        <w:rPr>
          <w:rFonts w:hint="eastAsia" w:ascii="Times New Roman" w:hAnsi="Times New Roman" w:eastAsia="方正仿宋_GBK" w:cs="方正仿宋_GBK"/>
          <w:sz w:val="30"/>
          <w:szCs w:val="30"/>
          <w:highlight w:val="none"/>
          <w:lang w:val="en-US" w:eastAsia="zh-CN"/>
        </w:rPr>
        <w:t>2025年捐赠支出2</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816</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916.30元，占总支出的70.86%。其中:支出捐赠资金2</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385</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700.00元，支出捐赠物资431</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216.30元。（因12月29日接收定向捐款2</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700</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000元受赠方2026年1月才提交拨付资料拨付造成2025年支出比例偏低）</w:t>
      </w:r>
      <w:r>
        <w:rPr>
          <w:rFonts w:hint="default" w:ascii="Times New Roman" w:hAnsi="Times New Roman" w:eastAsia="方正仿宋_GBK" w:cs="方正仿宋_GBK"/>
          <w:sz w:val="30"/>
          <w:szCs w:val="30"/>
          <w:highlight w:val="none"/>
          <w:lang w:val="en-US" w:eastAsia="zh-CN"/>
        </w:rPr>
        <w:t>这些捐款在全县乡村振兴、基础设施建设、科技创新、卫生健康</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生态保护、爱心圆梦助学、实施改善中小学生用餐环境、留守儿童、困境儿童帮扶</w:t>
      </w:r>
      <w:r>
        <w:rPr>
          <w:rFonts w:hint="eastAsia" w:ascii="Times New Roman" w:hAnsi="Times New Roman" w:eastAsia="方正仿宋_GBK" w:cs="方正仿宋_GBK"/>
          <w:sz w:val="30"/>
          <w:szCs w:val="30"/>
          <w:highlight w:val="none"/>
          <w:lang w:val="en-US" w:eastAsia="zh-CN"/>
        </w:rPr>
        <w:t>、全民阅读</w:t>
      </w:r>
      <w:r>
        <w:rPr>
          <w:rFonts w:hint="default" w:ascii="Times New Roman" w:hAnsi="Times New Roman" w:eastAsia="方正仿宋_GBK" w:cs="方正仿宋_GBK"/>
          <w:sz w:val="30"/>
          <w:szCs w:val="30"/>
          <w:highlight w:val="none"/>
          <w:lang w:val="en-US" w:eastAsia="zh-CN"/>
        </w:rPr>
        <w:t>图书</w:t>
      </w:r>
      <w:r>
        <w:rPr>
          <w:rFonts w:hint="eastAsia" w:ascii="Times New Roman" w:hAnsi="Times New Roman" w:eastAsia="方正仿宋_GBK" w:cs="方正仿宋_GBK"/>
          <w:sz w:val="30"/>
          <w:szCs w:val="30"/>
          <w:highlight w:val="none"/>
          <w:lang w:val="en-US" w:eastAsia="zh-CN"/>
        </w:rPr>
        <w:t>建设</w:t>
      </w:r>
      <w:r>
        <w:rPr>
          <w:rFonts w:hint="default" w:ascii="Times New Roman" w:hAnsi="Times New Roman" w:eastAsia="方正仿宋_GBK" w:cs="方正仿宋_GBK"/>
          <w:sz w:val="30"/>
          <w:szCs w:val="30"/>
          <w:highlight w:val="none"/>
          <w:lang w:val="en-US" w:eastAsia="zh-CN"/>
        </w:rPr>
        <w:t>等</w:t>
      </w:r>
      <w:r>
        <w:rPr>
          <w:rFonts w:hint="eastAsia" w:ascii="Times New Roman" w:hAnsi="Times New Roman" w:eastAsia="方正仿宋_GBK" w:cs="方正仿宋_GBK"/>
          <w:sz w:val="30"/>
          <w:szCs w:val="30"/>
          <w:highlight w:val="none"/>
          <w:lang w:val="en-US" w:eastAsia="zh-CN"/>
        </w:rPr>
        <w:t>公益活动</w:t>
      </w:r>
      <w:r>
        <w:rPr>
          <w:rFonts w:hint="default" w:ascii="Times New Roman" w:hAnsi="Times New Roman" w:eastAsia="方正仿宋_GBK" w:cs="方正仿宋_GBK"/>
          <w:sz w:val="30"/>
          <w:szCs w:val="30"/>
          <w:highlight w:val="none"/>
          <w:lang w:val="en-US" w:eastAsia="zh-CN"/>
        </w:rPr>
        <w:t>中发挥了重要作用</w:t>
      </w:r>
      <w:r>
        <w:rPr>
          <w:rFonts w:hint="eastAsia" w:ascii="Times New Roman" w:hAnsi="Times New Roman" w:eastAsia="方正仿宋_GBK" w:cs="方正仿宋_GBK"/>
          <w:sz w:val="30"/>
          <w:szCs w:val="30"/>
          <w:highlight w:val="none"/>
          <w:lang w:val="en-US" w:eastAsia="zh-CN"/>
        </w:rPr>
        <w:t>。</w:t>
      </w:r>
    </w:p>
    <w:p w14:paraId="2D721EB2">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（二）应急救护培训宣传广泛，基层治理帮扶服务成效显著</w:t>
      </w:r>
    </w:p>
    <w:p w14:paraId="3FAEBB20">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突出红十字会职能优势，将应急救护培训和博爱救助与基层治理有效衔接。一是为助力健康华宁建设，多措并举普及宣传救护知识和技能，切实打造“红十字救在身边”品牌。全年开展应急救护培训“六进”活动</w:t>
      </w:r>
      <w:bookmarkStart w:id="0" w:name="OLE_LINK3"/>
      <w:r>
        <w:rPr>
          <w:rFonts w:hint="eastAsia" w:ascii="Times New Roman" w:hAnsi="Times New Roman" w:eastAsia="方正仿宋_GBK" w:cs="方正仿宋_GBK"/>
          <w:sz w:val="30"/>
          <w:szCs w:val="30"/>
          <w:highlight w:val="none"/>
          <w:lang w:val="en-US" w:eastAsia="zh-CN"/>
        </w:rPr>
        <w:t>26场</w:t>
      </w:r>
      <w:r>
        <w:rPr>
          <w:rFonts w:hint="default" w:ascii="Times New Roman" w:hAnsi="Times New Roman" w:eastAsia="方正仿宋_GBK" w:cs="方正仿宋_GBK"/>
          <w:sz w:val="30"/>
          <w:szCs w:val="30"/>
          <w:highlight w:val="none"/>
          <w:lang w:val="en-US" w:eastAsia="zh-CN"/>
        </w:rPr>
        <w:t>4842人，其中，取证培训359人，“三献”知识宣传覆盖</w:t>
      </w:r>
      <w:bookmarkEnd w:id="0"/>
      <w:r>
        <w:rPr>
          <w:rFonts w:hint="default" w:ascii="Times New Roman" w:hAnsi="Times New Roman" w:eastAsia="方正仿宋_GBK" w:cs="方正仿宋_GBK"/>
          <w:sz w:val="30"/>
          <w:szCs w:val="30"/>
          <w:highlight w:val="none"/>
          <w:lang w:val="en-US" w:eastAsia="zh-CN"/>
        </w:rPr>
        <w:t>4000</w:t>
      </w:r>
      <w:r>
        <w:rPr>
          <w:rFonts w:hint="eastAsia" w:ascii="Times New Roman" w:hAnsi="Times New Roman" w:eastAsia="方正仿宋_GBK" w:cs="方正仿宋_GBK"/>
          <w:sz w:val="30"/>
          <w:szCs w:val="30"/>
          <w:highlight w:val="none"/>
          <w:lang w:val="en-US" w:eastAsia="zh-CN"/>
        </w:rPr>
        <w:t>余</w:t>
      </w:r>
      <w:r>
        <w:rPr>
          <w:rFonts w:hint="default" w:ascii="Times New Roman" w:hAnsi="Times New Roman" w:eastAsia="方正仿宋_GBK" w:cs="方正仿宋_GBK"/>
          <w:sz w:val="30"/>
          <w:szCs w:val="30"/>
          <w:highlight w:val="none"/>
          <w:lang w:val="en-US" w:eastAsia="zh-CN"/>
        </w:rPr>
        <w:t>人次。二是深入推进困境群体关爱，用心用情托起“一老一小”幸福生活。聚焦“一老一小”医疗救助273人，助学帮扶3296人次，博爱送万家受益群众1513人。</w:t>
      </w:r>
    </w:p>
    <w:p w14:paraId="7A097B66">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（三）基层组织建设夯实有力，志愿服务事业发展推进规范</w:t>
      </w:r>
    </w:p>
    <w:p w14:paraId="51A00145">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方正仿宋_GBK" w:cs="方正仿宋_GBK"/>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召开红十字会一届三次理事会议，调整充实县红十字会理事会人员。指导调整充实乡镇（街道）基层红十字队伍，组建华宁县“三献”志愿服务队，加大应急救护师资选送培训力度，今年新增</w:t>
      </w:r>
      <w:r>
        <w:rPr>
          <w:rFonts w:hint="eastAsia" w:ascii="Times New Roman" w:hAnsi="Times New Roman" w:eastAsia="方正仿宋_GBK" w:cs="方正仿宋_GBK"/>
          <w:sz w:val="30"/>
          <w:szCs w:val="30"/>
          <w:highlight w:val="none"/>
          <w:lang w:val="en-US" w:eastAsia="zh-CN"/>
        </w:rPr>
        <w:t>2</w:t>
      </w:r>
      <w:r>
        <w:rPr>
          <w:rFonts w:hint="default" w:ascii="Times New Roman" w:hAnsi="Times New Roman" w:eastAsia="方正仿宋_GBK" w:cs="方正仿宋_GBK"/>
          <w:sz w:val="30"/>
          <w:szCs w:val="30"/>
          <w:highlight w:val="none"/>
          <w:lang w:val="en-US" w:eastAsia="zh-CN"/>
        </w:rPr>
        <w:t>名持证培训教师</w:t>
      </w:r>
      <w:r>
        <w:rPr>
          <w:rFonts w:hint="eastAsia" w:ascii="Times New Roman" w:hAnsi="Times New Roman" w:eastAsia="方正仿宋_GBK" w:cs="方正仿宋_GBK"/>
          <w:sz w:val="30"/>
          <w:szCs w:val="30"/>
          <w:highlight w:val="none"/>
          <w:lang w:val="en-US" w:eastAsia="zh-CN"/>
        </w:rPr>
        <w:t>，</w:t>
      </w:r>
      <w:r>
        <w:rPr>
          <w:rFonts w:hint="default" w:ascii="Times New Roman" w:hAnsi="Times New Roman" w:eastAsia="方正仿宋_GBK" w:cs="方正仿宋_GBK"/>
          <w:sz w:val="30"/>
          <w:szCs w:val="30"/>
          <w:highlight w:val="none"/>
          <w:lang w:val="en-US" w:eastAsia="zh-CN"/>
        </w:rPr>
        <w:t>完善志愿服务队3支，实现县、乡镇（街道）两级红十字会全覆盖，新增团体会员1个，注册会员35名。</w:t>
      </w:r>
    </w:p>
    <w:p w14:paraId="21D8017D">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（四）</w:t>
      </w:r>
      <w:r>
        <w:rPr>
          <w:rFonts w:hint="default" w:ascii="Times New Roman" w:hAnsi="Times New Roman" w:eastAsia="方正楷体_GBK" w:cs="方正楷体_GBK"/>
          <w:sz w:val="30"/>
          <w:szCs w:val="30"/>
          <w:highlight w:val="none"/>
          <w:lang w:val="en-US" w:eastAsia="zh-CN"/>
        </w:rPr>
        <w:t>守护生命健康博爱</w:t>
      </w:r>
      <w:r>
        <w:rPr>
          <w:rFonts w:hint="eastAsia" w:ascii="Times New Roman" w:hAnsi="Times New Roman" w:eastAsia="方正楷体_GBK" w:cs="方正楷体_GBK"/>
          <w:sz w:val="30"/>
          <w:szCs w:val="30"/>
          <w:highlight w:val="none"/>
          <w:lang w:val="en-US" w:eastAsia="zh-CN"/>
        </w:rPr>
        <w:t>广泛</w:t>
      </w:r>
      <w:r>
        <w:rPr>
          <w:rFonts w:hint="default" w:ascii="Times New Roman" w:hAnsi="Times New Roman" w:eastAsia="方正楷体_GBK" w:cs="方正楷体_GBK"/>
          <w:sz w:val="30"/>
          <w:szCs w:val="30"/>
          <w:highlight w:val="none"/>
          <w:lang w:val="en-US" w:eastAsia="zh-CN"/>
        </w:rPr>
        <w:t>，“三献”工作</w:t>
      </w:r>
      <w:r>
        <w:rPr>
          <w:rFonts w:hint="eastAsia" w:ascii="Times New Roman" w:hAnsi="Times New Roman" w:eastAsia="方正楷体_GBK" w:cs="方正楷体_GBK"/>
          <w:sz w:val="30"/>
          <w:szCs w:val="30"/>
          <w:highlight w:val="none"/>
          <w:lang w:val="en-US" w:eastAsia="zh-CN"/>
        </w:rPr>
        <w:t>突破再创佳绩</w:t>
      </w:r>
    </w:p>
    <w:p w14:paraId="086D4432">
      <w:pPr>
        <w:keepNext w:val="0"/>
        <w:keepLines w:val="0"/>
        <w:pageBreakBefore w:val="0"/>
        <w:widowControl w:val="0"/>
        <w:numPr>
          <w:ilvl w:val="0"/>
          <w:numId w:val="0"/>
        </w:numPr>
        <w:suppressLineNumbers w:val="0"/>
        <w:kinsoku/>
        <w:wordWrap/>
        <w:overflowPunct/>
        <w:topLinePunct w:val="0"/>
        <w:autoSpaceDE/>
        <w:autoSpaceDN w:val="0"/>
        <w:bidi w:val="0"/>
        <w:adjustRightInd/>
        <w:snapToGrid/>
        <w:spacing w:before="0" w:beforeAutospacing="0" w:after="0" w:afterAutospacing="0" w:line="590" w:lineRule="exact"/>
        <w:ind w:right="0" w:rightChars="0" w:firstLine="600" w:firstLineChars="200"/>
        <w:jc w:val="both"/>
        <w:textAlignment w:val="auto"/>
        <w:rPr>
          <w:rFonts w:hint="default" w:ascii="Times New Roman" w:hAnsi="Times New Roman" w:eastAsia="仿宋_GB2312" w:cs="仿宋_GB2312"/>
          <w:sz w:val="30"/>
          <w:szCs w:val="30"/>
          <w:highlight w:val="none"/>
          <w:lang w:val="en-US" w:eastAsia="zh-CN"/>
        </w:rPr>
      </w:pPr>
      <w:r>
        <w:rPr>
          <w:rFonts w:hint="default" w:ascii="Times New Roman" w:hAnsi="Times New Roman" w:eastAsia="方正仿宋_GBK" w:cs="方正仿宋_GBK"/>
          <w:sz w:val="30"/>
          <w:szCs w:val="30"/>
          <w:highlight w:val="none"/>
          <w:lang w:val="en-US" w:eastAsia="zh-CN"/>
        </w:rPr>
        <w:t>人体器官捐献登记作为县级红十字会最难的一项工作，在县医院大力支持下，登记志愿者167人，创历史新高。进一步加大造血干细胞捐献宣传工作，设置华宁县造血干细胞血样采集点1个，新增入库造血干细胞15人份，完成造血干细胞成功捐献1例</w:t>
      </w:r>
      <w:r>
        <w:rPr>
          <w:rFonts w:hint="eastAsia" w:ascii="Times New Roman" w:hAnsi="Times New Roman" w:eastAsia="方正仿宋_GBK" w:cs="方正仿宋_GBK"/>
          <w:sz w:val="30"/>
          <w:szCs w:val="30"/>
          <w:highlight w:val="none"/>
          <w:lang w:val="en-US" w:eastAsia="zh-CN"/>
        </w:rPr>
        <w:t>（全市2例）</w:t>
      </w:r>
      <w:r>
        <w:rPr>
          <w:rFonts w:hint="default" w:ascii="Times New Roman" w:hAnsi="Times New Roman" w:eastAsia="方正仿宋_GBK" w:cs="方正仿宋_GBK"/>
          <w:sz w:val="30"/>
          <w:szCs w:val="30"/>
          <w:highlight w:val="none"/>
          <w:lang w:val="en-US" w:eastAsia="zh-CN"/>
        </w:rPr>
        <w:t>。</w:t>
      </w:r>
    </w:p>
    <w:p w14:paraId="137BF5B0">
      <w:pPr>
        <w:keepNext w:val="0"/>
        <w:keepLines w:val="0"/>
        <w:pageBreakBefore w:val="0"/>
        <w:kinsoku/>
        <w:wordWrap/>
        <w:overflowPunct/>
        <w:topLinePunct w:val="0"/>
        <w:autoSpaceDE/>
        <w:bidi w:val="0"/>
        <w:adjustRightInd/>
        <w:spacing w:line="590" w:lineRule="exact"/>
        <w:ind w:firstLine="600" w:firstLineChars="200"/>
        <w:jc w:val="center"/>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第二部分  2025年度部门决算表</w:t>
      </w:r>
    </w:p>
    <w:p w14:paraId="2EDEAA23">
      <w:pPr>
        <w:keepNext w:val="0"/>
        <w:keepLines w:val="0"/>
        <w:pageBreakBefore w:val="0"/>
        <w:kinsoku/>
        <w:wordWrap/>
        <w:overflowPunct/>
        <w:topLinePunct w:val="0"/>
        <w:autoSpaceDE/>
        <w:bidi w:val="0"/>
        <w:adjustRightInd/>
        <w:spacing w:line="590" w:lineRule="exact"/>
        <w:ind w:firstLine="600" w:firstLineChars="200"/>
        <w:jc w:val="center"/>
        <w:textAlignment w:val="auto"/>
        <w:outlineLvl w:val="1"/>
        <w:rPr>
          <w:rFonts w:hint="eastAsia" w:ascii="Times New Roman" w:hAnsi="Times New Roman" w:eastAsia="仿宋_GB2312"/>
          <w:sz w:val="30"/>
          <w:szCs w:val="30"/>
          <w:highlight w:val="none"/>
        </w:rPr>
      </w:pPr>
      <w:r>
        <w:rPr>
          <w:rFonts w:hint="eastAsia" w:ascii="Times New Roman" w:hAnsi="Times New Roman" w:eastAsia="方正仿宋_GBK" w:cs="方正仿宋_GBK"/>
          <w:sz w:val="30"/>
          <w:szCs w:val="30"/>
          <w:highlight w:val="none"/>
          <w:lang w:val="en-US" w:eastAsia="zh-CN"/>
        </w:rPr>
        <w:t>（详见附件）</w:t>
      </w:r>
    </w:p>
    <w:p w14:paraId="3330A786">
      <w:pPr>
        <w:keepNext w:val="0"/>
        <w:keepLines w:val="0"/>
        <w:pageBreakBefore w:val="0"/>
        <w:widowControl/>
        <w:kinsoku/>
        <w:wordWrap/>
        <w:overflowPunct/>
        <w:topLinePunct w:val="0"/>
        <w:autoSpaceDE/>
        <w:bidi w:val="0"/>
        <w:adjustRightInd/>
        <w:snapToGrid w:val="0"/>
        <w:spacing w:before="100" w:after="100" w:line="590" w:lineRule="exact"/>
        <w:ind w:firstLine="538"/>
        <w:jc w:val="left"/>
        <w:textAlignment w:val="auto"/>
        <w:rPr>
          <w:rFonts w:hint="eastAsia" w:ascii="Times New Roman" w:hAnsi="Times New Roman" w:eastAsia="方正仿宋_GBK" w:cs="方正仿宋_GBK"/>
          <w:sz w:val="30"/>
          <w:szCs w:val="30"/>
          <w:highlight w:val="none"/>
          <w:lang w:val="zh-CN" w:eastAsia="zh-CN"/>
        </w:rPr>
      </w:pPr>
      <w:r>
        <w:rPr>
          <w:rFonts w:hint="default" w:ascii="Times New Roman" w:hAnsi="Times New Roman" w:eastAsia="方正仿宋_GBK" w:cs="方正仿宋_GBK"/>
          <w:sz w:val="30"/>
          <w:szCs w:val="30"/>
          <w:highlight w:val="none"/>
          <w:lang w:val="en-US" w:eastAsia="zh-CN"/>
        </w:rPr>
        <w:t>华宁县</w:t>
      </w:r>
      <w:r>
        <w:rPr>
          <w:rFonts w:hint="eastAsia" w:ascii="Times New Roman" w:hAnsi="Times New Roman" w:eastAsia="方正仿宋_GBK" w:cs="方正仿宋_GBK"/>
          <w:sz w:val="30"/>
          <w:szCs w:val="30"/>
          <w:highlight w:val="none"/>
          <w:lang w:val="en-US" w:eastAsia="zh-CN"/>
        </w:rPr>
        <w:t>红十字会2025年无</w:t>
      </w:r>
      <w:r>
        <w:rPr>
          <w:rFonts w:hint="eastAsia" w:ascii="Times New Roman" w:hAnsi="Times New Roman" w:eastAsia="方正仿宋_GBK" w:cs="方正仿宋_GBK"/>
          <w:sz w:val="30"/>
          <w:szCs w:val="30"/>
          <w:highlight w:val="none"/>
          <w:lang w:val="zh-CN" w:eastAsia="zh-CN"/>
        </w:rPr>
        <w:t>国有资本经营预算财政拨款收入</w:t>
      </w:r>
      <w:r>
        <w:rPr>
          <w:rFonts w:hint="eastAsia" w:ascii="Times New Roman" w:hAnsi="Times New Roman" w:eastAsia="方正仿宋_GBK" w:cs="方正仿宋_GBK"/>
          <w:sz w:val="30"/>
          <w:szCs w:val="30"/>
          <w:highlight w:val="none"/>
          <w:lang w:val="en-US" w:eastAsia="zh-CN"/>
        </w:rPr>
        <w:t>和政府性基金预算财政拨款收入</w:t>
      </w:r>
      <w:r>
        <w:rPr>
          <w:rFonts w:hint="eastAsia" w:ascii="Times New Roman" w:hAnsi="Times New Roman" w:eastAsia="方正仿宋_GBK" w:cs="方正仿宋_GBK"/>
          <w:sz w:val="30"/>
          <w:szCs w:val="30"/>
          <w:highlight w:val="none"/>
          <w:lang w:val="zh-CN" w:eastAsia="zh-CN"/>
        </w:rPr>
        <w:t>，</w:t>
      </w:r>
      <w:r>
        <w:rPr>
          <w:rFonts w:hint="eastAsia" w:ascii="Times New Roman" w:hAnsi="Times New Roman" w:eastAsia="方正仿宋_GBK" w:cs="方正仿宋_GBK"/>
          <w:sz w:val="30"/>
          <w:szCs w:val="30"/>
          <w:highlight w:val="none"/>
          <w:lang w:val="en-US" w:eastAsia="zh-CN"/>
        </w:rPr>
        <w:t>故</w:t>
      </w:r>
      <w:r>
        <w:rPr>
          <w:rFonts w:hint="eastAsia" w:ascii="Times New Roman" w:hAnsi="Times New Roman" w:eastAsia="方正仿宋_GBK" w:cs="方正仿宋_GBK"/>
          <w:sz w:val="30"/>
          <w:szCs w:val="30"/>
          <w:highlight w:val="none"/>
          <w:lang w:val="zh-CN" w:eastAsia="zh-CN"/>
        </w:rPr>
        <w:t>《国有资本经营预算财政拨款收入支出决算表》</w:t>
      </w:r>
      <w:r>
        <w:rPr>
          <w:rFonts w:hint="eastAsia" w:ascii="Times New Roman" w:hAnsi="Times New Roman" w:eastAsia="方正仿宋_GBK" w:cs="方正仿宋_GBK"/>
          <w:sz w:val="30"/>
          <w:szCs w:val="30"/>
          <w:highlight w:val="none"/>
          <w:lang w:val="en-US" w:eastAsia="zh-CN"/>
        </w:rPr>
        <w:t>和《政府性基金预算财政拨款收入支出决算表》</w:t>
      </w:r>
      <w:r>
        <w:rPr>
          <w:rFonts w:hint="eastAsia" w:ascii="Times New Roman" w:hAnsi="Times New Roman" w:eastAsia="方正仿宋_GBK" w:cs="方正仿宋_GBK"/>
          <w:sz w:val="30"/>
          <w:szCs w:val="30"/>
          <w:highlight w:val="none"/>
          <w:lang w:val="zh-CN" w:eastAsia="zh-CN"/>
        </w:rPr>
        <w:t>为空表。</w:t>
      </w:r>
    </w:p>
    <w:p w14:paraId="0A3A5672">
      <w:pPr>
        <w:keepNext w:val="0"/>
        <w:keepLines w:val="0"/>
        <w:pageBreakBefore w:val="0"/>
        <w:kinsoku/>
        <w:wordWrap/>
        <w:overflowPunct/>
        <w:topLinePunct w:val="0"/>
        <w:autoSpaceDE/>
        <w:bidi w:val="0"/>
        <w:adjustRightInd/>
        <w:spacing w:line="590" w:lineRule="exact"/>
        <w:ind w:firstLine="600" w:firstLineChars="200"/>
        <w:jc w:val="center"/>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第三部分  2025年度部门决算情况说明</w:t>
      </w:r>
    </w:p>
    <w:p w14:paraId="4CB46F97">
      <w:pPr>
        <w:keepNext w:val="0"/>
        <w:keepLines w:val="0"/>
        <w:pageBreakBefore w:val="0"/>
        <w:kinsoku/>
        <w:wordWrap/>
        <w:overflowPunct/>
        <w:topLinePunct w:val="0"/>
        <w:autoSpaceDE/>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一、收入决算情况说明</w:t>
      </w:r>
    </w:p>
    <w:p w14:paraId="39D1377A">
      <w:pPr>
        <w:keepNext w:val="0"/>
        <w:keepLines w:val="0"/>
        <w:pageBreakBefore w:val="0"/>
        <w:widowControl/>
        <w:kinsoku/>
        <w:wordWrap/>
        <w:overflowPunct/>
        <w:topLinePunct w:val="0"/>
        <w:autoSpaceDE/>
        <w:bidi w:val="0"/>
        <w:adjustRightInd/>
        <w:snapToGrid w:val="0"/>
        <w:spacing w:before="100" w:after="100" w:line="590" w:lineRule="exact"/>
        <w:ind w:firstLine="538"/>
        <w:jc w:val="left"/>
        <w:textAlignment w:val="auto"/>
        <w:rPr>
          <w:rFonts w:hint="eastAsia" w:ascii="Times New Roman" w:hAnsi="Times New Roman" w:eastAsia="仿宋_GB2312"/>
          <w:sz w:val="30"/>
          <w:szCs w:val="30"/>
          <w:highlight w:val="none"/>
        </w:rPr>
      </w:pP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收入合计1,155,104.98元。其中：财政拨款收入1,070,915.42元，占总收入的92.71%；上级补助收入0.00元，占总收入的0.00%；事业收入0.00元（含教育收费0.00元），占总收入的0.00%；经营收入0.00元，占总收入的0.00%；附属单位上缴收入0.00元，占总收入的0.00%；其他收入84,189.56元，占总收入的7.29%。</w:t>
      </w:r>
    </w:p>
    <w:p w14:paraId="136F436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与上年相比，收入合计增加236,135.05元，增长25.70%。其中：财政拨款收入增加153,945.49元，增长16.79%；上级补助收入增加0.00元，增长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%；事业收入增加0.00元，增长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%；经营收入增加0.00元，增长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%；附属单位上缴收入增加0.00元，增长</w:t>
      </w:r>
      <w:r>
        <w:rPr>
          <w:rFonts w:hint="eastAsia" w:ascii="Times New Roman" w:hAnsi="Times New Roman" w:eastAsia="方正仿宋_GBK" w:cs="方正仿宋_GBK"/>
          <w:sz w:val="30"/>
          <w:szCs w:val="30"/>
          <w:highlight w:val="none"/>
          <w:lang w:val="en-US" w:eastAsia="zh-CN"/>
        </w:rPr>
        <w:t>0.00</w:t>
      </w:r>
      <w:r>
        <w:rPr>
          <w:rFonts w:hint="eastAsia" w:ascii="Times New Roman" w:hAnsi="Times New Roman" w:eastAsia="方正仿宋_GBK" w:cs="方正仿宋_GBK"/>
          <w:sz w:val="30"/>
          <w:szCs w:val="30"/>
          <w:highlight w:val="none"/>
          <w:lang w:val="zh-CN" w:eastAsia="zh-CN"/>
        </w:rPr>
        <w:t>%；其他收入增加82,189.56元，增长4,109.48%。主要原因是</w:t>
      </w:r>
      <w:r>
        <w:rPr>
          <w:rFonts w:hint="eastAsia" w:ascii="Times New Roman" w:hAnsi="Times New Roman" w:eastAsia="方正仿宋_GBK" w:cs="方正仿宋_GBK"/>
          <w:sz w:val="30"/>
          <w:szCs w:val="30"/>
          <w:highlight w:val="none"/>
          <w:lang w:val="en-US" w:eastAsia="zh-CN"/>
        </w:rPr>
        <w:t>2025年</w:t>
      </w:r>
      <w:r>
        <w:rPr>
          <w:rFonts w:hint="eastAsia" w:ascii="Times New Roman" w:hAnsi="Times New Roman" w:eastAsia="方正仿宋_GBK" w:cs="方正仿宋_GBK"/>
          <w:sz w:val="30"/>
          <w:szCs w:val="30"/>
          <w:highlight w:val="none"/>
          <w:lang w:val="zh-CN" w:eastAsia="zh-CN"/>
        </w:rPr>
        <w:t>公益性岗位人员补贴预算增加。</w:t>
      </w:r>
    </w:p>
    <w:p w14:paraId="513DE7BA">
      <w:pPr>
        <w:keepNext w:val="0"/>
        <w:keepLines w:val="0"/>
        <w:pageBreakBefore w:val="0"/>
        <w:kinsoku/>
        <w:wordWrap/>
        <w:overflowPunct/>
        <w:topLinePunct w:val="0"/>
        <w:autoSpaceDE/>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二、支出决算情况说明</w:t>
      </w:r>
    </w:p>
    <w:p w14:paraId="26BD6D1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2025年度支出合计</w:t>
      </w:r>
      <w:r>
        <w:rPr>
          <w:rFonts w:hint="eastAsia" w:ascii="Times New Roman" w:hAnsi="Times New Roman" w:eastAsia="方正仿宋_GBK" w:cs="方正仿宋_GBK"/>
          <w:sz w:val="30"/>
          <w:szCs w:val="30"/>
          <w:highlight w:val="none"/>
          <w:lang w:val="zh-CN" w:eastAsia="zh-CN"/>
        </w:rPr>
        <w:t>1,155,740.48</w:t>
      </w:r>
      <w:r>
        <w:rPr>
          <w:rFonts w:hint="eastAsia" w:ascii="Times New Roman" w:hAnsi="Times New Roman" w:eastAsia="方正仿宋_GBK" w:cs="方正仿宋_GBK"/>
          <w:sz w:val="30"/>
          <w:szCs w:val="30"/>
          <w:highlight w:val="none"/>
          <w:lang w:val="en-US" w:eastAsia="zh-CN"/>
        </w:rPr>
        <w:t>元。其中：基本支出</w:t>
      </w:r>
      <w:r>
        <w:rPr>
          <w:rFonts w:hint="eastAsia" w:ascii="Times New Roman" w:hAnsi="Times New Roman" w:eastAsia="方正仿宋_GBK" w:cs="方正仿宋_GBK"/>
          <w:sz w:val="30"/>
          <w:szCs w:val="30"/>
          <w:highlight w:val="none"/>
          <w:lang w:val="zh-CN" w:eastAsia="zh-CN"/>
        </w:rPr>
        <w:t>1,087,079.50</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94.06</w:t>
      </w:r>
      <w:r>
        <w:rPr>
          <w:rFonts w:hint="eastAsia" w:ascii="Times New Roman" w:hAnsi="Times New Roman" w:eastAsia="方正仿宋_GBK" w:cs="方正仿宋_GBK"/>
          <w:sz w:val="30"/>
          <w:szCs w:val="30"/>
          <w:highlight w:val="none"/>
          <w:lang w:val="en-US" w:eastAsia="zh-CN"/>
        </w:rPr>
        <w:t>％；项目支出</w:t>
      </w:r>
      <w:r>
        <w:rPr>
          <w:rFonts w:hint="eastAsia" w:ascii="Times New Roman" w:hAnsi="Times New Roman" w:eastAsia="方正仿宋_GBK" w:cs="方正仿宋_GBK"/>
          <w:sz w:val="30"/>
          <w:szCs w:val="30"/>
          <w:highlight w:val="none"/>
          <w:lang w:val="zh-CN" w:eastAsia="zh-CN"/>
        </w:rPr>
        <w:t>68,660.98</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5.94</w:t>
      </w:r>
      <w:r>
        <w:rPr>
          <w:rFonts w:hint="eastAsia" w:ascii="Times New Roman" w:hAnsi="Times New Roman" w:eastAsia="方正仿宋_GBK" w:cs="方正仿宋_GBK"/>
          <w:sz w:val="30"/>
          <w:szCs w:val="30"/>
          <w:highlight w:val="none"/>
          <w:lang w:val="en-US" w:eastAsia="zh-CN"/>
        </w:rPr>
        <w:t>％；上缴上级支出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％；经营支出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％；对附属单位补助支出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w:t>
      </w:r>
    </w:p>
    <w:p w14:paraId="3A1A8A6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与上年相比，支出合计增加</w:t>
      </w:r>
      <w:r>
        <w:rPr>
          <w:rFonts w:hint="eastAsia" w:ascii="Times New Roman" w:hAnsi="Times New Roman" w:eastAsia="方正仿宋_GBK" w:cs="方正仿宋_GBK"/>
          <w:sz w:val="30"/>
          <w:szCs w:val="30"/>
          <w:highlight w:val="none"/>
          <w:lang w:val="zh-CN" w:eastAsia="zh-CN"/>
        </w:rPr>
        <w:t>234,766.36</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25.49</w:t>
      </w:r>
      <w:r>
        <w:rPr>
          <w:rFonts w:hint="eastAsia" w:ascii="Times New Roman" w:hAnsi="Times New Roman" w:eastAsia="方正仿宋_GBK" w:cs="方正仿宋_GBK"/>
          <w:sz w:val="30"/>
          <w:szCs w:val="30"/>
          <w:highlight w:val="none"/>
          <w:lang w:val="en-US" w:eastAsia="zh-CN"/>
        </w:rPr>
        <w:t>%。其中：基本支出增加</w:t>
      </w:r>
      <w:r>
        <w:rPr>
          <w:rFonts w:hint="eastAsia" w:ascii="Times New Roman" w:hAnsi="Times New Roman" w:eastAsia="方正仿宋_GBK" w:cs="方正仿宋_GBK"/>
          <w:sz w:val="30"/>
          <w:szCs w:val="30"/>
          <w:highlight w:val="none"/>
          <w:lang w:val="zh-CN" w:eastAsia="zh-CN"/>
        </w:rPr>
        <w:t>186,105.38</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20.66</w:t>
      </w:r>
      <w:r>
        <w:rPr>
          <w:rFonts w:hint="eastAsia" w:ascii="Times New Roman" w:hAnsi="Times New Roman" w:eastAsia="方正仿宋_GBK" w:cs="方正仿宋_GBK"/>
          <w:sz w:val="30"/>
          <w:szCs w:val="30"/>
          <w:highlight w:val="none"/>
          <w:lang w:val="en-US" w:eastAsia="zh-CN"/>
        </w:rPr>
        <w:t>%；项目支出增加</w:t>
      </w:r>
      <w:r>
        <w:rPr>
          <w:rFonts w:hint="eastAsia" w:ascii="Times New Roman" w:hAnsi="Times New Roman" w:eastAsia="方正仿宋_GBK" w:cs="方正仿宋_GBK"/>
          <w:sz w:val="30"/>
          <w:szCs w:val="30"/>
          <w:highlight w:val="none"/>
          <w:lang w:val="zh-CN" w:eastAsia="zh-CN"/>
        </w:rPr>
        <w:t>48,660.98</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243.30</w:t>
      </w:r>
      <w:r>
        <w:rPr>
          <w:rFonts w:hint="eastAsia" w:ascii="Times New Roman" w:hAnsi="Times New Roman" w:eastAsia="方正仿宋_GBK" w:cs="方正仿宋_GBK"/>
          <w:sz w:val="30"/>
          <w:szCs w:val="30"/>
          <w:highlight w:val="none"/>
          <w:lang w:val="en-US" w:eastAsia="zh-CN"/>
        </w:rPr>
        <w:t>%；上缴上级支出增加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元，增长0.00%；经营支出增加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元，增长0.00%；对附属单位补助支出增加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元，增长0.00%。主要原因是一是人员职级晋升后工资、社保费增加，导致基本支出增加；二是公益性岗位人员补贴预算增加，导致项目支出增加。</w:t>
      </w:r>
    </w:p>
    <w:p w14:paraId="3DA11A79">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（一）基本支出情况</w:t>
      </w:r>
    </w:p>
    <w:p w14:paraId="548C12F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2025年度用于保障</w:t>
      </w: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机关、下属事业单位等机构正常运转的日常支出</w:t>
      </w:r>
      <w:r>
        <w:rPr>
          <w:rFonts w:hint="eastAsia" w:ascii="Times New Roman" w:hAnsi="Times New Roman" w:eastAsia="方正仿宋_GBK" w:cs="方正仿宋_GBK"/>
          <w:sz w:val="30"/>
          <w:szCs w:val="30"/>
          <w:highlight w:val="none"/>
          <w:lang w:val="zh-CN" w:eastAsia="zh-CN"/>
        </w:rPr>
        <w:t>1,087,079.50</w:t>
      </w:r>
      <w:r>
        <w:rPr>
          <w:rFonts w:hint="eastAsia" w:ascii="Times New Roman" w:hAnsi="Times New Roman" w:eastAsia="方正仿宋_GBK" w:cs="方正仿宋_GBK"/>
          <w:sz w:val="30"/>
          <w:szCs w:val="30"/>
          <w:highlight w:val="none"/>
          <w:lang w:val="en-US" w:eastAsia="zh-CN"/>
        </w:rPr>
        <w:t>元。其中：基本工资、津贴补贴等人员经费支出</w:t>
      </w:r>
      <w:r>
        <w:rPr>
          <w:rFonts w:hint="eastAsia" w:ascii="Times New Roman" w:hAnsi="Times New Roman" w:eastAsia="方正仿宋_GBK" w:cs="方正仿宋_GBK"/>
          <w:sz w:val="30"/>
          <w:szCs w:val="30"/>
          <w:highlight w:val="none"/>
          <w:lang w:val="zh-CN" w:eastAsia="zh-CN"/>
        </w:rPr>
        <w:t>917,536.89</w:t>
      </w:r>
      <w:r>
        <w:rPr>
          <w:rFonts w:hint="eastAsia" w:ascii="Times New Roman" w:hAnsi="Times New Roman" w:eastAsia="方正仿宋_GBK" w:cs="方正仿宋_GBK"/>
          <w:sz w:val="30"/>
          <w:szCs w:val="30"/>
          <w:highlight w:val="none"/>
          <w:lang w:val="en-US" w:eastAsia="zh-CN"/>
        </w:rPr>
        <w:t>元，占基本支出的</w:t>
      </w:r>
      <w:r>
        <w:rPr>
          <w:rFonts w:hint="eastAsia" w:ascii="Times New Roman" w:hAnsi="Times New Roman" w:eastAsia="方正仿宋_GBK" w:cs="方正仿宋_GBK"/>
          <w:sz w:val="30"/>
          <w:szCs w:val="30"/>
          <w:highlight w:val="none"/>
          <w:lang w:val="zh-CN" w:eastAsia="zh-CN"/>
        </w:rPr>
        <w:t>84.40</w:t>
      </w:r>
      <w:r>
        <w:rPr>
          <w:rFonts w:hint="eastAsia" w:ascii="Times New Roman" w:hAnsi="Times New Roman" w:eastAsia="方正仿宋_GBK" w:cs="方正仿宋_GBK"/>
          <w:sz w:val="30"/>
          <w:szCs w:val="30"/>
          <w:highlight w:val="none"/>
          <w:lang w:val="en-US" w:eastAsia="zh-CN"/>
        </w:rPr>
        <w:t>％；办公费、印刷费、水电费、办公设备购置等公用经费</w:t>
      </w:r>
      <w:r>
        <w:rPr>
          <w:rFonts w:hint="eastAsia" w:ascii="Times New Roman" w:hAnsi="Times New Roman" w:eastAsia="方正仿宋_GBK" w:cs="方正仿宋_GBK"/>
          <w:sz w:val="30"/>
          <w:szCs w:val="30"/>
          <w:highlight w:val="none"/>
          <w:lang w:val="zh-CN" w:eastAsia="zh-CN"/>
        </w:rPr>
        <w:t>169,542.61</w:t>
      </w:r>
      <w:r>
        <w:rPr>
          <w:rFonts w:hint="eastAsia" w:ascii="Times New Roman" w:hAnsi="Times New Roman" w:eastAsia="方正仿宋_GBK" w:cs="方正仿宋_GBK"/>
          <w:sz w:val="30"/>
          <w:szCs w:val="30"/>
          <w:highlight w:val="none"/>
          <w:lang w:val="en-US" w:eastAsia="zh-CN"/>
        </w:rPr>
        <w:t>元，占基本支出的</w:t>
      </w:r>
      <w:r>
        <w:rPr>
          <w:rFonts w:hint="eastAsia" w:ascii="Times New Roman" w:hAnsi="Times New Roman" w:eastAsia="方正仿宋_GBK" w:cs="方正仿宋_GBK"/>
          <w:sz w:val="30"/>
          <w:szCs w:val="30"/>
          <w:highlight w:val="none"/>
          <w:lang w:val="zh-CN" w:eastAsia="zh-CN"/>
        </w:rPr>
        <w:t>15.60</w:t>
      </w:r>
      <w:r>
        <w:rPr>
          <w:rFonts w:hint="eastAsia" w:ascii="Times New Roman" w:hAnsi="Times New Roman" w:eastAsia="方正仿宋_GBK" w:cs="方正仿宋_GBK"/>
          <w:sz w:val="30"/>
          <w:szCs w:val="30"/>
          <w:highlight w:val="none"/>
          <w:lang w:val="en-US" w:eastAsia="zh-CN"/>
        </w:rPr>
        <w:t>％。</w:t>
      </w:r>
    </w:p>
    <w:p w14:paraId="5FC048C6">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（二）项目支出情况</w:t>
      </w:r>
    </w:p>
    <w:p w14:paraId="1BDA6B8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用于保障华宁县红十字会机关、下属事业单位等机构为完成特定的行政工作任务或事业发展目标，用于专项业务工作的经费支出68,660.98元。其中：基本建设类项目支出0.00元。</w:t>
      </w:r>
    </w:p>
    <w:p w14:paraId="21FD7E6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华宁县红十字会工作经费项目经费24,000.00元和工作经费资金工作经费项目资金30,000.00元</w:t>
      </w:r>
      <w:r>
        <w:rPr>
          <w:rFonts w:hint="eastAsia" w:ascii="Times New Roman" w:hAnsi="Times New Roman" w:eastAsia="方正仿宋_GBK" w:cs="方正仿宋_GBK"/>
          <w:sz w:val="30"/>
          <w:szCs w:val="30"/>
          <w:highlight w:val="none"/>
          <w:lang w:val="zh-CN" w:eastAsia="zh-CN"/>
        </w:rPr>
        <w:t>，主要用于</w:t>
      </w:r>
      <w:r>
        <w:rPr>
          <w:rFonts w:hint="eastAsia" w:ascii="Times New Roman" w:hAnsi="Times New Roman" w:eastAsia="方正仿宋_GBK" w:cs="方正仿宋_GBK"/>
          <w:sz w:val="30"/>
          <w:szCs w:val="30"/>
          <w:highlight w:val="none"/>
          <w:lang w:val="en-US" w:eastAsia="zh-CN"/>
        </w:rPr>
        <w:t>红十字会运行发展需要的相关事项费用支出。</w:t>
      </w:r>
    </w:p>
    <w:p w14:paraId="3CC411E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残疾人就业保障金资金项目经费</w:t>
      </w:r>
      <w:r>
        <w:rPr>
          <w:rFonts w:hint="eastAsia" w:ascii="Times New Roman" w:hAnsi="Times New Roman" w:eastAsia="方正仿宋_GBK" w:cs="方正仿宋_GBK"/>
          <w:sz w:val="30"/>
          <w:szCs w:val="30"/>
          <w:highlight w:val="none"/>
          <w:lang w:val="en-US" w:eastAsia="zh-CN"/>
        </w:rPr>
        <w:t>14,025.48</w:t>
      </w:r>
      <w:r>
        <w:rPr>
          <w:rFonts w:hint="eastAsia" w:ascii="Times New Roman" w:hAnsi="Times New Roman" w:eastAsia="方正仿宋_GBK" w:cs="方正仿宋_GBK"/>
          <w:sz w:val="30"/>
          <w:szCs w:val="30"/>
          <w:highlight w:val="none"/>
          <w:lang w:val="zh-CN" w:eastAsia="zh-CN"/>
        </w:rPr>
        <w:t>元，主要用于</w:t>
      </w:r>
      <w:r>
        <w:rPr>
          <w:rFonts w:hint="eastAsia" w:ascii="Times New Roman" w:hAnsi="Times New Roman" w:eastAsia="方正仿宋_GBK" w:cs="方正仿宋_GBK"/>
          <w:sz w:val="30"/>
          <w:szCs w:val="30"/>
          <w:highlight w:val="none"/>
          <w:lang w:val="en-US" w:eastAsia="zh-CN"/>
        </w:rPr>
        <w:t>支付华宁县红十字会2025年2024年年申报的</w:t>
      </w:r>
      <w:r>
        <w:rPr>
          <w:rFonts w:hint="eastAsia" w:ascii="Times New Roman" w:hAnsi="Times New Roman" w:eastAsia="方正仿宋_GBK" w:cs="方正仿宋_GBK"/>
          <w:sz w:val="30"/>
          <w:szCs w:val="30"/>
          <w:highlight w:val="none"/>
          <w:lang w:val="zh-CN" w:eastAsia="zh-CN"/>
        </w:rPr>
        <w:t>残疾人就业保障金。</w:t>
      </w:r>
    </w:p>
    <w:p w14:paraId="32E26F3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造血干细胞采集费项目经费635.50元，用于支付造血干细胞采集相关支出。</w:t>
      </w:r>
    </w:p>
    <w:p w14:paraId="5B7E128E">
      <w:pPr>
        <w:keepNext w:val="0"/>
        <w:keepLines w:val="0"/>
        <w:pageBreakBefore w:val="0"/>
        <w:kinsoku/>
        <w:wordWrap/>
        <w:overflowPunct/>
        <w:topLinePunct w:val="0"/>
        <w:autoSpaceDE/>
        <w:bidi w:val="0"/>
        <w:adjustRightInd/>
        <w:spacing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rPr>
        <w:t>三、一般公共预算财政拨款支出决算情况说明</w:t>
      </w:r>
    </w:p>
    <w:p w14:paraId="1C68C088">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rPr>
      </w:pPr>
      <w:r>
        <w:rPr>
          <w:rFonts w:hint="eastAsia" w:ascii="Times New Roman" w:hAnsi="Times New Roman" w:eastAsia="方正楷体_GBK" w:cs="方正楷体_GBK"/>
          <w:sz w:val="30"/>
          <w:szCs w:val="30"/>
          <w:highlight w:val="none"/>
        </w:rPr>
        <w:t>（一）一般公共预算财政拨款支出决算总体情况</w:t>
      </w:r>
    </w:p>
    <w:p w14:paraId="6728649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2025年度一般公共预算财政拨款支出</w:t>
      </w:r>
      <w:r>
        <w:rPr>
          <w:rFonts w:hint="eastAsia" w:ascii="Times New Roman" w:hAnsi="Times New Roman" w:eastAsia="方正仿宋_GBK" w:cs="方正仿宋_GBK"/>
          <w:sz w:val="30"/>
          <w:szCs w:val="30"/>
          <w:highlight w:val="none"/>
          <w:lang w:val="zh-CN" w:eastAsia="zh-CN"/>
        </w:rPr>
        <w:t>1,070,915.42</w:t>
      </w:r>
      <w:r>
        <w:rPr>
          <w:rFonts w:hint="eastAsia" w:ascii="Times New Roman" w:hAnsi="Times New Roman" w:eastAsia="方正仿宋_GBK" w:cs="方正仿宋_GBK"/>
          <w:sz w:val="30"/>
          <w:szCs w:val="30"/>
          <w:highlight w:val="none"/>
          <w:lang w:val="en-US" w:eastAsia="zh-CN"/>
        </w:rPr>
        <w:t>元，占本年支出合计的</w:t>
      </w:r>
      <w:r>
        <w:rPr>
          <w:rFonts w:hint="eastAsia" w:ascii="Times New Roman" w:hAnsi="Times New Roman" w:eastAsia="方正仿宋_GBK" w:cs="方正仿宋_GBK"/>
          <w:sz w:val="30"/>
          <w:szCs w:val="30"/>
          <w:highlight w:val="none"/>
          <w:lang w:val="zh-CN" w:eastAsia="zh-CN"/>
        </w:rPr>
        <w:t>92.66</w:t>
      </w:r>
      <w:r>
        <w:rPr>
          <w:rFonts w:hint="eastAsia" w:ascii="Times New Roman" w:hAnsi="Times New Roman" w:eastAsia="方正仿宋_GBK" w:cs="方正仿宋_GBK"/>
          <w:sz w:val="30"/>
          <w:szCs w:val="30"/>
          <w:highlight w:val="none"/>
          <w:lang w:val="en-US" w:eastAsia="zh-CN"/>
        </w:rPr>
        <w:t>%。与上年相比增加</w:t>
      </w:r>
      <w:r>
        <w:rPr>
          <w:rFonts w:hint="eastAsia" w:ascii="Times New Roman" w:hAnsi="Times New Roman" w:eastAsia="方正仿宋_GBK" w:cs="方正仿宋_GBK"/>
          <w:sz w:val="30"/>
          <w:szCs w:val="30"/>
          <w:highlight w:val="none"/>
          <w:lang w:val="zh-CN" w:eastAsia="zh-CN"/>
        </w:rPr>
        <w:t>153,945.49</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16.79</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112.65</w:t>
      </w:r>
      <w:r>
        <w:rPr>
          <w:rFonts w:hint="eastAsia" w:ascii="Times New Roman" w:hAnsi="Times New Roman" w:eastAsia="方正仿宋_GBK" w:cs="方正仿宋_GBK"/>
          <w:sz w:val="30"/>
          <w:szCs w:val="30"/>
          <w:highlight w:val="none"/>
          <w:lang w:val="en-US" w:eastAsia="zh-CN"/>
        </w:rPr>
        <w:t>%。</w:t>
      </w:r>
    </w:p>
    <w:p w14:paraId="39B3D609">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
          <w:sz w:val="30"/>
          <w:szCs w:val="30"/>
          <w:highlight w:val="none"/>
        </w:rPr>
      </w:pPr>
      <w:r>
        <w:rPr>
          <w:rFonts w:hint="eastAsia" w:ascii="Times New Roman" w:hAnsi="Times New Roman" w:eastAsia="方正楷体_GBK" w:cs="方正楷体_GBK"/>
          <w:sz w:val="30"/>
          <w:szCs w:val="30"/>
          <w:highlight w:val="none"/>
        </w:rPr>
        <w:t>（二）一般公共预算财政拨款支出决算</w:t>
      </w:r>
      <w:r>
        <w:rPr>
          <w:rFonts w:hint="eastAsia" w:ascii="Times New Roman" w:hAnsi="Times New Roman" w:eastAsia="方正楷体_GBK" w:cs="方正楷体_GBK"/>
          <w:sz w:val="30"/>
          <w:szCs w:val="30"/>
          <w:highlight w:val="none"/>
          <w:lang w:eastAsia="zh-CN"/>
        </w:rPr>
        <w:t>分功能分类科目情况</w:t>
      </w:r>
      <w:r>
        <w:rPr>
          <w:rFonts w:hint="eastAsia" w:ascii="Times New Roman" w:hAnsi="Times New Roman" w:eastAsia="楷体"/>
          <w:sz w:val="30"/>
          <w:szCs w:val="30"/>
          <w:highlight w:val="none"/>
        </w:rPr>
        <w:tab/>
      </w:r>
    </w:p>
    <w:p w14:paraId="5F1C5C0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1.一般公共服务（类）支出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3FE3319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2.外交（类）支出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54D6EE4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3.国防（类）支出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276D3FF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4.公共安全（类）支出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14C130F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5.教育（类）支出0.00元，占一般公共预算财政拨款总支出的0.00%，年初无此项预算，无支出。</w:t>
      </w:r>
    </w:p>
    <w:p w14:paraId="39C65FD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6.科学技术（类）支出0.00元，占一般公共预算财政拨款总支出的0.00%，年初无此项预算，无支出。</w:t>
      </w:r>
    </w:p>
    <w:p w14:paraId="5D15CB2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7.文化旅游体育与传媒（类）支出30,000.00元，占一般公共预算财政拨款总支出的2.80%，年初无此项预算。主要用于红十字会运行发展需要事项支出；造成预决算差异的主要原因是年中新增上级补助，年初预算时无法确定上级补助资金，未纳入预算。</w:t>
      </w:r>
    </w:p>
    <w:p w14:paraId="0FB51B1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8.社会保障和就业（类）支出880,362.77元，占一般公共预算财政拨款总支出的82.21%，完成年初预算的</w:t>
      </w:r>
      <w:r>
        <w:rPr>
          <w:rFonts w:hint="eastAsia" w:ascii="Times New Roman" w:hAnsi="Times New Roman" w:eastAsia="方正仿宋_GBK" w:cs="方正仿宋_GBK"/>
          <w:sz w:val="30"/>
          <w:szCs w:val="30"/>
          <w:highlight w:val="none"/>
          <w:lang w:val="zh-CN" w:eastAsia="zh-CN"/>
        </w:rPr>
        <w:t>110.50</w:t>
      </w:r>
      <w:r>
        <w:rPr>
          <w:rFonts w:hint="eastAsia" w:ascii="Times New Roman" w:hAnsi="Times New Roman" w:eastAsia="方正仿宋_GBK" w:cs="方正仿宋_GBK"/>
          <w:sz w:val="30"/>
          <w:szCs w:val="30"/>
          <w:highlight w:val="none"/>
          <w:lang w:val="en-US" w:eastAsia="zh-CN"/>
        </w:rPr>
        <w:t>%。主要用于支付本部门人员经费和日常经费支出；造成预决算差异的主要原因是职级晋升，导致实际支出高于预算。</w:t>
      </w:r>
    </w:p>
    <w:p w14:paraId="68E0FC8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9.卫生健康（类）支出</w:t>
      </w:r>
      <w:r>
        <w:rPr>
          <w:rFonts w:hint="eastAsia" w:ascii="Times New Roman" w:hAnsi="Times New Roman" w:eastAsia="方正仿宋_GBK" w:cs="方正仿宋_GBK"/>
          <w:sz w:val="30"/>
          <w:szCs w:val="30"/>
          <w:highlight w:val="none"/>
          <w:lang w:val="zh-CN" w:eastAsia="zh-CN"/>
        </w:rPr>
        <w:t>76,878.65</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7.18</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102.55</w:t>
      </w:r>
      <w:r>
        <w:rPr>
          <w:rFonts w:hint="eastAsia" w:ascii="Times New Roman" w:hAnsi="Times New Roman" w:eastAsia="方正仿宋_GBK" w:cs="方正仿宋_GBK"/>
          <w:sz w:val="30"/>
          <w:szCs w:val="30"/>
          <w:highlight w:val="none"/>
          <w:lang w:val="en-US" w:eastAsia="zh-CN"/>
        </w:rPr>
        <w:t>%。主要用于事业单位医疗支出、公务员医疗补助支出、其他行政事业单位医疗支出；造成预决算差异的主要原因是医疗保险基数调整，导致实际支出高于预算。</w:t>
      </w:r>
    </w:p>
    <w:p w14:paraId="1AA6DFD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10.节能环保（类）支出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4913FA6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11.城乡社区（类）支出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18AEFD7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12.农林水（类）支出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460962F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13.交通运输（类）支出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216BDF1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14.资源勘探工业信息等（类）支出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7398010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15.商业服务业等（类）支出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026B17C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16.金融（类）支出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1475BFD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17.援助其他地区（类）支出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7E2807A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18.自然资源海洋气象等（类）支出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3F1AD33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19.住房保障（类）支出</w:t>
      </w:r>
      <w:r>
        <w:rPr>
          <w:rFonts w:hint="eastAsia" w:ascii="Times New Roman" w:hAnsi="Times New Roman" w:eastAsia="方正仿宋_GBK" w:cs="方正仿宋_GBK"/>
          <w:sz w:val="30"/>
          <w:szCs w:val="30"/>
          <w:highlight w:val="none"/>
          <w:lang w:val="zh-CN" w:eastAsia="zh-CN"/>
        </w:rPr>
        <w:t>83,674.00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7.81</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106.00</w:t>
      </w:r>
      <w:r>
        <w:rPr>
          <w:rFonts w:hint="eastAsia" w:ascii="Times New Roman" w:hAnsi="Times New Roman" w:eastAsia="方正仿宋_GBK" w:cs="方正仿宋_GBK"/>
          <w:sz w:val="30"/>
          <w:szCs w:val="30"/>
          <w:highlight w:val="none"/>
          <w:lang w:val="en-US" w:eastAsia="zh-CN"/>
        </w:rPr>
        <w:t>%。主要用于（支付职工住房保障；造成预决算差异的主要原因是人员职级晋升，住房公积金基数调整，导致实际支出大于预算。</w:t>
      </w:r>
    </w:p>
    <w:p w14:paraId="28B9F98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20.粮油物资储备（类）支出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0BD4E06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21.国有资本经营预算（类）支出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145566BF">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22.灾害防治及应急管理（类）支出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6DD03603">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23.其他（类）支出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4B89478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24.债务还本（类）支出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3A3E9D6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25.债务付息（类）支出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51513EC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26.抗疫特别国债安排（类）支出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元，占一般公共预算财政拨款总支出的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%，年初无此项预算，无支出。</w:t>
      </w:r>
    </w:p>
    <w:p w14:paraId="296AD1F0">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1"/>
        <w:rPr>
          <w:rFonts w:hint="eastAsia" w:ascii="Times New Roman" w:hAnsi="Times New Roman" w:eastAsia="黑体"/>
          <w:sz w:val="30"/>
          <w:szCs w:val="30"/>
          <w:highlight w:val="none"/>
        </w:rPr>
      </w:pPr>
      <w:r>
        <w:rPr>
          <w:rFonts w:hint="eastAsia" w:ascii="Times New Roman" w:hAnsi="Times New Roman" w:eastAsia="方正黑体_GBK" w:cs="方正黑体_GBK"/>
          <w:sz w:val="30"/>
          <w:szCs w:val="30"/>
          <w:highlight w:val="none"/>
          <w:lang w:val="en-US" w:eastAsia="zh-CN"/>
        </w:rPr>
        <w:t>四、</w:t>
      </w:r>
      <w:r>
        <w:rPr>
          <w:rFonts w:hint="eastAsia" w:ascii="Times New Roman" w:hAnsi="Times New Roman" w:eastAsia="方正黑体_GBK" w:cs="方正黑体_GBK"/>
          <w:sz w:val="30"/>
          <w:szCs w:val="30"/>
          <w:highlight w:val="none"/>
        </w:rPr>
        <w:t>财政拨款“三公”经费支出决算情况说明</w:t>
      </w:r>
    </w:p>
    <w:p w14:paraId="2208FF1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2624B99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2025年度财政拨款“三公”经费支出决算中，财政拨款“三公”经费支出年初预算为3,000.00元，决算为</w:t>
      </w:r>
      <w:r>
        <w:rPr>
          <w:rFonts w:hint="eastAsia" w:ascii="Times New Roman" w:hAnsi="Times New Roman" w:eastAsia="方正仿宋_GBK" w:cs="方正仿宋_GBK"/>
          <w:sz w:val="30"/>
          <w:szCs w:val="30"/>
          <w:highlight w:val="none"/>
          <w:lang w:val="zh-CN" w:eastAsia="zh-CN"/>
        </w:rPr>
        <w:t>2,419.00</w:t>
      </w:r>
      <w:r>
        <w:rPr>
          <w:rFonts w:hint="eastAsia" w:ascii="Times New Roman" w:hAnsi="Times New Roman" w:eastAsia="方正仿宋_GBK" w:cs="方正仿宋_GBK"/>
          <w:sz w:val="30"/>
          <w:szCs w:val="30"/>
          <w:highlight w:val="none"/>
          <w:lang w:val="en-US" w:eastAsia="zh-CN"/>
        </w:rPr>
        <w:t>元，完成年初预算的</w:t>
      </w:r>
      <w:r>
        <w:rPr>
          <w:rFonts w:hint="eastAsia" w:ascii="Times New Roman" w:hAnsi="Times New Roman" w:eastAsia="方正仿宋_GBK" w:cs="方正仿宋_GBK"/>
          <w:sz w:val="30"/>
          <w:szCs w:val="30"/>
          <w:highlight w:val="none"/>
          <w:lang w:val="zh-CN" w:eastAsia="zh-CN"/>
        </w:rPr>
        <w:t>80.63</w:t>
      </w:r>
      <w:r>
        <w:rPr>
          <w:rFonts w:hint="eastAsia" w:ascii="Times New Roman" w:hAnsi="Times New Roman" w:eastAsia="方正仿宋_GBK" w:cs="方正仿宋_GBK"/>
          <w:sz w:val="30"/>
          <w:szCs w:val="30"/>
          <w:highlight w:val="none"/>
          <w:lang w:val="en-US" w:eastAsia="zh-CN"/>
        </w:rPr>
        <w:t>%；支出决算较上年增加</w:t>
      </w:r>
      <w:r>
        <w:rPr>
          <w:rFonts w:hint="eastAsia" w:ascii="Times New Roman" w:hAnsi="Times New Roman" w:eastAsia="方正仿宋_GBK" w:cs="方正仿宋_GBK"/>
          <w:sz w:val="30"/>
          <w:szCs w:val="30"/>
          <w:highlight w:val="none"/>
          <w:lang w:val="zh-CN" w:eastAsia="zh-CN"/>
        </w:rPr>
        <w:t>129.00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5.63</w:t>
      </w:r>
      <w:r>
        <w:rPr>
          <w:rFonts w:hint="eastAsia" w:ascii="Times New Roman" w:hAnsi="Times New Roman" w:eastAsia="方正仿宋_GBK" w:cs="方正仿宋_GBK"/>
          <w:sz w:val="30"/>
          <w:szCs w:val="30"/>
          <w:highlight w:val="none"/>
          <w:lang w:val="en-US" w:eastAsia="zh-CN"/>
        </w:rPr>
        <w:t>%。</w:t>
      </w:r>
    </w:p>
    <w:p w14:paraId="7472F4B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因公出国（境）费用支出年初预算为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%，年初无预算安排；公务用车购置费支出年初预算为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%，年初无预算安排；公务用车运行维护费支出年初预算为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%，年初无预算安排；公务接待费支出年初预算为</w:t>
      </w:r>
      <w:r>
        <w:rPr>
          <w:rFonts w:hint="eastAsia" w:ascii="Times New Roman" w:hAnsi="Times New Roman" w:eastAsia="方正仿宋_GBK" w:cs="方正仿宋_GBK"/>
          <w:sz w:val="30"/>
          <w:szCs w:val="30"/>
          <w:highlight w:val="none"/>
          <w:lang w:val="zh-CN" w:eastAsia="zh-CN"/>
        </w:rPr>
        <w:t>3,000.00</w:t>
      </w:r>
      <w:r>
        <w:rPr>
          <w:rFonts w:hint="eastAsia" w:ascii="Times New Roman" w:hAnsi="Times New Roman" w:eastAsia="方正仿宋_GBK" w:cs="方正仿宋_GBK"/>
          <w:sz w:val="30"/>
          <w:szCs w:val="30"/>
          <w:highlight w:val="none"/>
          <w:lang w:val="en-US" w:eastAsia="zh-CN"/>
        </w:rPr>
        <w:t>元，决算为</w:t>
      </w:r>
      <w:r>
        <w:rPr>
          <w:rFonts w:hint="eastAsia" w:ascii="Times New Roman" w:hAnsi="Times New Roman" w:eastAsia="方正仿宋_GBK" w:cs="方正仿宋_GBK"/>
          <w:sz w:val="30"/>
          <w:szCs w:val="30"/>
          <w:highlight w:val="none"/>
          <w:lang w:val="zh-CN" w:eastAsia="zh-CN"/>
        </w:rPr>
        <w:t>2,419.00</w:t>
      </w:r>
      <w:r>
        <w:rPr>
          <w:rFonts w:hint="eastAsia" w:ascii="Times New Roman" w:hAnsi="Times New Roman" w:eastAsia="方正仿宋_GBK" w:cs="方正仿宋_GBK"/>
          <w:sz w:val="30"/>
          <w:szCs w:val="30"/>
          <w:highlight w:val="none"/>
          <w:lang w:val="en-US" w:eastAsia="zh-CN"/>
        </w:rPr>
        <w:t>元，占财政拨款“三公”经费总支出决算的</w:t>
      </w:r>
      <w:r>
        <w:rPr>
          <w:rFonts w:hint="eastAsia" w:ascii="Times New Roman" w:hAnsi="Times New Roman" w:eastAsia="方正仿宋_GBK" w:cs="方正仿宋_GBK"/>
          <w:sz w:val="30"/>
          <w:szCs w:val="30"/>
          <w:highlight w:val="none"/>
          <w:lang w:val="zh-CN" w:eastAsia="zh-CN"/>
        </w:rPr>
        <w:t>100.00</w:t>
      </w:r>
      <w:r>
        <w:rPr>
          <w:rFonts w:hint="eastAsia" w:ascii="Times New Roman" w:hAnsi="Times New Roman" w:eastAsia="方正仿宋_GBK" w:cs="方正仿宋_GBK"/>
          <w:sz w:val="30"/>
          <w:szCs w:val="30"/>
          <w:highlight w:val="none"/>
          <w:lang w:val="en-US" w:eastAsia="zh-CN"/>
        </w:rPr>
        <w:t>%，完成年初预算的</w:t>
      </w:r>
      <w:r>
        <w:rPr>
          <w:rFonts w:hint="eastAsia" w:ascii="Times New Roman" w:hAnsi="Times New Roman" w:eastAsia="方正仿宋_GBK" w:cs="方正仿宋_GBK"/>
          <w:sz w:val="30"/>
          <w:szCs w:val="30"/>
          <w:highlight w:val="none"/>
          <w:lang w:val="zh-CN" w:eastAsia="zh-CN"/>
        </w:rPr>
        <w:t>80.63</w:t>
      </w:r>
      <w:r>
        <w:rPr>
          <w:rFonts w:hint="eastAsia" w:ascii="Times New Roman" w:hAnsi="Times New Roman" w:eastAsia="方正仿宋_GBK" w:cs="方正仿宋_GBK"/>
          <w:sz w:val="30"/>
          <w:szCs w:val="30"/>
          <w:highlight w:val="none"/>
          <w:lang w:val="en-US" w:eastAsia="zh-CN"/>
        </w:rPr>
        <w:t>%。</w:t>
      </w:r>
    </w:p>
    <w:p w14:paraId="1593F8E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cs="仿宋_GB2312"/>
          <w:kern w:val="0"/>
          <w:sz w:val="30"/>
          <w:szCs w:val="30"/>
          <w:highlight w:val="none"/>
          <w:lang w:eastAsia="zh-CN"/>
        </w:rPr>
      </w:pPr>
      <w:r>
        <w:rPr>
          <w:rFonts w:hint="eastAsia" w:ascii="Times New Roman" w:hAnsi="Times New Roman" w:eastAsia="方正仿宋_GBK" w:cs="方正仿宋_GBK"/>
          <w:sz w:val="30"/>
          <w:szCs w:val="30"/>
          <w:highlight w:val="none"/>
          <w:lang w:val="en-US" w:eastAsia="zh-CN"/>
        </w:rPr>
        <w:t>因公出国（境）费用支出决算较上年增加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元，上年无此项支出；公务用车购置费支出决算较上年增加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元，上年无此项支出；公务用车运行维护费支出决算较上年增加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元，上年无此项支出；公务接待费支出决算较上年增加</w:t>
      </w:r>
      <w:r>
        <w:rPr>
          <w:rFonts w:hint="eastAsia" w:ascii="Times New Roman" w:hAnsi="Times New Roman" w:eastAsia="方正仿宋_GBK" w:cs="方正仿宋_GBK"/>
          <w:sz w:val="30"/>
          <w:szCs w:val="30"/>
          <w:highlight w:val="none"/>
          <w:lang w:val="zh-CN" w:eastAsia="zh-CN"/>
        </w:rPr>
        <w:t>129.00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5.63</w:t>
      </w:r>
      <w:r>
        <w:rPr>
          <w:rFonts w:hint="eastAsia" w:ascii="Times New Roman" w:hAnsi="Times New Roman" w:eastAsia="方正仿宋_GBK" w:cs="方正仿宋_GBK"/>
          <w:sz w:val="30"/>
          <w:szCs w:val="30"/>
          <w:highlight w:val="none"/>
          <w:lang w:val="en-US" w:eastAsia="zh-CN"/>
        </w:rPr>
        <w:t>%；具体是国内接待费支出决算</w:t>
      </w:r>
      <w:r>
        <w:rPr>
          <w:rFonts w:hint="eastAsia" w:ascii="Times New Roman" w:hAnsi="Times New Roman" w:eastAsia="方正仿宋_GBK" w:cs="方正仿宋_GBK"/>
          <w:sz w:val="30"/>
          <w:szCs w:val="30"/>
          <w:highlight w:val="none"/>
          <w:lang w:val="zh-CN" w:eastAsia="zh-CN"/>
        </w:rPr>
        <w:t>2,419.00</w:t>
      </w:r>
      <w:r>
        <w:rPr>
          <w:rFonts w:hint="eastAsia" w:ascii="Times New Roman" w:hAnsi="Times New Roman" w:eastAsia="方正仿宋_GBK" w:cs="方正仿宋_GBK"/>
          <w:sz w:val="30"/>
          <w:szCs w:val="30"/>
          <w:highlight w:val="none"/>
          <w:lang w:val="en-US" w:eastAsia="zh-CN"/>
        </w:rPr>
        <w:t>元（其中：外事接待费支出决算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129.00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5.63</w:t>
      </w:r>
      <w:r>
        <w:rPr>
          <w:rFonts w:hint="eastAsia" w:ascii="Times New Roman" w:hAnsi="Times New Roman" w:eastAsia="方正仿宋_GBK" w:cs="方正仿宋_GBK"/>
          <w:sz w:val="30"/>
          <w:szCs w:val="30"/>
          <w:highlight w:val="none"/>
          <w:lang w:val="en-US" w:eastAsia="zh-CN"/>
        </w:rPr>
        <w:t>%；国（境）外接待费支出决算</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元，较上年增加</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元，上年无此项支出。</w:t>
      </w:r>
    </w:p>
    <w:p w14:paraId="4FC1C20C">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楷体_GB2312"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27D505F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一般公共预算财政拨款“三公”经费支出年初预算为3,000.00元，支出决算为2,419.00元，完成年初预算的80.63%，支出决算较上年增加129.00</w:t>
      </w:r>
      <w:r>
        <w:rPr>
          <w:rFonts w:hint="eastAsia" w:ascii="Times New Roman" w:hAnsi="Times New Roman" w:eastAsia="方正仿宋_GBK" w:cs="方正仿宋_GBK"/>
          <w:sz w:val="30"/>
          <w:szCs w:val="30"/>
          <w:highlight w:val="none"/>
          <w:lang w:val="en-US" w:eastAsia="zh-CN"/>
        </w:rPr>
        <w:t>元，增长</w:t>
      </w:r>
      <w:r>
        <w:rPr>
          <w:rFonts w:hint="eastAsia" w:ascii="Times New Roman" w:hAnsi="Times New Roman" w:eastAsia="方正仿宋_GBK" w:cs="方正仿宋_GBK"/>
          <w:sz w:val="30"/>
          <w:szCs w:val="30"/>
          <w:highlight w:val="none"/>
          <w:lang w:val="zh-CN" w:eastAsia="zh-CN"/>
        </w:rPr>
        <w:t>5.63</w:t>
      </w:r>
      <w:r>
        <w:rPr>
          <w:rFonts w:hint="eastAsia" w:ascii="Times New Roman" w:hAnsi="Times New Roman" w:eastAsia="方正仿宋_GBK" w:cs="方正仿宋_GBK"/>
          <w:sz w:val="30"/>
          <w:szCs w:val="30"/>
          <w:highlight w:val="none"/>
          <w:lang w:val="en-US" w:eastAsia="zh-CN"/>
        </w:rPr>
        <w:t>%。</w:t>
      </w:r>
    </w:p>
    <w:p w14:paraId="6C6B2A0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zh-CN" w:eastAsia="zh-CN"/>
        </w:rPr>
        <w:t>一般公共预算财政拨款“三公”经费支出中：因公出国（境）费用支出年初预算为0.00元，决算为0.00元，年初无预算安排；公务用车购置费支出年初预算为0.00元，决算为0.00元，年初无预算安排；公务用车运行维护费支出年初预算为0.00元，决算为0.00元，年初无预算安排；公务接待费支出年初预算为3,000.00元，决算为2,419.00元，完成年初预算的80.63%。</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一般公共预算财政拨款“三公”经费支出决算数小于年初预算数的主要原因是</w:t>
      </w:r>
      <w:r>
        <w:rPr>
          <w:rFonts w:hint="eastAsia" w:ascii="Times New Roman" w:hAnsi="Times New Roman" w:eastAsia="方正仿宋_GBK" w:cs="方正仿宋_GBK"/>
          <w:sz w:val="30"/>
          <w:szCs w:val="30"/>
          <w:highlight w:val="none"/>
          <w:lang w:val="en-US" w:eastAsia="zh-CN"/>
        </w:rPr>
        <w:t>2025年厉行节约，控制费用支出。</w:t>
      </w:r>
    </w:p>
    <w:p w14:paraId="75FB0DA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一般公共预算财政拨款“三公”经费支出中：因公出国（境）费用支出决算增加0.00元，上年无此项支出；公务用车购置费支出决算增加0.00元，上年无此项支出；公务用车运行维护费支出决算增加0.00元，上年无此项支出；公务接待费支出决算增加129.00元，增长5.63%，具体是国内接待费支出决算2,419.00元（其中：外事接待费支出决算0.00元），较上年增加</w:t>
      </w:r>
      <w:r>
        <w:rPr>
          <w:rFonts w:hint="eastAsia" w:ascii="Times New Roman" w:hAnsi="Times New Roman" w:eastAsia="方正仿宋_GBK" w:cs="方正仿宋_GBK"/>
          <w:sz w:val="30"/>
          <w:szCs w:val="30"/>
          <w:highlight w:val="none"/>
          <w:lang w:val="en-US" w:eastAsia="zh-CN"/>
        </w:rPr>
        <w:t>129元，增长5.63%；</w:t>
      </w:r>
      <w:r>
        <w:rPr>
          <w:rFonts w:hint="eastAsia" w:ascii="Times New Roman" w:hAnsi="Times New Roman" w:eastAsia="方正仿宋_GBK" w:cs="方正仿宋_GBK"/>
          <w:sz w:val="30"/>
          <w:szCs w:val="30"/>
          <w:highlight w:val="none"/>
          <w:lang w:val="zh-CN" w:eastAsia="zh-CN"/>
        </w:rPr>
        <w:t>国（境）外接待费支出决算0.00元较上年增加</w:t>
      </w:r>
      <w:r>
        <w:rPr>
          <w:rFonts w:hint="eastAsia" w:ascii="Times New Roman" w:hAnsi="Times New Roman" w:eastAsia="方正仿宋_GBK" w:cs="方正仿宋_GBK"/>
          <w:sz w:val="30"/>
          <w:szCs w:val="30"/>
          <w:highlight w:val="none"/>
          <w:lang w:val="en-US" w:eastAsia="zh-CN"/>
        </w:rPr>
        <w:t>0.00元，</w:t>
      </w:r>
      <w:r>
        <w:rPr>
          <w:rFonts w:hint="eastAsia" w:ascii="Times New Roman" w:hAnsi="Times New Roman" w:eastAsia="方正仿宋_GBK" w:cs="方正仿宋_GBK"/>
          <w:sz w:val="30"/>
          <w:szCs w:val="30"/>
          <w:highlight w:val="none"/>
          <w:lang w:val="zh-CN" w:eastAsia="zh-CN"/>
        </w:rPr>
        <w:t>上年无此项支出。</w:t>
      </w:r>
      <w:r>
        <w:rPr>
          <w:rFonts w:hint="eastAsia" w:ascii="Times New Roman" w:hAnsi="Times New Roman" w:eastAsia="方正仿宋_GBK" w:cs="方正仿宋_GBK"/>
          <w:sz w:val="30"/>
          <w:szCs w:val="30"/>
          <w:highlight w:val="none"/>
          <w:lang w:val="en-US" w:eastAsia="zh-CN"/>
        </w:rPr>
        <w:t>2025年度</w:t>
      </w:r>
      <w:r>
        <w:rPr>
          <w:rFonts w:hint="eastAsia" w:ascii="Times New Roman" w:hAnsi="Times New Roman" w:eastAsia="方正仿宋_GBK" w:cs="方正仿宋_GBK"/>
          <w:sz w:val="30"/>
          <w:szCs w:val="30"/>
          <w:highlight w:val="none"/>
          <w:lang w:val="zh-CN" w:eastAsia="zh-CN"/>
        </w:rPr>
        <w:t>一般公共预算财政拨款“三公”经费支出决算增加的主要原因是</w:t>
      </w:r>
      <w:r>
        <w:rPr>
          <w:rFonts w:hint="eastAsia" w:ascii="Times New Roman" w:hAnsi="Times New Roman" w:eastAsia="方正仿宋_GBK" w:cs="方正仿宋_GBK"/>
          <w:sz w:val="30"/>
          <w:szCs w:val="30"/>
          <w:highlight w:val="none"/>
          <w:lang w:val="en-US" w:eastAsia="zh-CN"/>
        </w:rPr>
        <w:t>2025年年初报销2024年已经发生的公务接待费</w:t>
      </w:r>
      <w:r>
        <w:rPr>
          <w:rFonts w:hint="eastAsia" w:ascii="Times New Roman" w:hAnsi="Times New Roman" w:eastAsia="方正仿宋_GBK" w:cs="方正仿宋_GBK"/>
          <w:sz w:val="30"/>
          <w:szCs w:val="30"/>
          <w:highlight w:val="none"/>
          <w:lang w:val="zh-CN" w:eastAsia="zh-CN"/>
        </w:rPr>
        <w:t>。</w:t>
      </w:r>
    </w:p>
    <w:p w14:paraId="73DAA0E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一般公共预算财政拨款“三公”经费支出实物量的具体情况：</w:t>
      </w:r>
    </w:p>
    <w:p w14:paraId="28AE9BEA">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1.安排因公出国（境）团组0个，累计0人次。</w:t>
      </w:r>
      <w:r>
        <w:rPr>
          <w:rFonts w:hint="eastAsia" w:ascii="Times New Roman" w:hAnsi="Times New Roman" w:eastAsia="方正仿宋_GBK" w:cs="方正仿宋_GBK"/>
          <w:sz w:val="30"/>
          <w:szCs w:val="30"/>
          <w:highlight w:val="none"/>
          <w:lang w:val="en-US" w:eastAsia="zh-CN"/>
        </w:rPr>
        <w:t>华宁县红十字会无此事项</w:t>
      </w:r>
      <w:r>
        <w:rPr>
          <w:rFonts w:hint="eastAsia" w:ascii="Times New Roman" w:hAnsi="Times New Roman" w:eastAsia="方正仿宋_GBK" w:cs="方正仿宋_GBK"/>
          <w:sz w:val="30"/>
          <w:szCs w:val="30"/>
          <w:highlight w:val="none"/>
          <w:lang w:val="zh-CN" w:eastAsia="zh-CN"/>
        </w:rPr>
        <w:t>。</w:t>
      </w:r>
    </w:p>
    <w:p w14:paraId="2F68BE0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2.购置车辆0辆。</w:t>
      </w:r>
      <w:r>
        <w:rPr>
          <w:rFonts w:hint="eastAsia" w:ascii="Times New Roman" w:hAnsi="Times New Roman" w:eastAsia="方正仿宋_GBK" w:cs="方正仿宋_GBK"/>
          <w:sz w:val="30"/>
          <w:szCs w:val="30"/>
          <w:highlight w:val="none"/>
          <w:lang w:val="en-US" w:eastAsia="zh-CN"/>
        </w:rPr>
        <w:t>华宁县红十字会无此事项</w:t>
      </w:r>
      <w:r>
        <w:rPr>
          <w:rFonts w:hint="eastAsia" w:ascii="Times New Roman" w:hAnsi="Times New Roman" w:eastAsia="方正仿宋_GBK" w:cs="方正仿宋_GBK"/>
          <w:sz w:val="30"/>
          <w:szCs w:val="30"/>
          <w:highlight w:val="none"/>
          <w:lang w:val="zh-CN" w:eastAsia="zh-CN"/>
        </w:rPr>
        <w:t>。开支一般公共预算财政拨款的公务用车保有量为0辆。</w:t>
      </w:r>
      <w:r>
        <w:rPr>
          <w:rFonts w:hint="eastAsia" w:ascii="Times New Roman" w:hAnsi="Times New Roman" w:eastAsia="方正仿宋_GBK" w:cs="方正仿宋_GBK"/>
          <w:sz w:val="30"/>
          <w:szCs w:val="30"/>
          <w:highlight w:val="none"/>
          <w:lang w:val="en-US" w:eastAsia="zh-CN"/>
        </w:rPr>
        <w:t>华宁县红十字会无此事项</w:t>
      </w:r>
      <w:r>
        <w:rPr>
          <w:rFonts w:hint="eastAsia" w:ascii="Times New Roman" w:hAnsi="Times New Roman" w:eastAsia="方正仿宋_GBK" w:cs="方正仿宋_GBK"/>
          <w:sz w:val="30"/>
          <w:szCs w:val="30"/>
          <w:highlight w:val="none"/>
          <w:lang w:val="zh-CN" w:eastAsia="zh-CN"/>
        </w:rPr>
        <w:t>。</w:t>
      </w:r>
    </w:p>
    <w:p w14:paraId="34B1C8FD">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3.安排国内公务接待5批次（其中：外事接待0批次），接待人次47人（其中：外事接待人次0人）。主要用于乡村振兴、红十字事业发展发生的接待支出。安排国（境）外公务接待0批次，接待人次0人。</w:t>
      </w:r>
      <w:r>
        <w:rPr>
          <w:rFonts w:hint="eastAsia" w:ascii="Times New Roman" w:hAnsi="Times New Roman" w:eastAsia="方正仿宋_GBK" w:cs="方正仿宋_GBK"/>
          <w:sz w:val="30"/>
          <w:szCs w:val="30"/>
          <w:highlight w:val="none"/>
          <w:lang w:val="en-US" w:eastAsia="zh-CN"/>
        </w:rPr>
        <w:t>华宁县红十字会无此事项</w:t>
      </w:r>
      <w:r>
        <w:rPr>
          <w:rFonts w:hint="eastAsia" w:ascii="Times New Roman" w:hAnsi="Times New Roman" w:eastAsia="方正仿宋_GBK" w:cs="方正仿宋_GBK"/>
          <w:sz w:val="30"/>
          <w:szCs w:val="30"/>
          <w:highlight w:val="none"/>
          <w:lang w:val="zh-CN" w:eastAsia="zh-CN"/>
        </w:rPr>
        <w:t>。</w:t>
      </w:r>
    </w:p>
    <w:p w14:paraId="57E9F17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22472780">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仿宋_GB2312"/>
          <w:sz w:val="30"/>
          <w:szCs w:val="30"/>
          <w:highlight w:val="none"/>
          <w:lang w:eastAsia="zh-CN"/>
        </w:rPr>
      </w:pPr>
      <w:r>
        <w:rPr>
          <w:rFonts w:hint="eastAsia" w:ascii="Times New Roman" w:hAnsi="Times New Roman" w:eastAsia="方正仿宋_GBK" w:cs="方正仿宋_GBK"/>
          <w:sz w:val="30"/>
          <w:szCs w:val="30"/>
          <w:highlight w:val="none"/>
          <w:lang w:val="zh-CN" w:eastAsia="zh-CN"/>
        </w:rPr>
        <w:t>不存在需要说明的事项。</w:t>
      </w:r>
    </w:p>
    <w:p w14:paraId="33A4083E">
      <w:pPr>
        <w:keepNext w:val="0"/>
        <w:keepLines w:val="0"/>
        <w:pageBreakBefore w:val="0"/>
        <w:widowControl/>
        <w:kinsoku/>
        <w:wordWrap/>
        <w:overflowPunct/>
        <w:topLinePunct w:val="0"/>
        <w:autoSpaceDE/>
        <w:bidi w:val="0"/>
        <w:adjustRightInd/>
        <w:snapToGrid w:val="0"/>
        <w:spacing w:before="100" w:after="100" w:line="590" w:lineRule="exact"/>
        <w:jc w:val="center"/>
        <w:textAlignment w:val="auto"/>
        <w:outlineLvl w:val="0"/>
        <w:rPr>
          <w:rFonts w:hint="eastAsia" w:ascii="Times New Roman" w:hAnsi="Times New Roman" w:eastAsia="仿宋_GB2312"/>
          <w:sz w:val="32"/>
          <w:szCs w:val="32"/>
          <w:highlight w:val="none"/>
        </w:rPr>
      </w:pPr>
      <w:r>
        <w:rPr>
          <w:rFonts w:hint="eastAsia" w:ascii="Times New Roman" w:hAnsi="Times New Roman" w:eastAsia="方正黑体_GBK" w:cs="方正黑体_GBK"/>
          <w:sz w:val="32"/>
          <w:szCs w:val="32"/>
          <w:highlight w:val="none"/>
        </w:rPr>
        <w:t>第四部分  其他重要事项及相关口径情况说明</w:t>
      </w:r>
    </w:p>
    <w:p w14:paraId="7F8B2F39">
      <w:pPr>
        <w:keepNext w:val="0"/>
        <w:keepLines w:val="0"/>
        <w:pageBreakBefore w:val="0"/>
        <w:widowControl/>
        <w:kinsoku/>
        <w:wordWrap/>
        <w:overflowPunct/>
        <w:topLinePunct w:val="0"/>
        <w:autoSpaceDE/>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一、机关运行经费支出情况</w:t>
      </w:r>
    </w:p>
    <w:p w14:paraId="464596A3">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highlight w:val="none"/>
          <w:lang w:val="zh-CN" w:eastAsia="zh-CN"/>
        </w:rPr>
      </w:pP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2025年机关运行经费支出85,353.05元，比上年增加10,083.05元，增长</w:t>
      </w:r>
      <w:r>
        <w:rPr>
          <w:rFonts w:hint="eastAsia" w:ascii="Times New Roman" w:hAnsi="Times New Roman" w:eastAsia="方正仿宋_GBK" w:cs="方正仿宋_GBK"/>
          <w:sz w:val="30"/>
          <w:szCs w:val="30"/>
          <w:highlight w:val="none"/>
          <w:lang w:val="zh-CN" w:eastAsia="zh-CN"/>
        </w:rPr>
        <w:t>13.40</w:t>
      </w:r>
      <w:r>
        <w:rPr>
          <w:rFonts w:hint="eastAsia" w:ascii="Times New Roman" w:hAnsi="Times New Roman" w:eastAsia="方正仿宋_GBK" w:cs="方正仿宋_GBK"/>
          <w:sz w:val="30"/>
          <w:szCs w:val="30"/>
          <w:highlight w:val="none"/>
          <w:lang w:val="en-US" w:eastAsia="zh-CN"/>
        </w:rPr>
        <w:t>%,主要原因</w:t>
      </w:r>
      <w:r>
        <w:rPr>
          <w:rFonts w:hint="default" w:ascii="Times New Roman" w:hAnsi="Times New Roman" w:eastAsia="方正仿宋_GBK" w:cs="方正仿宋_GBK"/>
          <w:sz w:val="30"/>
          <w:szCs w:val="30"/>
          <w:highlight w:val="none"/>
          <w:lang w:val="zh-CN" w:eastAsia="zh-CN"/>
        </w:rPr>
        <w:t>员2025年用福利费支付节日慰问</w:t>
      </w:r>
      <w:r>
        <w:rPr>
          <w:rFonts w:hint="eastAsia" w:ascii="Times New Roman" w:hAnsi="Times New Roman" w:eastAsia="方正仿宋_GBK" w:cs="方正仿宋_GBK"/>
          <w:sz w:val="30"/>
          <w:szCs w:val="30"/>
          <w:highlight w:val="none"/>
          <w:lang w:val="en-US" w:eastAsia="zh-CN"/>
        </w:rPr>
        <w:t>及体检</w:t>
      </w:r>
      <w:r>
        <w:rPr>
          <w:rFonts w:hint="eastAsia" w:ascii="Times New Roman" w:hAnsi="Times New Roman" w:eastAsia="方正仿宋_GBK" w:cs="方正仿宋_GBK"/>
          <w:sz w:val="30"/>
          <w:szCs w:val="30"/>
          <w:highlight w:val="none"/>
          <w:lang w:val="zh-CN" w:eastAsia="zh-CN"/>
        </w:rPr>
        <w:t>，</w:t>
      </w:r>
      <w:r>
        <w:rPr>
          <w:rFonts w:hint="default" w:ascii="Times New Roman" w:hAnsi="Times New Roman" w:eastAsia="方正仿宋_GBK" w:cs="方正仿宋_GBK"/>
          <w:sz w:val="30"/>
          <w:szCs w:val="30"/>
          <w:highlight w:val="none"/>
          <w:lang w:val="zh-CN" w:eastAsia="zh-CN"/>
        </w:rPr>
        <w:t>导致公用经费支出增加。部门机关运行经费主要用于机构正常运转所需的办公费2</w:t>
      </w:r>
      <w:r>
        <w:rPr>
          <w:rFonts w:hint="eastAsia" w:ascii="Times New Roman" w:hAnsi="Times New Roman" w:eastAsia="方正仿宋_GBK" w:cs="方正仿宋_GBK"/>
          <w:sz w:val="30"/>
          <w:szCs w:val="30"/>
          <w:highlight w:val="none"/>
          <w:lang w:val="zh-CN" w:eastAsia="zh-CN"/>
        </w:rPr>
        <w:t>1,570.</w:t>
      </w:r>
      <w:r>
        <w:rPr>
          <w:rFonts w:hint="default" w:ascii="Times New Roman" w:hAnsi="Times New Roman" w:eastAsia="方正仿宋_GBK" w:cs="方正仿宋_GBK"/>
          <w:sz w:val="30"/>
          <w:szCs w:val="30"/>
          <w:highlight w:val="none"/>
          <w:lang w:val="zh-CN" w:eastAsia="zh-CN"/>
        </w:rPr>
        <w:t>5</w:t>
      </w:r>
      <w:r>
        <w:rPr>
          <w:rFonts w:hint="eastAsia" w:ascii="Times New Roman" w:hAnsi="Times New Roman" w:eastAsia="方正仿宋_GBK" w:cs="方正仿宋_GBK"/>
          <w:sz w:val="30"/>
          <w:szCs w:val="30"/>
          <w:highlight w:val="none"/>
          <w:lang w:val="en-US" w:eastAsia="zh-CN"/>
        </w:rPr>
        <w:t>0</w:t>
      </w:r>
      <w:r>
        <w:rPr>
          <w:rFonts w:hint="default" w:ascii="Times New Roman" w:hAnsi="Times New Roman" w:eastAsia="方正仿宋_GBK" w:cs="方正仿宋_GBK"/>
          <w:sz w:val="30"/>
          <w:szCs w:val="30"/>
          <w:highlight w:val="none"/>
          <w:lang w:val="zh-CN" w:eastAsia="zh-CN"/>
        </w:rPr>
        <w:t>元、邮电费</w:t>
      </w:r>
      <w:r>
        <w:rPr>
          <w:rFonts w:hint="eastAsia" w:ascii="Times New Roman" w:hAnsi="Times New Roman" w:eastAsia="方正仿宋_GBK" w:cs="方正仿宋_GBK"/>
          <w:sz w:val="30"/>
          <w:szCs w:val="30"/>
          <w:highlight w:val="none"/>
          <w:lang w:val="zh-CN" w:eastAsia="zh-CN"/>
        </w:rPr>
        <w:t>1,493.</w:t>
      </w:r>
      <w:r>
        <w:rPr>
          <w:rFonts w:hint="default" w:ascii="Times New Roman" w:hAnsi="Times New Roman" w:eastAsia="方正仿宋_GBK" w:cs="方正仿宋_GBK"/>
          <w:sz w:val="30"/>
          <w:szCs w:val="30"/>
          <w:highlight w:val="none"/>
          <w:lang w:val="zh-CN" w:eastAsia="zh-CN"/>
        </w:rPr>
        <w:t>55元、培训费</w:t>
      </w:r>
      <w:r>
        <w:rPr>
          <w:rFonts w:hint="eastAsia" w:ascii="Times New Roman" w:hAnsi="Times New Roman" w:eastAsia="方正仿宋_GBK" w:cs="方正仿宋_GBK"/>
          <w:sz w:val="30"/>
          <w:szCs w:val="30"/>
          <w:highlight w:val="none"/>
          <w:lang w:val="zh-CN" w:eastAsia="zh-CN"/>
        </w:rPr>
        <w:t>5,000.</w:t>
      </w:r>
      <w:r>
        <w:rPr>
          <w:rFonts w:hint="eastAsia" w:ascii="Times New Roman" w:hAnsi="Times New Roman" w:eastAsia="方正仿宋_GBK" w:cs="方正仿宋_GBK"/>
          <w:sz w:val="30"/>
          <w:szCs w:val="30"/>
          <w:highlight w:val="none"/>
          <w:lang w:val="en-US" w:eastAsia="zh-CN"/>
        </w:rPr>
        <w:t>00</w:t>
      </w:r>
      <w:r>
        <w:rPr>
          <w:rFonts w:hint="default" w:ascii="Times New Roman" w:hAnsi="Times New Roman" w:eastAsia="方正仿宋_GBK" w:cs="方正仿宋_GBK"/>
          <w:sz w:val="30"/>
          <w:szCs w:val="30"/>
          <w:highlight w:val="none"/>
          <w:lang w:val="zh-CN" w:eastAsia="zh-CN"/>
        </w:rPr>
        <w:t>元、公务接待费</w:t>
      </w:r>
      <w:r>
        <w:rPr>
          <w:rFonts w:hint="eastAsia" w:ascii="Times New Roman" w:hAnsi="Times New Roman" w:eastAsia="方正仿宋_GBK" w:cs="方正仿宋_GBK"/>
          <w:sz w:val="30"/>
          <w:szCs w:val="30"/>
          <w:highlight w:val="none"/>
          <w:lang w:val="zh-CN" w:eastAsia="zh-CN"/>
        </w:rPr>
        <w:t>2,419.</w:t>
      </w:r>
      <w:r>
        <w:rPr>
          <w:rFonts w:hint="eastAsia" w:ascii="Times New Roman" w:hAnsi="Times New Roman" w:eastAsia="方正仿宋_GBK" w:cs="方正仿宋_GBK"/>
          <w:sz w:val="30"/>
          <w:szCs w:val="30"/>
          <w:highlight w:val="none"/>
          <w:lang w:val="en-US" w:eastAsia="zh-CN"/>
        </w:rPr>
        <w:t>00</w:t>
      </w:r>
      <w:r>
        <w:rPr>
          <w:rFonts w:hint="default" w:ascii="Times New Roman" w:hAnsi="Times New Roman" w:eastAsia="方正仿宋_GBK" w:cs="方正仿宋_GBK"/>
          <w:sz w:val="30"/>
          <w:szCs w:val="30"/>
          <w:highlight w:val="none"/>
          <w:lang w:val="zh-CN" w:eastAsia="zh-CN"/>
        </w:rPr>
        <w:t>元、工会经费320</w:t>
      </w:r>
      <w:r>
        <w:rPr>
          <w:rFonts w:hint="eastAsia" w:ascii="Times New Roman" w:hAnsi="Times New Roman" w:eastAsia="方正仿宋_GBK" w:cs="方正仿宋_GBK"/>
          <w:sz w:val="30"/>
          <w:szCs w:val="30"/>
          <w:highlight w:val="none"/>
          <w:lang w:val="en-US" w:eastAsia="zh-CN"/>
        </w:rPr>
        <w:t>.00</w:t>
      </w:r>
      <w:r>
        <w:rPr>
          <w:rFonts w:hint="default" w:ascii="Times New Roman" w:hAnsi="Times New Roman" w:eastAsia="方正仿宋_GBK" w:cs="方正仿宋_GBK"/>
          <w:sz w:val="30"/>
          <w:szCs w:val="30"/>
          <w:highlight w:val="none"/>
          <w:lang w:val="zh-CN" w:eastAsia="zh-CN"/>
        </w:rPr>
        <w:t>元、</w:t>
      </w:r>
      <w:r>
        <w:rPr>
          <w:rFonts w:hint="eastAsia" w:ascii="Times New Roman" w:hAnsi="Times New Roman" w:eastAsia="方正仿宋_GBK" w:cs="方正仿宋_GBK"/>
          <w:sz w:val="30"/>
          <w:szCs w:val="30"/>
          <w:highlight w:val="none"/>
          <w:lang w:val="en-US" w:eastAsia="zh-CN"/>
        </w:rPr>
        <w:t>福利费10,000.00元、</w:t>
      </w:r>
      <w:r>
        <w:rPr>
          <w:rFonts w:hint="default" w:ascii="Times New Roman" w:hAnsi="Times New Roman" w:eastAsia="方正仿宋_GBK" w:cs="方正仿宋_GBK"/>
          <w:sz w:val="30"/>
          <w:szCs w:val="30"/>
          <w:highlight w:val="none"/>
          <w:lang w:val="zh-CN" w:eastAsia="zh-CN"/>
        </w:rPr>
        <w:t>其他交通费用4</w:t>
      </w:r>
      <w:r>
        <w:rPr>
          <w:rFonts w:hint="eastAsia" w:ascii="Times New Roman" w:hAnsi="Times New Roman" w:eastAsia="方正仿宋_GBK" w:cs="方正仿宋_GBK"/>
          <w:sz w:val="30"/>
          <w:szCs w:val="30"/>
          <w:highlight w:val="none"/>
          <w:lang w:val="zh-CN" w:eastAsia="zh-CN"/>
        </w:rPr>
        <w:t>4,550.</w:t>
      </w:r>
      <w:r>
        <w:rPr>
          <w:rFonts w:hint="eastAsia" w:ascii="Times New Roman" w:hAnsi="Times New Roman" w:eastAsia="方正仿宋_GBK" w:cs="方正仿宋_GBK"/>
          <w:sz w:val="30"/>
          <w:szCs w:val="30"/>
          <w:highlight w:val="none"/>
          <w:lang w:val="en-US" w:eastAsia="zh-CN"/>
        </w:rPr>
        <w:t>00</w:t>
      </w:r>
      <w:r>
        <w:rPr>
          <w:rFonts w:hint="default" w:ascii="Times New Roman" w:hAnsi="Times New Roman" w:eastAsia="方正仿宋_GBK" w:cs="方正仿宋_GBK"/>
          <w:sz w:val="30"/>
          <w:szCs w:val="30"/>
          <w:highlight w:val="none"/>
          <w:lang w:val="zh-CN" w:eastAsia="zh-CN"/>
        </w:rPr>
        <w:t>元</w:t>
      </w:r>
      <w:r>
        <w:rPr>
          <w:rFonts w:hint="eastAsia" w:ascii="Times New Roman" w:hAnsi="Times New Roman" w:eastAsia="方正仿宋_GBK" w:cs="方正仿宋_GBK"/>
          <w:sz w:val="30"/>
          <w:szCs w:val="30"/>
          <w:highlight w:val="none"/>
          <w:lang w:val="zh-CN" w:eastAsia="zh-CN"/>
        </w:rPr>
        <w:t>。</w:t>
      </w:r>
    </w:p>
    <w:p w14:paraId="6340A7AB">
      <w:pPr>
        <w:keepNext w:val="0"/>
        <w:keepLines w:val="0"/>
        <w:pageBreakBefore w:val="0"/>
        <w:widowControl/>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黑体" w:cs="黑体"/>
          <w:sz w:val="30"/>
          <w:szCs w:val="30"/>
          <w:highlight w:val="none"/>
          <w:lang w:eastAsia="zh-CN"/>
        </w:rPr>
      </w:pPr>
      <w:r>
        <w:rPr>
          <w:rFonts w:hint="eastAsia" w:ascii="Times New Roman" w:hAnsi="Times New Roman" w:eastAsia="方正黑体_GBK" w:cs="方正黑体_GBK"/>
          <w:sz w:val="30"/>
          <w:szCs w:val="30"/>
          <w:highlight w:val="none"/>
          <w:lang w:val="en-US" w:eastAsia="zh-CN"/>
        </w:rPr>
        <w:t>二、</w:t>
      </w:r>
      <w:r>
        <w:rPr>
          <w:rFonts w:hint="eastAsia" w:ascii="Times New Roman" w:hAnsi="Times New Roman" w:eastAsia="方正黑体_GBK" w:cs="方正黑体_GBK"/>
          <w:sz w:val="30"/>
          <w:szCs w:val="30"/>
          <w:highlight w:val="none"/>
          <w:lang w:eastAsia="zh-CN"/>
        </w:rPr>
        <w:t>国有资产占用情况</w:t>
      </w:r>
    </w:p>
    <w:p w14:paraId="2AAD7DE0">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截至2025年末，</w:t>
      </w:r>
      <w:r>
        <w:rPr>
          <w:rFonts w:hint="eastAsia" w:ascii="Times New Roman" w:hAnsi="Times New Roman" w:eastAsia="方正仿宋_GBK" w:cs="方正仿宋_GBK"/>
          <w:sz w:val="30"/>
          <w:szCs w:val="30"/>
          <w:highlight w:val="none"/>
          <w:lang w:val="zh-CN" w:eastAsia="zh-CN"/>
        </w:rPr>
        <w:t>华宁县红十字会</w:t>
      </w:r>
      <w:r>
        <w:rPr>
          <w:rFonts w:hint="eastAsia" w:ascii="Times New Roman" w:hAnsi="Times New Roman" w:eastAsia="方正仿宋_GBK" w:cs="方正仿宋_GBK"/>
          <w:sz w:val="30"/>
          <w:szCs w:val="30"/>
          <w:highlight w:val="none"/>
          <w:lang w:val="en-US" w:eastAsia="zh-CN"/>
        </w:rPr>
        <w:t>资产总额20,771.94元，其中，流动资产2,860.54元，固定资产17,911.40元（净值），对外投资及有价证券0.00元，在建工程0.00元，无形资产0.00元（净值），其他资产0.00元（净值）（具体内容详见附表）。与上年相比，本年资产总额减少27,798.95元，其中固定资产减少6,840.13元。处置房屋建筑物0.00平方米，账面原值0.00元；处置车辆0辆，账面原值0.00元；报废报损资产0项，账面原值0.00元，实现资产处置收入0.00元；出租房屋0.00平方米，账面原值0.00元，实现资产使用收入0.00元。</w:t>
      </w:r>
    </w:p>
    <w:p w14:paraId="650B59EC">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仿宋_GB2312" w:cs="仿宋_GB2312"/>
          <w:color w:val="000000"/>
          <w:kern w:val="0"/>
          <w:sz w:val="30"/>
          <w:szCs w:val="30"/>
          <w:highlight w:val="none"/>
          <w:lang w:eastAsia="zh-CN"/>
        </w:rPr>
      </w:pPr>
      <w:r>
        <w:rPr>
          <w:rFonts w:hint="eastAsia" w:ascii="Times New Roman" w:hAnsi="Times New Roman" w:eastAsia="方正仿宋_GBK" w:cs="方正仿宋_GBK"/>
          <w:sz w:val="30"/>
          <w:szCs w:val="30"/>
          <w:highlight w:val="none"/>
          <w:lang w:val="en-US" w:eastAsia="zh-CN"/>
        </w:rPr>
        <w:t>（国有资产占有使用情况表详见附表）</w:t>
      </w:r>
    </w:p>
    <w:p w14:paraId="57E940CA">
      <w:pPr>
        <w:keepNext w:val="0"/>
        <w:keepLines w:val="0"/>
        <w:pageBreakBefore w:val="0"/>
        <w:widowControl/>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黑体" w:cs="黑体"/>
          <w:sz w:val="30"/>
          <w:szCs w:val="30"/>
          <w:highlight w:val="none"/>
        </w:rPr>
      </w:pPr>
      <w:r>
        <w:rPr>
          <w:rFonts w:hint="eastAsia" w:ascii="Times New Roman" w:hAnsi="Times New Roman" w:eastAsia="方正黑体_GBK" w:cs="方正黑体_GBK"/>
          <w:sz w:val="30"/>
          <w:szCs w:val="30"/>
          <w:highlight w:val="none"/>
          <w:lang w:val="en-US" w:eastAsia="zh-CN"/>
        </w:rPr>
        <w:t>三、政府采购支出情况</w:t>
      </w:r>
    </w:p>
    <w:p w14:paraId="174ACF49">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2025年度，部门政府采购支出总额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元，其中：政府采购货物支出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元；政府采购工程支出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元；政府采购服务支出</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元。授予中小企业合同金额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元，其中：授予小微企业合同金额</w:t>
      </w:r>
      <w:r>
        <w:rPr>
          <w:rFonts w:hint="eastAsia" w:ascii="Times New Roman" w:hAnsi="Times New Roman" w:eastAsia="方正仿宋_GBK" w:cs="方正仿宋_GBK"/>
          <w:sz w:val="30"/>
          <w:szCs w:val="30"/>
          <w:highlight w:val="none"/>
          <w:lang w:val="zh-CN" w:eastAsia="zh-CN"/>
        </w:rPr>
        <w:t>0.00</w:t>
      </w:r>
      <w:r>
        <w:rPr>
          <w:rFonts w:hint="eastAsia" w:ascii="Times New Roman" w:hAnsi="Times New Roman" w:eastAsia="方正仿宋_GBK" w:cs="方正仿宋_GBK"/>
          <w:sz w:val="30"/>
          <w:szCs w:val="30"/>
          <w:highlight w:val="none"/>
          <w:lang w:val="en-US" w:eastAsia="zh-CN"/>
        </w:rPr>
        <w:t>元。（以上“政府采购工程支出”不包括适用《中华人民共和国招标投标法》的“政府采购工程项目”支出情况）。</w:t>
      </w:r>
    </w:p>
    <w:p w14:paraId="5E62AF54">
      <w:pPr>
        <w:keepNext w:val="0"/>
        <w:keepLines w:val="0"/>
        <w:pageBreakBefore w:val="0"/>
        <w:widowControl/>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四、部门绩效自评情况</w:t>
      </w:r>
    </w:p>
    <w:p w14:paraId="2084BD6C">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部门绩效自评情况详见附表。</w:t>
      </w:r>
    </w:p>
    <w:p w14:paraId="77586B86">
      <w:pPr>
        <w:keepNext w:val="0"/>
        <w:keepLines w:val="0"/>
        <w:pageBreakBefore w:val="0"/>
        <w:widowControl/>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五、其他重要事项情况说明</w:t>
      </w:r>
    </w:p>
    <w:p w14:paraId="569C3312">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val="en-US" w:eastAsia="zh-CN"/>
        </w:rPr>
      </w:pPr>
      <w:r>
        <w:rPr>
          <w:rFonts w:hint="eastAsia" w:ascii="Times New Roman" w:hAnsi="Times New Roman" w:eastAsia="方正仿宋_GBK" w:cs="方正仿宋_GBK"/>
          <w:sz w:val="30"/>
          <w:szCs w:val="30"/>
          <w:highlight w:val="none"/>
          <w:lang w:val="en-US" w:eastAsia="zh-CN"/>
        </w:rPr>
        <w:t>本部门无其他重要事项情况说明。</w:t>
      </w:r>
    </w:p>
    <w:p w14:paraId="0BB2181C">
      <w:pPr>
        <w:keepNext w:val="0"/>
        <w:keepLines w:val="0"/>
        <w:pageBreakBefore w:val="0"/>
        <w:widowControl/>
        <w:kinsoku/>
        <w:wordWrap/>
        <w:overflowPunct/>
        <w:topLinePunct w:val="0"/>
        <w:autoSpaceDE/>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六、相关口径说明</w:t>
      </w:r>
    </w:p>
    <w:p w14:paraId="1A61F8E5">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楷体_GBK" w:cs="方正楷体_GBK"/>
          <w:sz w:val="30"/>
          <w:szCs w:val="30"/>
          <w:highlight w:val="none"/>
          <w:lang w:eastAsia="zh-CN"/>
        </w:rPr>
        <w:t>（一）</w:t>
      </w:r>
      <w:r>
        <w:rPr>
          <w:rFonts w:hint="eastAsia" w:ascii="Times New Roman" w:hAnsi="Times New Roman" w:eastAsia="方正仿宋_GBK" w:cs="方正仿宋_GBK"/>
          <w:sz w:val="30"/>
          <w:szCs w:val="30"/>
          <w:highlight w:val="none"/>
          <w:lang w:eastAsia="zh-CN"/>
        </w:rPr>
        <w:t>基本支出中人员经费包括工资福利支出和对个人和家庭的补助，公用经费包括商品和服务支出、资本性支出等人员经费以外的支出。</w:t>
      </w:r>
    </w:p>
    <w:p w14:paraId="04BBB359">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仿宋_GB2312" w:cs="方正小标宋简体"/>
          <w:sz w:val="30"/>
          <w:szCs w:val="30"/>
          <w:highlight w:val="none"/>
        </w:rPr>
      </w:pPr>
      <w:r>
        <w:rPr>
          <w:rFonts w:hint="eastAsia" w:ascii="Times New Roman" w:hAnsi="Times New Roman" w:eastAsia="方正楷体_GBK" w:cs="方正楷体_GBK"/>
          <w:sz w:val="30"/>
          <w:szCs w:val="30"/>
          <w:highlight w:val="none"/>
          <w:lang w:eastAsia="zh-CN"/>
        </w:rPr>
        <w:t>（二）</w:t>
      </w:r>
      <w:r>
        <w:rPr>
          <w:rFonts w:hint="eastAsia" w:ascii="Times New Roman" w:hAnsi="Times New Roman" w:eastAsia="方正仿宋_GBK" w:cs="方正仿宋_GBK"/>
          <w:sz w:val="30"/>
          <w:szCs w:val="30"/>
          <w:highlight w:val="none"/>
          <w:lang w:eastAsia="zh-CN"/>
        </w:rPr>
        <w:t>机关运行经费指行政单位和参照公务员法管理的事业单位使用一般公共预算财政拨款安排的基本支出中的公用经费支出。</w:t>
      </w:r>
    </w:p>
    <w:p w14:paraId="662CB5EA">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lang w:eastAsia="zh-CN"/>
        </w:rPr>
      </w:pPr>
      <w:r>
        <w:rPr>
          <w:rFonts w:hint="eastAsia" w:ascii="Times New Roman" w:hAnsi="Times New Roman" w:eastAsia="方正楷体_GBK" w:cs="方正楷体_GBK"/>
          <w:sz w:val="30"/>
          <w:szCs w:val="30"/>
          <w:highlight w:val="none"/>
          <w:lang w:eastAsia="zh-CN"/>
        </w:rPr>
        <w:t>（三）</w:t>
      </w:r>
      <w:r>
        <w:rPr>
          <w:rFonts w:hint="eastAsia" w:ascii="Times New Roman" w:hAnsi="Times New Roman" w:eastAsia="方正仿宋_GBK" w:cs="方正仿宋_GBK"/>
          <w:sz w:val="30"/>
          <w:szCs w:val="30"/>
          <w:highlight w:val="none"/>
          <w:lang w:eastAsia="zh-CN"/>
        </w:rPr>
        <w:t>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4923D46">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sz w:val="30"/>
          <w:szCs w:val="30"/>
          <w:highlight w:val="none"/>
        </w:rPr>
      </w:pPr>
      <w:r>
        <w:rPr>
          <w:rFonts w:hint="eastAsia" w:ascii="Times New Roman" w:hAnsi="Times New Roman" w:eastAsia="方正楷体_GBK" w:cs="方正楷体_GBK"/>
          <w:sz w:val="30"/>
          <w:szCs w:val="30"/>
          <w:highlight w:val="none"/>
          <w:lang w:eastAsia="zh-CN"/>
        </w:rPr>
        <w:t>（四）</w:t>
      </w:r>
      <w:r>
        <w:rPr>
          <w:rFonts w:hint="eastAsia" w:ascii="Times New Roman" w:hAnsi="Times New Roman" w:eastAsia="方正仿宋_GBK" w:cs="方正仿宋_GBK"/>
          <w:sz w:val="30"/>
          <w:szCs w:val="30"/>
          <w:highlight w:val="none"/>
          <w:lang w:eastAsia="zh-CN"/>
        </w:rPr>
        <w:t>本文所称财政拨款</w:t>
      </w:r>
      <w:r>
        <w:rPr>
          <w:rFonts w:hint="eastAsia" w:ascii="Times New Roman" w:hAnsi="Times New Roman" w:eastAsia="方正仿宋_GBK" w:cs="方正仿宋_GBK"/>
          <w:sz w:val="30"/>
          <w:szCs w:val="30"/>
          <w:highlight w:val="none"/>
        </w:rPr>
        <w:t>“三公”经费决算数</w:t>
      </w:r>
      <w:r>
        <w:rPr>
          <w:rFonts w:hint="eastAsia" w:ascii="Times New Roman" w:hAnsi="Times New Roman" w:eastAsia="方正仿宋_GBK" w:cs="方正仿宋_GBK"/>
          <w:sz w:val="30"/>
          <w:szCs w:val="30"/>
          <w:highlight w:val="none"/>
          <w:lang w:eastAsia="zh-CN"/>
        </w:rPr>
        <w:t>是</w:t>
      </w:r>
      <w:r>
        <w:rPr>
          <w:rFonts w:hint="eastAsia" w:ascii="Times New Roman" w:hAnsi="Times New Roman" w:eastAsia="方正仿宋_GBK" w:cs="方正仿宋_GBK"/>
          <w:sz w:val="30"/>
          <w:szCs w:val="30"/>
          <w:highlight w:val="none"/>
        </w:rPr>
        <w:t>指各部门（含下属单位）当年通过本级财政拨款和以前年度财政拨款结转结余资金安排的</w:t>
      </w:r>
      <w:r>
        <w:rPr>
          <w:rFonts w:hint="eastAsia" w:ascii="Times New Roman" w:hAnsi="Times New Roman" w:eastAsia="方正仿宋_GBK" w:cs="方正仿宋_GBK"/>
          <w:sz w:val="30"/>
          <w:szCs w:val="30"/>
          <w:highlight w:val="none"/>
          <w:lang w:eastAsia="zh-CN"/>
        </w:rPr>
        <w:t>因公出国（境）费用</w:t>
      </w:r>
      <w:r>
        <w:rPr>
          <w:rFonts w:hint="eastAsia" w:ascii="Times New Roman" w:hAnsi="Times New Roman" w:eastAsia="方正仿宋_GBK" w:cs="方正仿宋_GBK"/>
          <w:sz w:val="30"/>
          <w:szCs w:val="30"/>
          <w:highlight w:val="none"/>
        </w:rPr>
        <w:t>、公务用车购置及运行维护费和公务接待费支出数（包括基本支出和项目支出）。</w:t>
      </w:r>
    </w:p>
    <w:p w14:paraId="6991B71F">
      <w:pPr>
        <w:keepNext w:val="0"/>
        <w:keepLines w:val="0"/>
        <w:pageBreakBefore w:val="0"/>
        <w:widowControl/>
        <w:kinsoku/>
        <w:wordWrap/>
        <w:overflowPunct/>
        <w:topLinePunct w:val="0"/>
        <w:autoSpaceDE/>
        <w:bidi w:val="0"/>
        <w:adjustRightInd/>
        <w:spacing w:line="590" w:lineRule="exact"/>
        <w:ind w:firstLine="600" w:firstLineChars="200"/>
        <w:jc w:val="center"/>
        <w:textAlignment w:val="auto"/>
        <w:outlineLvl w:val="1"/>
        <w:rPr>
          <w:rFonts w:hint="eastAsia" w:ascii="Times New Roman" w:hAnsi="Times New Roman" w:eastAsia="方正黑体_GBK" w:cs="方正黑体_GBK"/>
          <w:sz w:val="30"/>
          <w:szCs w:val="30"/>
          <w:highlight w:val="none"/>
          <w:lang w:val="en-US" w:eastAsia="zh-CN"/>
        </w:rPr>
      </w:pPr>
      <w:r>
        <w:rPr>
          <w:rFonts w:hint="eastAsia" w:ascii="Times New Roman" w:hAnsi="Times New Roman" w:eastAsia="方正黑体_GBK" w:cs="方正黑体_GBK"/>
          <w:sz w:val="30"/>
          <w:szCs w:val="30"/>
          <w:highlight w:val="none"/>
          <w:lang w:val="en-US" w:eastAsia="zh-CN"/>
        </w:rPr>
        <w:t>第五部分  名词解释</w:t>
      </w:r>
    </w:p>
    <w:p w14:paraId="51859342">
      <w:pPr>
        <w:keepNext w:val="0"/>
        <w:keepLines w:val="0"/>
        <w:pageBreakBefore w:val="0"/>
        <w:kinsoku/>
        <w:wordWrap/>
        <w:overflowPunct/>
        <w:topLinePunct w:val="0"/>
        <w:autoSpaceDE/>
        <w:bidi w:val="0"/>
        <w:adjustRightInd/>
        <w:spacing w:line="590" w:lineRule="exact"/>
        <w:ind w:firstLine="600" w:firstLineChars="200"/>
        <w:jc w:val="left"/>
        <w:textAlignment w:val="auto"/>
        <w:rPr>
          <w:rFonts w:hint="eastAsia" w:ascii="Times New Roman" w:hAnsi="Times New Roman" w:eastAsia="方正仿宋_GBK" w:cs="方正仿宋_GBK"/>
        </w:rPr>
      </w:pPr>
      <w:r>
        <w:rPr>
          <w:rFonts w:hint="eastAsia" w:ascii="Times New Roman" w:hAnsi="Times New Roman" w:eastAsia="方正仿宋_GBK" w:cs="方正仿宋_GBK"/>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989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73C8815">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473C8815">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0F5E3">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4FDB8E3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0C80B">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178CA"/>
    <w:rsid w:val="08231359"/>
    <w:rsid w:val="195474BD"/>
    <w:rsid w:val="1D9A07EC"/>
    <w:rsid w:val="200A5A3E"/>
    <w:rsid w:val="34C533FD"/>
    <w:rsid w:val="35E44DA6"/>
    <w:rsid w:val="402041BF"/>
    <w:rsid w:val="4C977A64"/>
    <w:rsid w:val="5F1F0EE3"/>
    <w:rsid w:val="62575726"/>
    <w:rsid w:val="6A231597"/>
    <w:rsid w:val="72037883"/>
    <w:rsid w:val="77894C0C"/>
    <w:rsid w:val="BFD71F2A"/>
    <w:rsid w:val="D565B70D"/>
    <w:rsid w:val="F7DFA6D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val="0"/>
      <w:ind w:firstLine="420" w:firstLineChars="200"/>
      <w:jc w:val="both"/>
    </w:pPr>
    <w:rPr>
      <w:rFonts w:ascii="Calibri" w:hAnsi="Calibri" w:eastAsia="宋体" w:cs="Times New Roman"/>
      <w:kern w:val="2"/>
      <w:sz w:val="32"/>
      <w:szCs w:val="32"/>
      <w:lang w:val="en-US" w:eastAsia="zh-CN" w:bidi="ar-SA"/>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 w:type="paragraph" w:customStyle="1" w:styleId="10">
    <w:name w:val="正文-公1"/>
    <w:basedOn w:val="11"/>
    <w:next w:val="1"/>
    <w:qFormat/>
    <w:uiPriority w:val="0"/>
    <w:pPr>
      <w:ind w:firstLine="200" w:firstLineChars="200"/>
    </w:p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2052-11.8.2.12309</vt:lpwstr>
  </property>
  <property xmlns="http://schemas.openxmlformats.org/officeDocument/2006/custom-properties" fmtid="{D5CDD505-2E9C-101B-9397-08002B2CF9AE}" pid="3" name="ICV">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795d99-821c-44fe-810e-aa268019ed0d}">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7109</Words>
  <Characters>8281</Characters>
  <Lines>0</Lines>
  <Paragraphs>0</Paragraphs>
  <TotalTime>20</TotalTime>
  <ScaleCrop>false</ScaleCrop>
  <LinksUpToDate>false</LinksUpToDate>
  <CharactersWithSpaces>8302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2025-06-26T17:23:00Z</dcterms:created>
  <dc:creator>jq</dc:creator>
  <cp:lastModifiedBy>kylin</cp:lastModifiedBy>
  <dcterms:modified xsi:type="dcterms:W3CDTF">2026-10-26T10:59:16Z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DFB42469B94F9C6904C2DE6AD35FCFF0_43</vt:lpwstr>
  </property>
  <property fmtid="{D5CDD505-2E9C-101B-9397-08002B2CF9AE}" pid="4" name="KSOTemplateDocerSaveRecord">
    <vt:lpwstr>eyJoZGlkIjoiZDdiZDM0ZmE2YWY0NDljYjI0YWUzZDU4ZTgzNjUwOTYiLCJ1c2VySWQiOiIxNTIzODk5MjYyIn0=</vt:lpwstr>
  </property>
</Properties>
</file>