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90" w:lineRule="exact"/>
        <w:jc w:val="center"/>
        <w:rPr>
          <w:rFonts w:hint="eastAsia" w:ascii="方正小标宋_GBK" w:eastAsia="方正小标宋_GBK"/>
          <w:sz w:val="44"/>
          <w:szCs w:val="44"/>
          <w:lang w:eastAsia="zh-CN"/>
        </w:rPr>
      </w:pPr>
      <w:r>
        <w:rPr>
          <w:rFonts w:hint="eastAsia" w:ascii="方正小标宋_GBK" w:eastAsia="方正小标宋_GBK"/>
          <w:sz w:val="44"/>
          <w:szCs w:val="44"/>
          <w:lang w:eastAsia="zh-CN"/>
        </w:rPr>
        <w:t>华宁县医疗保障局</w:t>
      </w:r>
    </w:p>
    <w:p>
      <w:pPr>
        <w:widowControl w:val="0"/>
        <w:spacing w:line="590" w:lineRule="exact"/>
        <w:jc w:val="center"/>
        <w:rPr>
          <w:rFonts w:hint="eastAsia" w:ascii="方正小标宋_GBK" w:eastAsia="方正小标宋_GBK"/>
          <w:sz w:val="44"/>
          <w:szCs w:val="44"/>
          <w:lang w:eastAsia="zh-CN"/>
        </w:rPr>
      </w:pPr>
      <w:r>
        <w:rPr>
          <w:rFonts w:hint="eastAsia" w:ascii="方正小标宋_GBK" w:eastAsia="方正小标宋_GBK"/>
          <w:sz w:val="44"/>
          <w:szCs w:val="44"/>
          <w:lang w:eastAsia="zh-CN"/>
        </w:rPr>
        <w:t>2020年政府信息公开工作年度报告</w:t>
      </w:r>
    </w:p>
    <w:p>
      <w:pPr>
        <w:widowControl w:val="0"/>
        <w:spacing w:line="400" w:lineRule="exact"/>
        <w:rPr>
          <w:rFonts w:eastAsia="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eastAsia="方正黑体_GBK"/>
          <w:sz w:val="32"/>
          <w:szCs w:val="32"/>
          <w:lang w:eastAsia="zh-CN"/>
        </w:rPr>
      </w:pPr>
      <w:r>
        <w:rPr>
          <w:rFonts w:hint="eastAsia" w:ascii="方正黑体_GBK" w:eastAsia="方正黑体_GBK"/>
          <w:sz w:val="32"/>
          <w:szCs w:val="32"/>
          <w:lang w:eastAsia="zh-CN"/>
        </w:rPr>
        <w:t>一、总体情况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eastAsia="方正仿宋_GBK"/>
          <w:sz w:val="32"/>
          <w:szCs w:val="32"/>
          <w:lang w:eastAsia="zh-CN"/>
        </w:rPr>
      </w:pPr>
      <w:r>
        <w:rPr>
          <w:rFonts w:hint="eastAsia" w:eastAsia="方正仿宋_GBK"/>
          <w:sz w:val="32"/>
          <w:szCs w:val="32"/>
          <w:lang w:eastAsia="zh-CN"/>
        </w:rPr>
        <w:t>根据华宁县</w:t>
      </w:r>
      <w:r>
        <w:rPr>
          <w:rFonts w:hint="eastAsia" w:eastAsia="方正仿宋_GBK"/>
          <w:sz w:val="32"/>
          <w:szCs w:val="32"/>
          <w:lang w:val="en-US" w:eastAsia="zh-CN"/>
        </w:rPr>
        <w:t>2020年</w:t>
      </w:r>
      <w:r>
        <w:rPr>
          <w:rFonts w:hint="eastAsia" w:eastAsia="方正仿宋_GBK"/>
          <w:sz w:val="32"/>
          <w:szCs w:val="32"/>
          <w:lang w:eastAsia="zh-CN"/>
        </w:rPr>
        <w:t>政府信息公开工作要求。华宁县医疗保障局高度重视，结合医保工作实际，认真开展2020年政府信息公开工作，现将年度工作情况汇报如下: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eastAsia="方正仿宋_GBK"/>
          <w:sz w:val="32"/>
          <w:szCs w:val="32"/>
          <w:lang w:eastAsia="zh-CN"/>
        </w:rPr>
      </w:pPr>
      <w:r>
        <w:rPr>
          <w:rFonts w:hint="eastAsia" w:ascii="方正楷体_GBK" w:hAnsi="方正楷体_GBK" w:eastAsia="方正楷体_GBK" w:cs="方正楷体_GBK"/>
          <w:sz w:val="32"/>
          <w:szCs w:val="32"/>
          <w:lang w:eastAsia="zh-CN"/>
        </w:rPr>
        <w:t>（一）高度重视，及时安排。</w:t>
      </w:r>
      <w:r>
        <w:rPr>
          <w:rFonts w:hint="eastAsia" w:eastAsia="方正仿宋_GBK"/>
          <w:sz w:val="32"/>
          <w:szCs w:val="32"/>
          <w:lang w:eastAsia="zh-CN"/>
        </w:rPr>
        <w:t>华宁县医疗保障局高度重视政务公开工作，把政务公开工作放到更加重要的位置，切实加强领导，与业务工作同部署、同推进、同落实。及时安排具体工作人员负责本单位政务公开的组织协调、指导推进工作；分管领导负责监督检查本部门、本系统的政务公开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eastAsia="方正仿宋_GBK"/>
          <w:sz w:val="32"/>
          <w:szCs w:val="32"/>
          <w:lang w:eastAsia="zh-CN"/>
        </w:rPr>
      </w:pPr>
      <w:r>
        <w:rPr>
          <w:rFonts w:hint="eastAsia" w:ascii="方正楷体_GBK" w:hAnsi="方正楷体_GBK" w:eastAsia="方正楷体_GBK" w:cs="方正楷体_GBK"/>
          <w:sz w:val="32"/>
          <w:szCs w:val="32"/>
          <w:lang w:eastAsia="zh-CN"/>
        </w:rPr>
        <w:t>（二）加强学习，强化监督。</w:t>
      </w:r>
      <w:r>
        <w:rPr>
          <w:rFonts w:hint="eastAsia" w:eastAsia="方正仿宋_GBK"/>
          <w:sz w:val="32"/>
          <w:szCs w:val="32"/>
          <w:lang w:eastAsia="zh-CN"/>
        </w:rPr>
        <w:t>重点学习政府信息考核等相关文件，通过学习，着力提高全体干部职工自觉参与和开展政务公开工作的积极性和主动性。为加强本部门政务公开工作顺利推进，我单位将政府信息和政务公共工作纳入本部门内部监督相关内容，与其它业务工作同部署、同推进、同落实、同考核。</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eastAsia="方正仿宋_GBK"/>
          <w:sz w:val="32"/>
          <w:szCs w:val="32"/>
          <w:lang w:eastAsia="zh-CN"/>
        </w:rPr>
      </w:pPr>
      <w:r>
        <w:rPr>
          <w:rFonts w:hint="eastAsia" w:ascii="方正楷体_GBK" w:hAnsi="方正楷体_GBK" w:eastAsia="方正楷体_GBK" w:cs="方正楷体_GBK"/>
          <w:sz w:val="32"/>
          <w:szCs w:val="32"/>
          <w:lang w:eastAsia="zh-CN"/>
        </w:rPr>
        <w:t>（三）严格把关，确保安全。</w:t>
      </w:r>
      <w:r>
        <w:rPr>
          <w:rFonts w:hint="eastAsia" w:eastAsia="方正仿宋_GBK"/>
          <w:sz w:val="32"/>
          <w:szCs w:val="32"/>
          <w:lang w:eastAsia="zh-CN"/>
        </w:rPr>
        <w:t>为保证信息及时、高效、准确地公开，严格规范政府信息的发布，提高政府信息公开的质量，我局建立了政府信息与政务公开审核的长效工作机制，严格把控信息公开质量，确保我局政府信息与政务公开工作责任到位、监管到位、落实到位。做到了涉密信息不上网，上网信息不涉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eastAsia="方正仿宋_GBK"/>
          <w:sz w:val="32"/>
          <w:szCs w:val="32"/>
          <w:lang w:eastAsia="zh-CN"/>
        </w:rPr>
      </w:pPr>
      <w:r>
        <w:rPr>
          <w:rFonts w:hint="eastAsia" w:ascii="方正楷体_GBK" w:hAnsi="方正楷体_GBK" w:eastAsia="方正楷体_GBK" w:cs="方正楷体_GBK"/>
          <w:sz w:val="32"/>
          <w:szCs w:val="32"/>
          <w:lang w:eastAsia="zh-CN"/>
        </w:rPr>
        <w:t>（四）注重时效，及时公开。</w:t>
      </w:r>
      <w:r>
        <w:rPr>
          <w:rFonts w:hint="eastAsia" w:eastAsia="方正仿宋_GBK"/>
          <w:sz w:val="32"/>
          <w:szCs w:val="32"/>
          <w:lang w:eastAsia="zh-CN"/>
        </w:rPr>
        <w:t>华宁县医疗保障局主要通过信息网站、各种形式的培训、会议等途径主动公开公示各类信息。2020年，主要公开各类医保政策、财政预决算公开、医疗保障行业扶贫、打击欺诈骗保、脱贫攻坚知识培训、平安华宁建设、法制宣传学习、巡河行动、政策执行情况等各类服务、便民信息。</w:t>
      </w:r>
    </w:p>
    <w:p>
      <w:pPr>
        <w:widowControl w:val="0"/>
        <w:spacing w:line="590" w:lineRule="exact"/>
        <w:rPr>
          <w:rFonts w:hint="eastAsia" w:ascii="方正黑体_GBK" w:eastAsia="方正黑体_GBK"/>
          <w:sz w:val="32"/>
          <w:szCs w:val="32"/>
          <w:lang w:eastAsia="zh-CN"/>
        </w:rPr>
      </w:pPr>
      <w:r>
        <w:rPr>
          <w:rFonts w:hint="eastAsia" w:ascii="方正黑体_GBK" w:eastAsia="方正黑体_GBK"/>
          <w:sz w:val="32"/>
          <w:szCs w:val="32"/>
          <w:lang w:eastAsia="zh-CN"/>
        </w:rPr>
        <w:t>二、主动公开政府信息情况</w:t>
      </w:r>
    </w:p>
    <w:tbl>
      <w:tblPr>
        <w:tblStyle w:val="3"/>
        <w:tblW w:w="9060" w:type="dxa"/>
        <w:jc w:val="center"/>
        <w:tblInd w:w="0" w:type="dxa"/>
        <w:tblLayout w:type="fixed"/>
        <w:tblCellMar>
          <w:top w:w="0" w:type="dxa"/>
          <w:left w:w="108" w:type="dxa"/>
          <w:bottom w:w="0" w:type="dxa"/>
          <w:right w:w="108" w:type="dxa"/>
        </w:tblCellMar>
      </w:tblPr>
      <w:tblGrid>
        <w:gridCol w:w="3465"/>
        <w:gridCol w:w="2087"/>
        <w:gridCol w:w="5"/>
        <w:gridCol w:w="1410"/>
        <w:gridCol w:w="2093"/>
      </w:tblGrid>
      <w:tr>
        <w:tblPrEx>
          <w:tblLayout w:type="fixed"/>
          <w:tblCellMar>
            <w:top w:w="0" w:type="dxa"/>
            <w:left w:w="108" w:type="dxa"/>
            <w:bottom w:w="0" w:type="dxa"/>
            <w:right w:w="108" w:type="dxa"/>
          </w:tblCellMar>
        </w:tblPrEx>
        <w:trPr>
          <w:trHeight w:val="495" w:hRule="atLeast"/>
          <w:jc w:val="center"/>
        </w:trPr>
        <w:tc>
          <w:tcPr>
            <w:tcW w:w="9060" w:type="dxa"/>
            <w:gridSpan w:val="5"/>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第二十条第（一）项</w:t>
            </w:r>
          </w:p>
        </w:tc>
      </w:tr>
      <w:tr>
        <w:tblPrEx>
          <w:tblLayout w:type="fixed"/>
          <w:tblCellMar>
            <w:top w:w="0" w:type="dxa"/>
            <w:left w:w="108" w:type="dxa"/>
            <w:bottom w:w="0" w:type="dxa"/>
            <w:right w:w="108" w:type="dxa"/>
          </w:tblCellMar>
        </w:tblPrEx>
        <w:trPr>
          <w:trHeight w:val="882" w:hRule="atLeast"/>
          <w:jc w:val="center"/>
        </w:trPr>
        <w:tc>
          <w:tcPr>
            <w:tcW w:w="3465"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信息内容</w:t>
            </w:r>
          </w:p>
        </w:tc>
        <w:tc>
          <w:tcPr>
            <w:tcW w:w="2087" w:type="dxa"/>
            <w:tcBorders>
              <w:top w:val="single" w:color="auto" w:sz="4" w:space="0"/>
              <w:left w:val="nil"/>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本年新</w:t>
            </w:r>
            <w:r>
              <w:rPr>
                <w:rFonts w:ascii="宋体"/>
                <w:color w:val="000000"/>
                <w:kern w:val="0"/>
                <w:sz w:val="20"/>
              </w:rPr>
              <w:br w:type="textWrapping"/>
            </w:r>
            <w:r>
              <w:rPr>
                <w:rFonts w:hint="eastAsia" w:ascii="宋体" w:hAnsi="宋体" w:cs="宋体"/>
                <w:kern w:val="0"/>
                <w:sz w:val="20"/>
              </w:rPr>
              <w:t>制作数量</w:t>
            </w:r>
          </w:p>
        </w:tc>
        <w:tc>
          <w:tcPr>
            <w:tcW w:w="1415" w:type="dxa"/>
            <w:gridSpan w:val="2"/>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本年新</w:t>
            </w:r>
            <w:r>
              <w:rPr>
                <w:rFonts w:ascii="宋体"/>
                <w:color w:val="000000"/>
                <w:kern w:val="0"/>
                <w:sz w:val="20"/>
              </w:rPr>
              <w:br w:type="textWrapping"/>
            </w:r>
            <w:r>
              <w:rPr>
                <w:rFonts w:hint="eastAsia" w:ascii="宋体" w:hAnsi="宋体" w:cs="宋体"/>
                <w:kern w:val="0"/>
                <w:sz w:val="20"/>
              </w:rPr>
              <w:t>公开数量</w:t>
            </w:r>
          </w:p>
        </w:tc>
        <w:tc>
          <w:tcPr>
            <w:tcW w:w="2093" w:type="dxa"/>
            <w:tcBorders>
              <w:top w:val="nil"/>
              <w:left w:val="nil"/>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对外公开总数量</w:t>
            </w:r>
          </w:p>
        </w:tc>
      </w:tr>
      <w:tr>
        <w:tblPrEx>
          <w:tblLayout w:type="fixed"/>
          <w:tblCellMar>
            <w:top w:w="0" w:type="dxa"/>
            <w:left w:w="108" w:type="dxa"/>
            <w:bottom w:w="0" w:type="dxa"/>
            <w:right w:w="108" w:type="dxa"/>
          </w:tblCellMar>
        </w:tblPrEx>
        <w:trPr>
          <w:trHeight w:val="523" w:hRule="atLeast"/>
          <w:jc w:val="center"/>
        </w:trPr>
        <w:tc>
          <w:tcPr>
            <w:tcW w:w="3465"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规章</w:t>
            </w:r>
          </w:p>
        </w:tc>
        <w:tc>
          <w:tcPr>
            <w:tcW w:w="2087" w:type="dxa"/>
            <w:tcBorders>
              <w:top w:val="single" w:color="auto" w:sz="4" w:space="0"/>
              <w:left w:val="nil"/>
              <w:bottom w:val="single" w:color="auto" w:sz="4" w:space="0"/>
              <w:right w:val="single" w:color="auto" w:sz="4" w:space="0"/>
            </w:tcBorders>
            <w:noWrap/>
            <w:vAlign w:val="center"/>
          </w:tcPr>
          <w:p>
            <w:pPr>
              <w:spacing w:before="100" w:beforeAutospacing="1" w:after="100" w:afterAutospacing="1"/>
              <w:jc w:val="center"/>
              <w:rPr>
                <w:rFonts w:hint="eastAsia" w:ascii="宋体" w:eastAsia="宋体"/>
                <w:kern w:val="0"/>
                <w:sz w:val="24"/>
                <w:szCs w:val="24"/>
                <w:lang w:val="en-US" w:eastAsia="zh-CN"/>
              </w:rPr>
            </w:pPr>
            <w:r>
              <w:rPr>
                <w:rFonts w:hint="eastAsia" w:ascii="宋体"/>
                <w:kern w:val="0"/>
                <w:sz w:val="24"/>
                <w:szCs w:val="24"/>
                <w:lang w:val="en-US" w:eastAsia="zh-CN"/>
              </w:rPr>
              <w:t>0</w:t>
            </w:r>
          </w:p>
        </w:tc>
        <w:tc>
          <w:tcPr>
            <w:tcW w:w="1415" w:type="dxa"/>
            <w:gridSpan w:val="2"/>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rFonts w:hint="eastAsia" w:ascii="宋体"/>
                <w:kern w:val="0"/>
                <w:sz w:val="24"/>
                <w:szCs w:val="24"/>
                <w:lang w:val="en-US" w:eastAsia="zh-CN"/>
              </w:rPr>
              <w:t>0</w:t>
            </w:r>
          </w:p>
        </w:tc>
        <w:tc>
          <w:tcPr>
            <w:tcW w:w="2093" w:type="dxa"/>
            <w:tcBorders>
              <w:top w:val="nil"/>
              <w:left w:val="nil"/>
              <w:bottom w:val="single" w:color="auto" w:sz="4" w:space="0"/>
              <w:right w:val="single" w:color="auto" w:sz="4" w:space="0"/>
            </w:tcBorders>
            <w:noWrap/>
            <w:vAlign w:val="center"/>
          </w:tcPr>
          <w:p>
            <w:pPr>
              <w:spacing w:before="100" w:beforeAutospacing="1" w:after="100" w:afterAutospacing="1"/>
              <w:jc w:val="center"/>
              <w:rPr>
                <w:rFonts w:hint="eastAsia" w:ascii="宋体" w:eastAsia="宋体"/>
                <w:kern w:val="0"/>
                <w:sz w:val="24"/>
                <w:szCs w:val="24"/>
                <w:lang w:val="en-US" w:eastAsia="zh-CN"/>
              </w:rPr>
            </w:pPr>
            <w:r>
              <w:rPr>
                <w:rFonts w:hint="eastAsia" w:ascii="宋体"/>
                <w:kern w:val="0"/>
                <w:sz w:val="24"/>
                <w:szCs w:val="24"/>
                <w:lang w:val="en-US" w:eastAsia="zh-CN"/>
              </w:rPr>
              <w:t>0</w:t>
            </w:r>
          </w:p>
        </w:tc>
      </w:tr>
      <w:tr>
        <w:tblPrEx>
          <w:tblLayout w:type="fixed"/>
          <w:tblCellMar>
            <w:top w:w="0" w:type="dxa"/>
            <w:left w:w="108" w:type="dxa"/>
            <w:bottom w:w="0" w:type="dxa"/>
            <w:right w:w="108" w:type="dxa"/>
          </w:tblCellMar>
        </w:tblPrEx>
        <w:trPr>
          <w:trHeight w:val="471" w:hRule="atLeast"/>
          <w:jc w:val="center"/>
        </w:trPr>
        <w:tc>
          <w:tcPr>
            <w:tcW w:w="3465"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规范性文件</w:t>
            </w:r>
          </w:p>
        </w:tc>
        <w:tc>
          <w:tcPr>
            <w:tcW w:w="2087" w:type="dxa"/>
            <w:tcBorders>
              <w:top w:val="nil"/>
              <w:left w:val="nil"/>
              <w:bottom w:val="single" w:color="auto" w:sz="4" w:space="0"/>
              <w:right w:val="single" w:color="auto" w:sz="4" w:space="0"/>
            </w:tcBorders>
            <w:noWrap/>
            <w:vAlign w:val="center"/>
          </w:tcPr>
          <w:p>
            <w:pPr>
              <w:spacing w:before="100" w:beforeAutospacing="1" w:after="100" w:afterAutospacing="1"/>
              <w:jc w:val="center"/>
              <w:rPr>
                <w:rFonts w:hint="eastAsia" w:ascii="宋体" w:eastAsia="宋体"/>
                <w:kern w:val="0"/>
                <w:sz w:val="24"/>
                <w:szCs w:val="24"/>
                <w:lang w:val="en-US" w:eastAsia="zh-CN"/>
              </w:rPr>
            </w:pPr>
            <w:r>
              <w:rPr>
                <w:rFonts w:hint="eastAsia" w:ascii="宋体"/>
                <w:kern w:val="0"/>
                <w:sz w:val="24"/>
                <w:szCs w:val="24"/>
                <w:lang w:val="en-US" w:eastAsia="zh-CN"/>
              </w:rPr>
              <w:t>0</w:t>
            </w:r>
          </w:p>
        </w:tc>
        <w:tc>
          <w:tcPr>
            <w:tcW w:w="1415" w:type="dxa"/>
            <w:gridSpan w:val="2"/>
            <w:tcBorders>
              <w:top w:val="nil"/>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rFonts w:hint="eastAsia" w:ascii="宋体"/>
                <w:kern w:val="0"/>
                <w:sz w:val="24"/>
                <w:szCs w:val="24"/>
                <w:lang w:val="en-US" w:eastAsia="zh-CN"/>
              </w:rPr>
              <w:t>0</w:t>
            </w:r>
          </w:p>
        </w:tc>
        <w:tc>
          <w:tcPr>
            <w:tcW w:w="2093" w:type="dxa"/>
            <w:tcBorders>
              <w:top w:val="nil"/>
              <w:left w:val="nil"/>
              <w:bottom w:val="single" w:color="auto" w:sz="4" w:space="0"/>
              <w:right w:val="single" w:color="auto" w:sz="4" w:space="0"/>
            </w:tcBorders>
            <w:noWrap/>
            <w:vAlign w:val="center"/>
          </w:tcPr>
          <w:p>
            <w:pPr>
              <w:spacing w:before="100" w:beforeAutospacing="1" w:after="100" w:afterAutospacing="1"/>
              <w:jc w:val="center"/>
              <w:rPr>
                <w:rFonts w:hint="eastAsia" w:ascii="宋体" w:eastAsia="宋体"/>
                <w:kern w:val="0"/>
                <w:sz w:val="24"/>
                <w:szCs w:val="24"/>
                <w:lang w:val="en-US" w:eastAsia="zh-CN"/>
              </w:rPr>
            </w:pPr>
            <w:r>
              <w:rPr>
                <w:rFonts w:hint="eastAsia" w:ascii="宋体"/>
                <w:kern w:val="0"/>
                <w:sz w:val="24"/>
                <w:szCs w:val="24"/>
                <w:lang w:val="en-US" w:eastAsia="zh-CN"/>
              </w:rPr>
              <w:t>0</w:t>
            </w:r>
          </w:p>
        </w:tc>
      </w:tr>
      <w:tr>
        <w:tblPrEx>
          <w:tblLayout w:type="fixed"/>
          <w:tblCellMar>
            <w:top w:w="0" w:type="dxa"/>
            <w:left w:w="108" w:type="dxa"/>
            <w:bottom w:w="0" w:type="dxa"/>
            <w:right w:w="108" w:type="dxa"/>
          </w:tblCellMar>
        </w:tblPrEx>
        <w:trPr>
          <w:trHeight w:val="480" w:hRule="atLeast"/>
          <w:jc w:val="center"/>
        </w:trPr>
        <w:tc>
          <w:tcPr>
            <w:tcW w:w="9060" w:type="dxa"/>
            <w:gridSpan w:val="5"/>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第二十条第（五）项</w:t>
            </w:r>
          </w:p>
        </w:tc>
      </w:tr>
      <w:tr>
        <w:tblPrEx>
          <w:tblLayout w:type="fixed"/>
          <w:tblCellMar>
            <w:top w:w="0" w:type="dxa"/>
            <w:left w:w="108" w:type="dxa"/>
            <w:bottom w:w="0" w:type="dxa"/>
            <w:right w:w="108" w:type="dxa"/>
          </w:tblCellMar>
        </w:tblPrEx>
        <w:trPr>
          <w:trHeight w:val="634" w:hRule="atLeast"/>
          <w:jc w:val="center"/>
        </w:trPr>
        <w:tc>
          <w:tcPr>
            <w:tcW w:w="3465"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信息内容</w:t>
            </w:r>
          </w:p>
        </w:tc>
        <w:tc>
          <w:tcPr>
            <w:tcW w:w="2087" w:type="dxa"/>
            <w:tcBorders>
              <w:top w:val="single" w:color="auto" w:sz="4" w:space="0"/>
              <w:left w:val="nil"/>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上一年项目数量</w:t>
            </w:r>
          </w:p>
        </w:tc>
        <w:tc>
          <w:tcPr>
            <w:tcW w:w="1415" w:type="dxa"/>
            <w:gridSpan w:val="2"/>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本年增</w:t>
            </w:r>
            <w:r>
              <w:rPr>
                <w:rFonts w:ascii="宋体" w:hAnsi="宋体" w:cs="宋体"/>
                <w:color w:val="000000"/>
                <w:kern w:val="0"/>
                <w:sz w:val="20"/>
              </w:rPr>
              <w:t>/</w:t>
            </w:r>
            <w:r>
              <w:rPr>
                <w:rFonts w:hint="eastAsia" w:ascii="宋体" w:hAnsi="宋体" w:cs="宋体"/>
                <w:color w:val="000000"/>
                <w:kern w:val="0"/>
                <w:sz w:val="20"/>
              </w:rPr>
              <w:t>减</w:t>
            </w:r>
          </w:p>
        </w:tc>
        <w:tc>
          <w:tcPr>
            <w:tcW w:w="2093" w:type="dxa"/>
            <w:tcBorders>
              <w:top w:val="nil"/>
              <w:left w:val="nil"/>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处理决定数量</w:t>
            </w:r>
          </w:p>
        </w:tc>
      </w:tr>
      <w:tr>
        <w:tblPrEx>
          <w:tblLayout w:type="fixed"/>
          <w:tblCellMar>
            <w:top w:w="0" w:type="dxa"/>
            <w:left w:w="108" w:type="dxa"/>
            <w:bottom w:w="0" w:type="dxa"/>
            <w:right w:w="108" w:type="dxa"/>
          </w:tblCellMar>
        </w:tblPrEx>
        <w:trPr>
          <w:trHeight w:val="528" w:hRule="atLeast"/>
          <w:jc w:val="center"/>
        </w:trPr>
        <w:tc>
          <w:tcPr>
            <w:tcW w:w="3465"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行政许可</w:t>
            </w:r>
          </w:p>
        </w:tc>
        <w:tc>
          <w:tcPr>
            <w:tcW w:w="2092" w:type="dxa"/>
            <w:gridSpan w:val="2"/>
            <w:tcBorders>
              <w:top w:val="nil"/>
              <w:left w:val="nil"/>
              <w:bottom w:val="single" w:color="auto" w:sz="4" w:space="0"/>
              <w:right w:val="single" w:color="auto" w:sz="4" w:space="0"/>
            </w:tcBorders>
            <w:noWrap/>
            <w:vAlign w:val="center"/>
          </w:tcPr>
          <w:p>
            <w:pPr>
              <w:spacing w:before="100" w:beforeAutospacing="1" w:after="100" w:afterAutospacing="1"/>
              <w:jc w:val="center"/>
              <w:rPr>
                <w:rFonts w:hint="eastAsia" w:ascii="宋体" w:eastAsia="宋体"/>
                <w:kern w:val="0"/>
                <w:sz w:val="24"/>
                <w:szCs w:val="24"/>
                <w:lang w:val="en-US" w:eastAsia="zh-CN"/>
              </w:rPr>
            </w:pPr>
            <w:r>
              <w:rPr>
                <w:rFonts w:hint="eastAsia" w:ascii="宋体"/>
                <w:kern w:val="0"/>
                <w:sz w:val="24"/>
                <w:szCs w:val="24"/>
                <w:lang w:val="en-US" w:eastAsia="zh-CN"/>
              </w:rPr>
              <w:t>0</w:t>
            </w:r>
          </w:p>
        </w:tc>
        <w:tc>
          <w:tcPr>
            <w:tcW w:w="1410" w:type="dxa"/>
            <w:tcBorders>
              <w:top w:val="nil"/>
              <w:left w:val="nil"/>
              <w:bottom w:val="single" w:color="auto" w:sz="4" w:space="0"/>
              <w:right w:val="single" w:color="auto" w:sz="4" w:space="0"/>
            </w:tcBorders>
            <w:noWrap/>
            <w:vAlign w:val="center"/>
          </w:tcPr>
          <w:p>
            <w:pPr>
              <w:spacing w:before="100" w:beforeAutospacing="1" w:after="100" w:afterAutospacing="1"/>
              <w:jc w:val="center"/>
              <w:rPr>
                <w:rFonts w:hint="eastAsia" w:ascii="宋体" w:eastAsia="宋体"/>
                <w:kern w:val="0"/>
                <w:sz w:val="24"/>
                <w:szCs w:val="24"/>
                <w:lang w:val="en-US" w:eastAsia="zh-CN"/>
              </w:rPr>
            </w:pPr>
            <w:r>
              <w:rPr>
                <w:rFonts w:hint="eastAsia" w:ascii="宋体"/>
                <w:kern w:val="0"/>
                <w:sz w:val="24"/>
                <w:szCs w:val="24"/>
                <w:lang w:val="en-US" w:eastAsia="zh-CN"/>
              </w:rPr>
              <w:t>0</w:t>
            </w:r>
          </w:p>
        </w:tc>
        <w:tc>
          <w:tcPr>
            <w:tcW w:w="2093" w:type="dxa"/>
            <w:tcBorders>
              <w:top w:val="nil"/>
              <w:left w:val="nil"/>
              <w:bottom w:val="single" w:color="auto" w:sz="4" w:space="0"/>
              <w:right w:val="single" w:color="auto" w:sz="4" w:space="0"/>
            </w:tcBorders>
            <w:noWrap/>
            <w:vAlign w:val="center"/>
          </w:tcPr>
          <w:p>
            <w:pPr>
              <w:spacing w:before="100" w:beforeAutospacing="1" w:after="100" w:afterAutospacing="1"/>
              <w:jc w:val="center"/>
              <w:rPr>
                <w:rFonts w:hint="eastAsia" w:ascii="宋体" w:eastAsia="宋体"/>
                <w:kern w:val="0"/>
                <w:sz w:val="24"/>
                <w:szCs w:val="24"/>
                <w:lang w:val="en-US" w:eastAsia="zh-CN"/>
              </w:rPr>
            </w:pPr>
            <w:r>
              <w:rPr>
                <w:rFonts w:hint="eastAsia" w:ascii="宋体"/>
                <w:kern w:val="0"/>
                <w:sz w:val="24"/>
                <w:szCs w:val="24"/>
                <w:lang w:val="en-US" w:eastAsia="zh-CN"/>
              </w:rPr>
              <w:t>0</w:t>
            </w:r>
          </w:p>
        </w:tc>
      </w:tr>
      <w:tr>
        <w:tblPrEx>
          <w:tblLayout w:type="fixed"/>
          <w:tblCellMar>
            <w:top w:w="0" w:type="dxa"/>
            <w:left w:w="108" w:type="dxa"/>
            <w:bottom w:w="0" w:type="dxa"/>
            <w:right w:w="108" w:type="dxa"/>
          </w:tblCellMar>
        </w:tblPrEx>
        <w:trPr>
          <w:trHeight w:val="550" w:hRule="atLeast"/>
          <w:jc w:val="center"/>
        </w:trPr>
        <w:tc>
          <w:tcPr>
            <w:tcW w:w="3465"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其他对外管理服务事项</w:t>
            </w:r>
          </w:p>
        </w:tc>
        <w:tc>
          <w:tcPr>
            <w:tcW w:w="2092" w:type="dxa"/>
            <w:gridSpan w:val="2"/>
            <w:tcBorders>
              <w:top w:val="nil"/>
              <w:left w:val="nil"/>
              <w:bottom w:val="single" w:color="auto" w:sz="4" w:space="0"/>
              <w:right w:val="single" w:color="auto" w:sz="4" w:space="0"/>
            </w:tcBorders>
            <w:noWrap/>
            <w:vAlign w:val="center"/>
          </w:tcPr>
          <w:p>
            <w:pPr>
              <w:spacing w:before="100" w:beforeAutospacing="1" w:after="100" w:afterAutospacing="1"/>
              <w:jc w:val="center"/>
              <w:rPr>
                <w:rFonts w:hint="eastAsia" w:ascii="宋体" w:eastAsia="宋体"/>
                <w:kern w:val="0"/>
                <w:sz w:val="24"/>
                <w:szCs w:val="24"/>
                <w:lang w:val="en-US" w:eastAsia="zh-CN"/>
              </w:rPr>
            </w:pPr>
            <w:r>
              <w:rPr>
                <w:rFonts w:hint="eastAsia" w:ascii="宋体"/>
                <w:kern w:val="0"/>
                <w:sz w:val="24"/>
                <w:szCs w:val="24"/>
                <w:lang w:val="en-US" w:eastAsia="zh-CN"/>
              </w:rPr>
              <w:t>0</w:t>
            </w:r>
          </w:p>
        </w:tc>
        <w:tc>
          <w:tcPr>
            <w:tcW w:w="1410" w:type="dxa"/>
            <w:tcBorders>
              <w:top w:val="nil"/>
              <w:left w:val="nil"/>
              <w:bottom w:val="single" w:color="auto" w:sz="4" w:space="0"/>
              <w:right w:val="single" w:color="auto" w:sz="4" w:space="0"/>
            </w:tcBorders>
            <w:noWrap/>
            <w:vAlign w:val="center"/>
          </w:tcPr>
          <w:p>
            <w:pPr>
              <w:spacing w:before="100" w:beforeAutospacing="1" w:after="100" w:afterAutospacing="1"/>
              <w:jc w:val="center"/>
              <w:rPr>
                <w:rFonts w:hint="eastAsia" w:ascii="宋体" w:eastAsia="宋体"/>
                <w:kern w:val="0"/>
                <w:sz w:val="24"/>
                <w:szCs w:val="24"/>
                <w:lang w:val="en-US" w:eastAsia="zh-CN"/>
              </w:rPr>
            </w:pPr>
            <w:r>
              <w:rPr>
                <w:rFonts w:hint="eastAsia" w:ascii="宋体"/>
                <w:kern w:val="0"/>
                <w:sz w:val="24"/>
                <w:szCs w:val="24"/>
                <w:lang w:val="en-US" w:eastAsia="zh-CN"/>
              </w:rPr>
              <w:t>0</w:t>
            </w:r>
          </w:p>
        </w:tc>
        <w:tc>
          <w:tcPr>
            <w:tcW w:w="2093" w:type="dxa"/>
            <w:tcBorders>
              <w:top w:val="nil"/>
              <w:left w:val="nil"/>
              <w:bottom w:val="single" w:color="auto" w:sz="4" w:space="0"/>
              <w:right w:val="single" w:color="auto" w:sz="4" w:space="0"/>
            </w:tcBorders>
            <w:noWrap/>
            <w:vAlign w:val="center"/>
          </w:tcPr>
          <w:p>
            <w:pPr>
              <w:spacing w:before="100" w:beforeAutospacing="1" w:after="100" w:afterAutospacing="1"/>
              <w:jc w:val="center"/>
              <w:rPr>
                <w:rFonts w:hint="eastAsia" w:ascii="宋体" w:eastAsia="宋体"/>
                <w:kern w:val="0"/>
                <w:sz w:val="24"/>
                <w:szCs w:val="24"/>
                <w:lang w:val="en-US" w:eastAsia="zh-CN"/>
              </w:rPr>
            </w:pPr>
            <w:r>
              <w:rPr>
                <w:rFonts w:hint="eastAsia" w:ascii="宋体"/>
                <w:kern w:val="0"/>
                <w:sz w:val="24"/>
                <w:szCs w:val="24"/>
                <w:lang w:val="en-US" w:eastAsia="zh-CN"/>
              </w:rPr>
              <w:t>0</w:t>
            </w:r>
          </w:p>
        </w:tc>
      </w:tr>
      <w:tr>
        <w:tblPrEx>
          <w:tblLayout w:type="fixed"/>
          <w:tblCellMar>
            <w:top w:w="0" w:type="dxa"/>
            <w:left w:w="108" w:type="dxa"/>
            <w:bottom w:w="0" w:type="dxa"/>
            <w:right w:w="108" w:type="dxa"/>
          </w:tblCellMar>
        </w:tblPrEx>
        <w:trPr>
          <w:trHeight w:val="406" w:hRule="atLeast"/>
          <w:jc w:val="center"/>
        </w:trPr>
        <w:tc>
          <w:tcPr>
            <w:tcW w:w="9060" w:type="dxa"/>
            <w:gridSpan w:val="5"/>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第二十条第（六）项</w:t>
            </w:r>
          </w:p>
        </w:tc>
      </w:tr>
      <w:tr>
        <w:tblPrEx>
          <w:tblLayout w:type="fixed"/>
          <w:tblCellMar>
            <w:top w:w="0" w:type="dxa"/>
            <w:left w:w="108" w:type="dxa"/>
            <w:bottom w:w="0" w:type="dxa"/>
            <w:right w:w="108" w:type="dxa"/>
          </w:tblCellMar>
        </w:tblPrEx>
        <w:trPr>
          <w:trHeight w:val="634" w:hRule="atLeast"/>
          <w:jc w:val="center"/>
        </w:trPr>
        <w:tc>
          <w:tcPr>
            <w:tcW w:w="3465"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信息内容</w:t>
            </w:r>
          </w:p>
        </w:tc>
        <w:tc>
          <w:tcPr>
            <w:tcW w:w="2087" w:type="dxa"/>
            <w:tcBorders>
              <w:top w:val="single" w:color="auto" w:sz="4" w:space="0"/>
              <w:left w:val="nil"/>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上一年项目数量</w:t>
            </w:r>
          </w:p>
        </w:tc>
        <w:tc>
          <w:tcPr>
            <w:tcW w:w="1415" w:type="dxa"/>
            <w:gridSpan w:val="2"/>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本年增</w:t>
            </w:r>
            <w:r>
              <w:rPr>
                <w:rFonts w:ascii="宋体" w:hAnsi="宋体" w:cs="宋体"/>
                <w:color w:val="000000"/>
                <w:kern w:val="0"/>
                <w:sz w:val="20"/>
              </w:rPr>
              <w:t>/</w:t>
            </w:r>
            <w:r>
              <w:rPr>
                <w:rFonts w:hint="eastAsia" w:ascii="宋体" w:hAnsi="宋体" w:cs="宋体"/>
                <w:color w:val="000000"/>
                <w:kern w:val="0"/>
                <w:sz w:val="20"/>
              </w:rPr>
              <w:t>减</w:t>
            </w:r>
          </w:p>
        </w:tc>
        <w:tc>
          <w:tcPr>
            <w:tcW w:w="2093" w:type="dxa"/>
            <w:tcBorders>
              <w:top w:val="nil"/>
              <w:left w:val="nil"/>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处理决定数量</w:t>
            </w:r>
          </w:p>
        </w:tc>
      </w:tr>
      <w:tr>
        <w:tblPrEx>
          <w:tblLayout w:type="fixed"/>
          <w:tblCellMar>
            <w:top w:w="0" w:type="dxa"/>
            <w:left w:w="108" w:type="dxa"/>
            <w:bottom w:w="0" w:type="dxa"/>
            <w:right w:w="108" w:type="dxa"/>
          </w:tblCellMar>
        </w:tblPrEx>
        <w:trPr>
          <w:trHeight w:val="430" w:hRule="atLeast"/>
          <w:jc w:val="center"/>
        </w:trPr>
        <w:tc>
          <w:tcPr>
            <w:tcW w:w="3465"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行政处罚</w:t>
            </w:r>
          </w:p>
        </w:tc>
        <w:tc>
          <w:tcPr>
            <w:tcW w:w="2092" w:type="dxa"/>
            <w:gridSpan w:val="2"/>
            <w:tcBorders>
              <w:top w:val="single" w:color="auto" w:sz="4" w:space="0"/>
              <w:left w:val="nil"/>
              <w:bottom w:val="single" w:color="auto" w:sz="4" w:space="0"/>
              <w:right w:val="single" w:color="auto" w:sz="4" w:space="0"/>
            </w:tcBorders>
            <w:noWrap/>
            <w:vAlign w:val="center"/>
          </w:tcPr>
          <w:p>
            <w:pPr>
              <w:spacing w:before="100" w:beforeAutospacing="1" w:after="100" w:afterAutospacing="1"/>
              <w:jc w:val="center"/>
              <w:rPr>
                <w:rFonts w:hint="eastAsia" w:ascii="宋体" w:eastAsia="宋体"/>
                <w:kern w:val="0"/>
                <w:sz w:val="24"/>
                <w:szCs w:val="24"/>
                <w:lang w:val="en-US" w:eastAsia="zh-CN"/>
              </w:rPr>
            </w:pPr>
            <w:r>
              <w:rPr>
                <w:rFonts w:hint="eastAsia" w:ascii="宋体"/>
                <w:kern w:val="0"/>
                <w:sz w:val="24"/>
                <w:szCs w:val="24"/>
                <w:lang w:val="en-US" w:eastAsia="zh-CN"/>
              </w:rPr>
              <w:t>0</w:t>
            </w:r>
          </w:p>
        </w:tc>
        <w:tc>
          <w:tcPr>
            <w:tcW w:w="1410" w:type="dxa"/>
            <w:tcBorders>
              <w:top w:val="single" w:color="auto" w:sz="4" w:space="0"/>
              <w:left w:val="nil"/>
              <w:bottom w:val="single" w:color="auto" w:sz="4" w:space="0"/>
              <w:right w:val="single" w:color="auto" w:sz="4" w:space="0"/>
            </w:tcBorders>
            <w:noWrap/>
            <w:vAlign w:val="center"/>
          </w:tcPr>
          <w:p>
            <w:pPr>
              <w:spacing w:before="100" w:beforeAutospacing="1" w:after="100" w:afterAutospacing="1"/>
              <w:jc w:val="center"/>
              <w:rPr>
                <w:rFonts w:hint="eastAsia" w:ascii="宋体" w:eastAsia="宋体"/>
                <w:kern w:val="0"/>
                <w:sz w:val="24"/>
                <w:szCs w:val="24"/>
                <w:lang w:val="en-US" w:eastAsia="zh-CN"/>
              </w:rPr>
            </w:pPr>
            <w:r>
              <w:rPr>
                <w:rFonts w:hint="eastAsia" w:ascii="宋体"/>
                <w:kern w:val="0"/>
                <w:sz w:val="24"/>
                <w:szCs w:val="24"/>
                <w:lang w:val="en-US" w:eastAsia="zh-CN"/>
              </w:rPr>
              <w:t>0</w:t>
            </w:r>
          </w:p>
        </w:tc>
        <w:tc>
          <w:tcPr>
            <w:tcW w:w="2093" w:type="dxa"/>
            <w:tcBorders>
              <w:top w:val="nil"/>
              <w:left w:val="nil"/>
              <w:bottom w:val="single" w:color="auto" w:sz="4" w:space="0"/>
              <w:right w:val="single" w:color="auto" w:sz="4" w:space="0"/>
            </w:tcBorders>
            <w:noWrap/>
            <w:vAlign w:val="center"/>
          </w:tcPr>
          <w:p>
            <w:pPr>
              <w:spacing w:before="100" w:beforeAutospacing="1" w:after="100" w:afterAutospacing="1"/>
              <w:jc w:val="center"/>
              <w:rPr>
                <w:rFonts w:hint="eastAsia" w:ascii="宋体" w:eastAsia="宋体"/>
                <w:kern w:val="0"/>
                <w:sz w:val="24"/>
                <w:szCs w:val="24"/>
                <w:lang w:val="en-US" w:eastAsia="zh-CN"/>
              </w:rPr>
            </w:pPr>
            <w:r>
              <w:rPr>
                <w:rFonts w:hint="eastAsia" w:ascii="宋体"/>
                <w:kern w:val="0"/>
                <w:sz w:val="24"/>
                <w:szCs w:val="24"/>
                <w:lang w:val="en-US" w:eastAsia="zh-CN"/>
              </w:rPr>
              <w:t>0</w:t>
            </w:r>
          </w:p>
        </w:tc>
      </w:tr>
      <w:tr>
        <w:tblPrEx>
          <w:tblLayout w:type="fixed"/>
          <w:tblCellMar>
            <w:top w:w="0" w:type="dxa"/>
            <w:left w:w="108" w:type="dxa"/>
            <w:bottom w:w="0" w:type="dxa"/>
            <w:right w:w="108" w:type="dxa"/>
          </w:tblCellMar>
        </w:tblPrEx>
        <w:trPr>
          <w:trHeight w:val="409" w:hRule="atLeast"/>
          <w:jc w:val="center"/>
        </w:trPr>
        <w:tc>
          <w:tcPr>
            <w:tcW w:w="3465"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行政强制</w:t>
            </w:r>
          </w:p>
        </w:tc>
        <w:tc>
          <w:tcPr>
            <w:tcW w:w="2092" w:type="dxa"/>
            <w:gridSpan w:val="2"/>
            <w:tcBorders>
              <w:top w:val="nil"/>
              <w:left w:val="nil"/>
              <w:bottom w:val="single" w:color="auto" w:sz="4" w:space="0"/>
              <w:right w:val="single" w:color="auto" w:sz="4" w:space="0"/>
            </w:tcBorders>
            <w:noWrap/>
            <w:vAlign w:val="center"/>
          </w:tcPr>
          <w:p>
            <w:pPr>
              <w:spacing w:before="100" w:beforeAutospacing="1" w:after="100" w:afterAutospacing="1"/>
              <w:jc w:val="center"/>
              <w:rPr>
                <w:rFonts w:hint="eastAsia" w:ascii="宋体" w:eastAsia="宋体"/>
                <w:kern w:val="0"/>
                <w:sz w:val="24"/>
                <w:szCs w:val="24"/>
                <w:lang w:val="en-US" w:eastAsia="zh-CN"/>
              </w:rPr>
            </w:pPr>
            <w:r>
              <w:rPr>
                <w:rFonts w:hint="eastAsia" w:ascii="宋体"/>
                <w:kern w:val="0"/>
                <w:sz w:val="24"/>
                <w:szCs w:val="24"/>
                <w:lang w:val="en-US" w:eastAsia="zh-CN"/>
              </w:rPr>
              <w:t>0</w:t>
            </w:r>
          </w:p>
        </w:tc>
        <w:tc>
          <w:tcPr>
            <w:tcW w:w="1410" w:type="dxa"/>
            <w:tcBorders>
              <w:top w:val="nil"/>
              <w:left w:val="nil"/>
              <w:bottom w:val="single" w:color="auto" w:sz="4" w:space="0"/>
              <w:right w:val="single" w:color="auto" w:sz="4" w:space="0"/>
            </w:tcBorders>
            <w:noWrap/>
            <w:vAlign w:val="center"/>
          </w:tcPr>
          <w:p>
            <w:pPr>
              <w:spacing w:before="100" w:beforeAutospacing="1" w:after="100" w:afterAutospacing="1"/>
              <w:jc w:val="center"/>
              <w:rPr>
                <w:rFonts w:hint="eastAsia" w:ascii="宋体" w:eastAsia="宋体"/>
                <w:kern w:val="0"/>
                <w:sz w:val="24"/>
                <w:szCs w:val="24"/>
                <w:lang w:val="en-US" w:eastAsia="zh-CN"/>
              </w:rPr>
            </w:pPr>
            <w:r>
              <w:rPr>
                <w:rFonts w:hint="eastAsia" w:ascii="宋体"/>
                <w:kern w:val="0"/>
                <w:sz w:val="24"/>
                <w:szCs w:val="24"/>
                <w:lang w:val="en-US" w:eastAsia="zh-CN"/>
              </w:rPr>
              <w:t>0</w:t>
            </w:r>
          </w:p>
        </w:tc>
        <w:tc>
          <w:tcPr>
            <w:tcW w:w="2093" w:type="dxa"/>
            <w:tcBorders>
              <w:top w:val="nil"/>
              <w:left w:val="nil"/>
              <w:bottom w:val="single" w:color="auto" w:sz="4" w:space="0"/>
              <w:right w:val="single" w:color="auto" w:sz="4" w:space="0"/>
            </w:tcBorders>
            <w:noWrap/>
            <w:vAlign w:val="center"/>
          </w:tcPr>
          <w:p>
            <w:pPr>
              <w:spacing w:before="100" w:beforeAutospacing="1" w:after="100" w:afterAutospacing="1"/>
              <w:jc w:val="center"/>
              <w:rPr>
                <w:rFonts w:hint="eastAsia" w:ascii="宋体" w:eastAsia="宋体"/>
                <w:kern w:val="0"/>
                <w:sz w:val="24"/>
                <w:szCs w:val="24"/>
                <w:lang w:val="en-US" w:eastAsia="zh-CN"/>
              </w:rPr>
            </w:pPr>
            <w:r>
              <w:rPr>
                <w:rFonts w:hint="eastAsia" w:ascii="宋体"/>
                <w:kern w:val="0"/>
                <w:sz w:val="24"/>
                <w:szCs w:val="24"/>
                <w:lang w:val="en-US" w:eastAsia="zh-CN"/>
              </w:rPr>
              <w:t>0</w:t>
            </w:r>
          </w:p>
        </w:tc>
      </w:tr>
      <w:tr>
        <w:tblPrEx>
          <w:tblLayout w:type="fixed"/>
          <w:tblCellMar>
            <w:top w:w="0" w:type="dxa"/>
            <w:left w:w="108" w:type="dxa"/>
            <w:bottom w:w="0" w:type="dxa"/>
            <w:right w:w="108" w:type="dxa"/>
          </w:tblCellMar>
        </w:tblPrEx>
        <w:trPr>
          <w:trHeight w:val="474" w:hRule="atLeast"/>
          <w:jc w:val="center"/>
        </w:trPr>
        <w:tc>
          <w:tcPr>
            <w:tcW w:w="9060" w:type="dxa"/>
            <w:gridSpan w:val="5"/>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第二十条第（八）项</w:t>
            </w:r>
          </w:p>
        </w:tc>
      </w:tr>
      <w:tr>
        <w:tblPrEx>
          <w:tblLayout w:type="fixed"/>
          <w:tblCellMar>
            <w:top w:w="0" w:type="dxa"/>
            <w:left w:w="108" w:type="dxa"/>
            <w:bottom w:w="0" w:type="dxa"/>
            <w:right w:w="108" w:type="dxa"/>
          </w:tblCellMar>
        </w:tblPrEx>
        <w:trPr>
          <w:trHeight w:val="270" w:hRule="atLeast"/>
          <w:jc w:val="center"/>
        </w:trPr>
        <w:tc>
          <w:tcPr>
            <w:tcW w:w="3465"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信息内容</w:t>
            </w:r>
          </w:p>
        </w:tc>
        <w:tc>
          <w:tcPr>
            <w:tcW w:w="2092" w:type="dxa"/>
            <w:gridSpan w:val="2"/>
            <w:tcBorders>
              <w:top w:val="nil"/>
              <w:left w:val="nil"/>
              <w:bottom w:val="single" w:color="auto" w:sz="4" w:space="0"/>
              <w:right w:val="single" w:color="auto" w:sz="4" w:space="0"/>
            </w:tcBorders>
            <w:noWrap/>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上一年项目数量</w:t>
            </w:r>
          </w:p>
        </w:tc>
        <w:tc>
          <w:tcPr>
            <w:tcW w:w="3503" w:type="dxa"/>
            <w:gridSpan w:val="2"/>
            <w:tcBorders>
              <w:top w:val="single" w:color="auto" w:sz="4" w:space="0"/>
              <w:left w:val="nil"/>
              <w:bottom w:val="single" w:color="auto" w:sz="4" w:space="0"/>
              <w:right w:val="single" w:color="000000"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本年增</w:t>
            </w:r>
            <w:r>
              <w:rPr>
                <w:rFonts w:ascii="宋体" w:hAnsi="宋体" w:cs="宋体"/>
                <w:color w:val="000000"/>
                <w:kern w:val="0"/>
                <w:sz w:val="20"/>
              </w:rPr>
              <w:t>/</w:t>
            </w:r>
            <w:r>
              <w:rPr>
                <w:rFonts w:hint="eastAsia" w:ascii="宋体" w:hAnsi="宋体" w:cs="宋体"/>
                <w:color w:val="000000"/>
                <w:kern w:val="0"/>
                <w:sz w:val="20"/>
              </w:rPr>
              <w:t>减</w:t>
            </w:r>
          </w:p>
        </w:tc>
      </w:tr>
      <w:tr>
        <w:tblPrEx>
          <w:tblLayout w:type="fixed"/>
          <w:tblCellMar>
            <w:top w:w="0" w:type="dxa"/>
            <w:left w:w="108" w:type="dxa"/>
            <w:bottom w:w="0" w:type="dxa"/>
            <w:right w:w="108" w:type="dxa"/>
          </w:tblCellMar>
        </w:tblPrEx>
        <w:trPr>
          <w:trHeight w:val="551" w:hRule="atLeast"/>
          <w:jc w:val="center"/>
        </w:trPr>
        <w:tc>
          <w:tcPr>
            <w:tcW w:w="3465"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行政事业性收费</w:t>
            </w:r>
          </w:p>
        </w:tc>
        <w:tc>
          <w:tcPr>
            <w:tcW w:w="2092" w:type="dxa"/>
            <w:gridSpan w:val="2"/>
            <w:tcBorders>
              <w:top w:val="nil"/>
              <w:left w:val="nil"/>
              <w:bottom w:val="single" w:color="auto" w:sz="4" w:space="0"/>
              <w:right w:val="single" w:color="auto" w:sz="4" w:space="0"/>
            </w:tcBorders>
            <w:noWrap/>
            <w:vAlign w:val="center"/>
          </w:tcPr>
          <w:p>
            <w:pPr>
              <w:spacing w:before="100" w:beforeAutospacing="1" w:after="100" w:afterAutospacing="1"/>
              <w:jc w:val="center"/>
              <w:rPr>
                <w:rFonts w:hint="eastAsia" w:ascii="宋体" w:eastAsia="宋体"/>
                <w:kern w:val="0"/>
                <w:sz w:val="24"/>
                <w:szCs w:val="24"/>
                <w:lang w:val="en-US" w:eastAsia="zh-CN"/>
              </w:rPr>
            </w:pPr>
            <w:r>
              <w:rPr>
                <w:rFonts w:hint="eastAsia" w:ascii="宋体"/>
                <w:kern w:val="0"/>
                <w:sz w:val="24"/>
                <w:szCs w:val="24"/>
                <w:lang w:val="en-US" w:eastAsia="zh-CN"/>
              </w:rPr>
              <w:t>0</w:t>
            </w:r>
          </w:p>
        </w:tc>
        <w:tc>
          <w:tcPr>
            <w:tcW w:w="3503" w:type="dxa"/>
            <w:gridSpan w:val="2"/>
            <w:tcBorders>
              <w:top w:val="single" w:color="auto" w:sz="4" w:space="0"/>
              <w:left w:val="nil"/>
              <w:bottom w:val="single" w:color="auto" w:sz="4" w:space="0"/>
              <w:right w:val="single" w:color="000000" w:sz="4" w:space="0"/>
            </w:tcBorders>
            <w:noWrap/>
            <w:vAlign w:val="center"/>
          </w:tcPr>
          <w:p>
            <w:pPr>
              <w:spacing w:before="100" w:beforeAutospacing="1" w:after="100" w:afterAutospacing="1"/>
              <w:jc w:val="center"/>
              <w:rPr>
                <w:rFonts w:hint="eastAsia" w:ascii="宋体" w:eastAsia="宋体"/>
                <w:kern w:val="0"/>
                <w:sz w:val="24"/>
                <w:szCs w:val="24"/>
                <w:lang w:val="en-US" w:eastAsia="zh-CN"/>
              </w:rPr>
            </w:pPr>
            <w:r>
              <w:rPr>
                <w:rFonts w:hint="eastAsia" w:ascii="宋体"/>
                <w:kern w:val="0"/>
                <w:sz w:val="24"/>
                <w:szCs w:val="24"/>
                <w:lang w:val="en-US" w:eastAsia="zh-CN"/>
              </w:rPr>
              <w:t>0</w:t>
            </w:r>
          </w:p>
        </w:tc>
      </w:tr>
      <w:tr>
        <w:tblPrEx>
          <w:tblLayout w:type="fixed"/>
          <w:tblCellMar>
            <w:top w:w="0" w:type="dxa"/>
            <w:left w:w="108" w:type="dxa"/>
            <w:bottom w:w="0" w:type="dxa"/>
            <w:right w:w="108" w:type="dxa"/>
          </w:tblCellMar>
        </w:tblPrEx>
        <w:trPr>
          <w:trHeight w:val="476" w:hRule="atLeast"/>
          <w:jc w:val="center"/>
        </w:trPr>
        <w:tc>
          <w:tcPr>
            <w:tcW w:w="9060" w:type="dxa"/>
            <w:gridSpan w:val="5"/>
            <w:tcBorders>
              <w:top w:val="single" w:color="auto" w:sz="4" w:space="0"/>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第二十条第（九）项</w:t>
            </w:r>
          </w:p>
        </w:tc>
      </w:tr>
      <w:tr>
        <w:tblPrEx>
          <w:tblLayout w:type="fixed"/>
          <w:tblCellMar>
            <w:top w:w="0" w:type="dxa"/>
            <w:left w:w="108" w:type="dxa"/>
            <w:bottom w:w="0" w:type="dxa"/>
            <w:right w:w="108" w:type="dxa"/>
          </w:tblCellMar>
        </w:tblPrEx>
        <w:trPr>
          <w:trHeight w:val="585" w:hRule="atLeast"/>
          <w:jc w:val="center"/>
        </w:trPr>
        <w:tc>
          <w:tcPr>
            <w:tcW w:w="3465"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信息内容</w:t>
            </w:r>
          </w:p>
        </w:tc>
        <w:tc>
          <w:tcPr>
            <w:tcW w:w="2092" w:type="dxa"/>
            <w:gridSpan w:val="2"/>
            <w:tcBorders>
              <w:top w:val="nil"/>
              <w:left w:val="nil"/>
              <w:bottom w:val="single" w:color="auto" w:sz="4" w:space="0"/>
              <w:right w:val="single" w:color="auto"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采购项目数量</w:t>
            </w:r>
          </w:p>
        </w:tc>
        <w:tc>
          <w:tcPr>
            <w:tcW w:w="3503" w:type="dxa"/>
            <w:gridSpan w:val="2"/>
            <w:tcBorders>
              <w:top w:val="single" w:color="auto" w:sz="4" w:space="0"/>
              <w:left w:val="nil"/>
              <w:bottom w:val="single" w:color="auto" w:sz="4" w:space="0"/>
              <w:right w:val="single" w:color="000000" w:sz="4" w:space="0"/>
            </w:tcBorders>
            <w:noWrap/>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采购总金额</w:t>
            </w:r>
          </w:p>
        </w:tc>
      </w:tr>
      <w:tr>
        <w:tblPrEx>
          <w:tblLayout w:type="fixed"/>
          <w:tblCellMar>
            <w:top w:w="0" w:type="dxa"/>
            <w:left w:w="108" w:type="dxa"/>
            <w:bottom w:w="0" w:type="dxa"/>
            <w:right w:w="108" w:type="dxa"/>
          </w:tblCellMar>
        </w:tblPrEx>
        <w:trPr>
          <w:trHeight w:val="539" w:hRule="atLeast"/>
          <w:jc w:val="center"/>
        </w:trPr>
        <w:tc>
          <w:tcPr>
            <w:tcW w:w="3465" w:type="dxa"/>
            <w:tcBorders>
              <w:top w:val="nil"/>
              <w:left w:val="single" w:color="auto" w:sz="4" w:space="0"/>
              <w:bottom w:val="single" w:color="auto" w:sz="4" w:space="0"/>
              <w:right w:val="single" w:color="auto" w:sz="4" w:space="0"/>
            </w:tcBorders>
            <w:noWrap/>
            <w:vAlign w:val="center"/>
          </w:tcPr>
          <w:p>
            <w:pPr>
              <w:spacing w:before="100" w:beforeAutospacing="1" w:after="100" w:afterAutospacing="1"/>
              <w:jc w:val="left"/>
              <w:rPr>
                <w:rFonts w:ascii="宋体"/>
                <w:kern w:val="0"/>
                <w:sz w:val="24"/>
                <w:szCs w:val="24"/>
              </w:rPr>
            </w:pPr>
            <w:r>
              <w:rPr>
                <w:rFonts w:hint="eastAsia" w:ascii="宋体" w:hAnsi="宋体" w:cs="宋体"/>
                <w:color w:val="000000"/>
                <w:kern w:val="0"/>
                <w:sz w:val="20"/>
              </w:rPr>
              <w:t>政府集中采购</w:t>
            </w:r>
          </w:p>
        </w:tc>
        <w:tc>
          <w:tcPr>
            <w:tcW w:w="2092" w:type="dxa"/>
            <w:gridSpan w:val="2"/>
            <w:tcBorders>
              <w:top w:val="nil"/>
              <w:left w:val="nil"/>
              <w:bottom w:val="single" w:color="auto" w:sz="4" w:space="0"/>
              <w:right w:val="single" w:color="auto" w:sz="4" w:space="0"/>
            </w:tcBorders>
            <w:noWrap/>
            <w:vAlign w:val="center"/>
          </w:tcPr>
          <w:p>
            <w:pPr>
              <w:spacing w:before="100" w:beforeAutospacing="1" w:after="100" w:afterAutospacing="1"/>
              <w:jc w:val="center"/>
              <w:rPr>
                <w:rFonts w:hint="eastAsia" w:ascii="宋体" w:eastAsia="宋体"/>
                <w:kern w:val="0"/>
                <w:sz w:val="24"/>
                <w:szCs w:val="24"/>
                <w:lang w:val="en-US" w:eastAsia="zh-CN"/>
              </w:rPr>
            </w:pPr>
            <w:r>
              <w:rPr>
                <w:rFonts w:hint="eastAsia" w:ascii="宋体"/>
                <w:kern w:val="0"/>
                <w:sz w:val="24"/>
                <w:szCs w:val="24"/>
                <w:lang w:val="en-US" w:eastAsia="zh-CN"/>
              </w:rPr>
              <w:t>0</w:t>
            </w:r>
          </w:p>
        </w:tc>
        <w:tc>
          <w:tcPr>
            <w:tcW w:w="3503" w:type="dxa"/>
            <w:gridSpan w:val="2"/>
            <w:tcBorders>
              <w:top w:val="single" w:color="auto" w:sz="4" w:space="0"/>
              <w:left w:val="nil"/>
              <w:bottom w:val="single" w:color="auto" w:sz="4" w:space="0"/>
              <w:right w:val="single" w:color="000000" w:sz="4" w:space="0"/>
            </w:tcBorders>
            <w:noWrap/>
            <w:vAlign w:val="center"/>
          </w:tcPr>
          <w:p>
            <w:pPr>
              <w:jc w:val="center"/>
              <w:rPr>
                <w:rFonts w:hint="eastAsia" w:ascii="宋体" w:eastAsia="宋体"/>
                <w:kern w:val="0"/>
                <w:sz w:val="24"/>
                <w:szCs w:val="24"/>
                <w:lang w:val="en-US" w:eastAsia="zh-CN"/>
              </w:rPr>
            </w:pPr>
            <w:r>
              <w:rPr>
                <w:rFonts w:hint="eastAsia" w:ascii="宋体"/>
                <w:kern w:val="0"/>
                <w:sz w:val="24"/>
                <w:szCs w:val="24"/>
                <w:lang w:val="en-US" w:eastAsia="zh-CN"/>
              </w:rPr>
              <w:t>0</w:t>
            </w:r>
          </w:p>
        </w:tc>
      </w:tr>
    </w:tbl>
    <w:p>
      <w:pPr>
        <w:widowControl w:val="0"/>
        <w:spacing w:line="590" w:lineRule="exact"/>
        <w:rPr>
          <w:rFonts w:hint="eastAsia" w:ascii="方正黑体_GBK" w:eastAsia="方正黑体_GBK"/>
          <w:sz w:val="32"/>
          <w:szCs w:val="32"/>
          <w:lang w:eastAsia="zh-CN"/>
        </w:rPr>
      </w:pPr>
      <w:r>
        <w:rPr>
          <w:rFonts w:hint="eastAsia" w:ascii="方正黑体_GBK" w:eastAsia="方正黑体_GBK"/>
          <w:sz w:val="32"/>
          <w:szCs w:val="32"/>
          <w:lang w:eastAsia="zh-CN"/>
        </w:rPr>
        <w:t>三、收到和处理政府信息公开申请情况</w:t>
      </w:r>
    </w:p>
    <w:tbl>
      <w:tblPr>
        <w:tblStyle w:val="3"/>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855"/>
        <w:gridCol w:w="2325"/>
        <w:gridCol w:w="630"/>
        <w:gridCol w:w="765"/>
        <w:gridCol w:w="765"/>
        <w:gridCol w:w="825"/>
        <w:gridCol w:w="990"/>
        <w:gridCol w:w="720"/>
        <w:gridCol w:w="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74"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color w:val="000000"/>
                <w:sz w:val="20"/>
              </w:rPr>
              <w:t>（本列数据的勾稽关系为：第一项加第二项之和，等于第三项加第四项之和）</w:t>
            </w:r>
          </w:p>
        </w:tc>
        <w:tc>
          <w:tcPr>
            <w:tcW w:w="5397" w:type="dxa"/>
            <w:gridSpan w:val="7"/>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74"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630" w:type="dxa"/>
            <w:vMerge w:val="restart"/>
            <w:tcBorders>
              <w:top w:val="nil"/>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自然人</w:t>
            </w:r>
          </w:p>
        </w:tc>
        <w:tc>
          <w:tcPr>
            <w:tcW w:w="4065" w:type="dxa"/>
            <w:gridSpan w:val="5"/>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法人或其他组织</w:t>
            </w:r>
          </w:p>
        </w:tc>
        <w:tc>
          <w:tcPr>
            <w:tcW w:w="702" w:type="dxa"/>
            <w:vMerge w:val="restart"/>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74"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630"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商业企业</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科研机构</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社会公益组织</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法律服务机构</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其他</w:t>
            </w:r>
          </w:p>
        </w:tc>
        <w:tc>
          <w:tcPr>
            <w:tcW w:w="702" w:type="dxa"/>
            <w:vMerge w:val="continue"/>
            <w:tcBorders>
              <w:top w:val="single" w:color="auto" w:sz="4" w:space="0"/>
              <w:left w:val="nil"/>
              <w:bottom w:val="single" w:color="auto" w:sz="4" w:space="0"/>
              <w:right w:val="single" w:color="auto" w:sz="4" w:space="0"/>
            </w:tcBorders>
            <w:noWrap w:val="0"/>
            <w:vAlign w:val="center"/>
          </w:tcPr>
          <w:p>
            <w:pPr>
              <w:jc w:val="left"/>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3674" w:type="dxa"/>
            <w:gridSpan w:val="3"/>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hint="eastAsia" w:cs="宋体"/>
                <w:sz w:val="20"/>
              </w:rPr>
              <w:t>一、本年新收政府信息公开申请数量</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rFonts w:hint="eastAsia" w:ascii="宋体"/>
                <w:kern w:val="0"/>
                <w:sz w:val="24"/>
                <w:szCs w:val="24"/>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rFonts w:hint="eastAsia" w:ascii="宋体"/>
                <w:kern w:val="0"/>
                <w:sz w:val="24"/>
                <w:szCs w:val="24"/>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rFonts w:hint="eastAsia" w:ascii="宋体"/>
                <w:kern w:val="0"/>
                <w:sz w:val="24"/>
                <w:szCs w:val="24"/>
                <w:lang w:val="en-US" w:eastAsia="zh-CN"/>
              </w:rPr>
              <w:t>0</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rFonts w:hint="eastAsia" w:ascii="宋体"/>
                <w:kern w:val="0"/>
                <w:sz w:val="24"/>
                <w:szCs w:val="24"/>
                <w:lang w:val="en-US" w:eastAsia="zh-CN"/>
              </w:rPr>
              <w:t>0</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rFonts w:hint="eastAsia" w:ascii="宋体"/>
                <w:kern w:val="0"/>
                <w:sz w:val="24"/>
                <w:szCs w:val="24"/>
                <w:lang w:val="en-US" w:eastAsia="zh-CN"/>
              </w:rPr>
              <w:t>0</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rFonts w:hint="eastAsia" w:ascii="宋体"/>
                <w:kern w:val="0"/>
                <w:sz w:val="24"/>
                <w:szCs w:val="24"/>
                <w:lang w:val="en-US" w:eastAsia="zh-CN"/>
              </w:rPr>
              <w:t>0</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rFonts w:hint="eastAsia" w:ascii="宋体"/>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3674" w:type="dxa"/>
            <w:gridSpan w:val="3"/>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hint="eastAsia" w:cs="宋体"/>
                <w:sz w:val="20"/>
              </w:rPr>
              <w:t>二、上年结转政府信息公开申请数量</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rFonts w:hint="eastAsia" w:ascii="宋体"/>
                <w:kern w:val="0"/>
                <w:sz w:val="24"/>
                <w:szCs w:val="24"/>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rFonts w:hint="eastAsia" w:ascii="宋体"/>
                <w:kern w:val="0"/>
                <w:sz w:val="24"/>
                <w:szCs w:val="24"/>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rFonts w:hint="eastAsia" w:ascii="宋体"/>
                <w:kern w:val="0"/>
                <w:sz w:val="24"/>
                <w:szCs w:val="24"/>
                <w:lang w:val="en-US" w:eastAsia="zh-CN"/>
              </w:rPr>
              <w:t>0</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rFonts w:hint="eastAsia" w:ascii="宋体"/>
                <w:kern w:val="0"/>
                <w:sz w:val="24"/>
                <w:szCs w:val="24"/>
                <w:lang w:val="en-US" w:eastAsia="zh-CN"/>
              </w:rPr>
              <w:t>0</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rFonts w:hint="eastAsia" w:ascii="宋体"/>
                <w:kern w:val="0"/>
                <w:sz w:val="24"/>
                <w:szCs w:val="24"/>
                <w:lang w:val="en-US" w:eastAsia="zh-CN"/>
              </w:rPr>
              <w:t>0</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rFonts w:hint="eastAsia" w:ascii="宋体"/>
                <w:kern w:val="0"/>
                <w:sz w:val="24"/>
                <w:szCs w:val="24"/>
                <w:lang w:val="en-US" w:eastAsia="zh-CN"/>
              </w:rPr>
              <w:t>0</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rFonts w:hint="eastAsia" w:ascii="宋体"/>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restart"/>
            <w:tcBorders>
              <w:top w:val="nil"/>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三、本年度办理结果</w:t>
            </w:r>
          </w:p>
        </w:tc>
        <w:tc>
          <w:tcPr>
            <w:tcW w:w="3180" w:type="dxa"/>
            <w:gridSpan w:val="2"/>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hint="eastAsia" w:ascii="楷体" w:hAnsi="楷体" w:eastAsia="楷体" w:cs="楷体"/>
                <w:sz w:val="20"/>
              </w:rPr>
              <w:t>（一）予以公开</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bookmarkStart w:id="0" w:name="_GoBack"/>
            <w:bookmarkEnd w:id="0"/>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3180" w:type="dxa"/>
            <w:gridSpan w:val="2"/>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hint="eastAsia" w:ascii="楷体" w:hAnsi="楷体" w:eastAsia="楷体" w:cs="楷体"/>
                <w:sz w:val="20"/>
              </w:rPr>
              <w:t>（二）部分公开（区分处理的，只计这一情形，不计其他情形）</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restart"/>
            <w:tcBorders>
              <w:top w:val="nil"/>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hint="eastAsia" w:ascii="楷体" w:hAnsi="楷体" w:eastAsia="楷体" w:cs="楷体"/>
                <w:sz w:val="20"/>
              </w:rPr>
              <w:t>（三）不予公开</w:t>
            </w: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1.</w:t>
            </w:r>
            <w:r>
              <w:rPr>
                <w:rFonts w:hint="eastAsia" w:ascii="楷体" w:hAnsi="楷体" w:eastAsia="楷体" w:cs="楷体"/>
                <w:sz w:val="20"/>
              </w:rPr>
              <w:t>属于国家秘密</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2.</w:t>
            </w:r>
            <w:r>
              <w:rPr>
                <w:rFonts w:hint="eastAsia" w:ascii="楷体" w:hAnsi="楷体" w:eastAsia="楷体" w:cs="楷体"/>
                <w:sz w:val="20"/>
              </w:rPr>
              <w:t>其他法律行政法规禁止公开</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3.</w:t>
            </w:r>
            <w:r>
              <w:rPr>
                <w:rFonts w:hint="eastAsia" w:ascii="楷体" w:hAnsi="楷体" w:eastAsia="楷体" w:cs="楷体"/>
                <w:sz w:val="20"/>
              </w:rPr>
              <w:t>危及“三安全一稳定”</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4.</w:t>
            </w:r>
            <w:r>
              <w:rPr>
                <w:rFonts w:hint="eastAsia" w:ascii="楷体" w:hAnsi="楷体" w:eastAsia="楷体" w:cs="楷体"/>
                <w:sz w:val="20"/>
              </w:rPr>
              <w:t>保护第三方合法权益</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5.</w:t>
            </w:r>
            <w:r>
              <w:rPr>
                <w:rFonts w:hint="eastAsia" w:ascii="楷体" w:hAnsi="楷体" w:eastAsia="楷体" w:cs="楷体"/>
                <w:sz w:val="20"/>
              </w:rPr>
              <w:t>属于三类内部事务信息</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6.</w:t>
            </w:r>
            <w:r>
              <w:rPr>
                <w:rFonts w:hint="eastAsia" w:ascii="楷体" w:hAnsi="楷体" w:eastAsia="楷体" w:cs="楷体"/>
                <w:sz w:val="20"/>
              </w:rPr>
              <w:t>属于四类过程性信息</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7.</w:t>
            </w:r>
            <w:r>
              <w:rPr>
                <w:rFonts w:hint="eastAsia" w:ascii="楷体" w:hAnsi="楷体" w:eastAsia="楷体" w:cs="楷体"/>
                <w:sz w:val="20"/>
              </w:rPr>
              <w:t>属于行政执法案卷</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8.</w:t>
            </w:r>
            <w:r>
              <w:rPr>
                <w:rFonts w:hint="eastAsia" w:ascii="楷体" w:hAnsi="楷体" w:eastAsia="楷体" w:cs="楷体"/>
                <w:sz w:val="20"/>
              </w:rPr>
              <w:t>属于行政查询事项</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restart"/>
            <w:tcBorders>
              <w:top w:val="nil"/>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hint="eastAsia" w:ascii="楷体" w:hAnsi="楷体" w:eastAsia="楷体" w:cs="楷体"/>
                <w:sz w:val="20"/>
              </w:rPr>
              <w:t>（四）无法提供</w:t>
            </w: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1.</w:t>
            </w:r>
            <w:r>
              <w:rPr>
                <w:rFonts w:hint="eastAsia" w:ascii="楷体" w:hAnsi="楷体" w:eastAsia="楷体" w:cs="楷体"/>
                <w:sz w:val="20"/>
              </w:rPr>
              <w:t>本机关不掌握相关政府信息</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2.</w:t>
            </w:r>
            <w:r>
              <w:rPr>
                <w:rFonts w:hint="eastAsia" w:ascii="楷体" w:hAnsi="楷体" w:eastAsia="楷体" w:cs="楷体"/>
                <w:sz w:val="20"/>
              </w:rPr>
              <w:t>没有现成信息需要另行制作</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3.</w:t>
            </w:r>
            <w:r>
              <w:rPr>
                <w:rFonts w:hint="eastAsia" w:ascii="楷体" w:hAnsi="楷体" w:eastAsia="楷体" w:cs="楷体"/>
                <w:sz w:val="20"/>
              </w:rPr>
              <w:t>补正后申请内容仍不明确</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restart"/>
            <w:tcBorders>
              <w:top w:val="nil"/>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hint="eastAsia" w:ascii="楷体" w:hAnsi="楷体" w:eastAsia="楷体" w:cs="楷体"/>
                <w:sz w:val="20"/>
              </w:rPr>
              <w:t>（五）不予处理</w:t>
            </w: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1.</w:t>
            </w:r>
            <w:r>
              <w:rPr>
                <w:rFonts w:hint="eastAsia" w:ascii="楷体" w:hAnsi="楷体" w:eastAsia="楷体" w:cs="楷体"/>
                <w:sz w:val="20"/>
              </w:rPr>
              <w:t>信访举报投诉类申请</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2.</w:t>
            </w:r>
            <w:r>
              <w:rPr>
                <w:rFonts w:hint="eastAsia" w:ascii="楷体" w:hAnsi="楷体" w:eastAsia="楷体" w:cs="楷体"/>
                <w:sz w:val="20"/>
              </w:rPr>
              <w:t>重复申请</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3.</w:t>
            </w:r>
            <w:r>
              <w:rPr>
                <w:rFonts w:hint="eastAsia" w:ascii="楷体" w:hAnsi="楷体" w:eastAsia="楷体" w:cs="楷体"/>
                <w:sz w:val="20"/>
              </w:rPr>
              <w:t>要求提供公开出版物</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4.</w:t>
            </w:r>
            <w:r>
              <w:rPr>
                <w:rFonts w:hint="eastAsia" w:ascii="楷体" w:hAnsi="楷体" w:eastAsia="楷体" w:cs="楷体"/>
                <w:sz w:val="20"/>
              </w:rPr>
              <w:t>无正当理由大量反复申请</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855"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23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ascii="楷体" w:hAnsi="楷体" w:eastAsia="楷体" w:cs="楷体"/>
                <w:sz w:val="20"/>
              </w:rPr>
              <w:t>5.</w:t>
            </w:r>
            <w:r>
              <w:rPr>
                <w:rFonts w:hint="eastAsia" w:ascii="楷体" w:hAnsi="楷体" w:eastAsia="楷体" w:cs="楷体"/>
                <w:sz w:val="20"/>
              </w:rPr>
              <w:t>要求行政机关确认或重新出具已获取信息</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3180" w:type="dxa"/>
            <w:gridSpan w:val="2"/>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hint="eastAsia" w:ascii="楷体" w:hAnsi="楷体" w:eastAsia="楷体" w:cs="楷体"/>
                <w:sz w:val="20"/>
              </w:rPr>
              <w:t>（六）其他处理</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9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3180" w:type="dxa"/>
            <w:gridSpan w:val="2"/>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hint="eastAsia" w:ascii="楷体" w:hAnsi="楷体" w:eastAsia="楷体" w:cs="楷体"/>
                <w:sz w:val="20"/>
              </w:rPr>
              <w:t>（七）总计</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default" w:ascii="宋体" w:eastAsia="宋体"/>
                <w:kern w:val="0"/>
                <w:sz w:val="24"/>
                <w:szCs w:val="24"/>
                <w:lang w:val="en-US" w:eastAsia="zh-CN"/>
              </w:rPr>
            </w:pPr>
            <w:r>
              <w:rPr>
                <w:rFonts w:hint="eastAsia" w:ascii="宋体"/>
                <w:kern w:val="0"/>
                <w:sz w:val="24"/>
                <w:szCs w:val="24"/>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default" w:ascii="宋体" w:eastAsia="宋体"/>
                <w:kern w:val="0"/>
                <w:sz w:val="24"/>
                <w:szCs w:val="24"/>
                <w:lang w:val="en-US" w:eastAsia="zh-CN"/>
              </w:rPr>
            </w:pPr>
            <w:r>
              <w:rPr>
                <w:rFonts w:hint="eastAsia" w:ascii="宋体"/>
                <w:kern w:val="0"/>
                <w:sz w:val="24"/>
                <w:szCs w:val="24"/>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rFonts w:hint="eastAsia" w:ascii="宋体"/>
                <w:kern w:val="0"/>
                <w:sz w:val="24"/>
                <w:szCs w:val="24"/>
                <w:lang w:val="en-US" w:eastAsia="zh-CN"/>
              </w:rPr>
              <w:t>0</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rFonts w:hint="eastAsia" w:ascii="宋体"/>
                <w:kern w:val="0"/>
                <w:sz w:val="24"/>
                <w:szCs w:val="24"/>
                <w:lang w:val="en-US" w:eastAsia="zh-CN"/>
              </w:rPr>
              <w:t>0</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rFonts w:hint="eastAsia" w:ascii="宋体"/>
                <w:kern w:val="0"/>
                <w:sz w:val="24"/>
                <w:szCs w:val="24"/>
                <w:lang w:val="en-US" w:eastAsia="zh-CN"/>
              </w:rPr>
              <w:t>0</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rFonts w:hint="eastAsia" w:ascii="宋体"/>
                <w:kern w:val="0"/>
                <w:sz w:val="24"/>
                <w:szCs w:val="24"/>
                <w:lang w:val="en-US" w:eastAsia="zh-CN"/>
              </w:rPr>
              <w:t>0</w:t>
            </w:r>
          </w:p>
        </w:tc>
        <w:tc>
          <w:tcPr>
            <w:tcW w:w="702"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rFonts w:hint="eastAsia" w:ascii="宋体"/>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jc w:val="center"/>
        </w:trPr>
        <w:tc>
          <w:tcPr>
            <w:tcW w:w="3674" w:type="dxa"/>
            <w:gridSpan w:val="3"/>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left"/>
              <w:rPr>
                <w:rFonts w:ascii="宋体"/>
                <w:kern w:val="0"/>
                <w:sz w:val="24"/>
                <w:szCs w:val="24"/>
              </w:rPr>
            </w:pPr>
            <w:r>
              <w:rPr>
                <w:rFonts w:hint="eastAsia" w:cs="宋体"/>
                <w:sz w:val="20"/>
              </w:rPr>
              <w:t>四、结转下年度继续办理</w:t>
            </w:r>
          </w:p>
        </w:tc>
        <w:tc>
          <w:tcPr>
            <w:tcW w:w="63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rFonts w:hint="eastAsia" w:ascii="宋体"/>
                <w:kern w:val="0"/>
                <w:sz w:val="24"/>
                <w:szCs w:val="24"/>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rFonts w:hint="eastAsia" w:ascii="宋体"/>
                <w:kern w:val="0"/>
                <w:sz w:val="24"/>
                <w:szCs w:val="24"/>
                <w:lang w:val="en-US" w:eastAsia="zh-CN"/>
              </w:rPr>
              <w:t>0</w:t>
            </w:r>
          </w:p>
        </w:tc>
        <w:tc>
          <w:tcPr>
            <w:tcW w:w="76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rFonts w:hint="eastAsia" w:ascii="宋体"/>
                <w:kern w:val="0"/>
                <w:sz w:val="24"/>
                <w:szCs w:val="24"/>
                <w:lang w:val="en-US" w:eastAsia="zh-CN"/>
              </w:rPr>
              <w:t>0</w:t>
            </w:r>
          </w:p>
        </w:tc>
        <w:tc>
          <w:tcPr>
            <w:tcW w:w="82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rFonts w:hint="eastAsia" w:ascii="宋体"/>
                <w:kern w:val="0"/>
                <w:sz w:val="24"/>
                <w:szCs w:val="24"/>
                <w:lang w:val="en-US" w:eastAsia="zh-CN"/>
              </w:rPr>
              <w:t>0</w:t>
            </w:r>
          </w:p>
        </w:tc>
        <w:tc>
          <w:tcPr>
            <w:tcW w:w="99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rFonts w:hint="eastAsia" w:ascii="宋体"/>
                <w:kern w:val="0"/>
                <w:sz w:val="24"/>
                <w:szCs w:val="24"/>
                <w:lang w:val="en-US" w:eastAsia="zh-CN"/>
              </w:rPr>
              <w:t>0</w:t>
            </w:r>
          </w:p>
        </w:tc>
        <w:tc>
          <w:tcPr>
            <w:tcW w:w="72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rFonts w:hint="eastAsia" w:ascii="宋体"/>
                <w:kern w:val="0"/>
                <w:sz w:val="24"/>
                <w:szCs w:val="24"/>
                <w:lang w:val="en-US" w:eastAsia="zh-CN"/>
              </w:rPr>
              <w:t>0</w:t>
            </w:r>
          </w:p>
        </w:tc>
        <w:tc>
          <w:tcPr>
            <w:tcW w:w="702" w:type="dxa"/>
            <w:tcBorders>
              <w:top w:val="single" w:color="auto" w:sz="4" w:space="0"/>
              <w:left w:val="nil"/>
              <w:bottom w:val="single" w:color="auto" w:sz="4" w:space="0"/>
              <w:right w:val="single" w:color="auto" w:sz="4" w:space="0"/>
            </w:tcBorders>
            <w:noWrap w:val="0"/>
            <w:vAlign w:val="center"/>
          </w:tcPr>
          <w:p>
            <w:pPr>
              <w:jc w:val="center"/>
              <w:rPr>
                <w:rFonts w:hint="eastAsia" w:ascii="宋体" w:eastAsia="宋体"/>
                <w:kern w:val="0"/>
                <w:sz w:val="24"/>
                <w:szCs w:val="24"/>
                <w:lang w:val="en-US" w:eastAsia="zh-CN"/>
              </w:rPr>
            </w:pPr>
            <w:r>
              <w:rPr>
                <w:rFonts w:hint="eastAsia" w:ascii="宋体"/>
                <w:kern w:val="0"/>
                <w:sz w:val="24"/>
                <w:szCs w:val="24"/>
                <w:lang w:val="en-US" w:eastAsia="zh-CN"/>
              </w:rPr>
              <w:t>0</w:t>
            </w:r>
          </w:p>
        </w:tc>
      </w:tr>
    </w:tbl>
    <w:p>
      <w:pPr>
        <w:widowControl w:val="0"/>
        <w:spacing w:line="590" w:lineRule="exact"/>
        <w:rPr>
          <w:rFonts w:hint="eastAsia" w:ascii="方正黑体_GBK" w:eastAsia="方正黑体_GBK"/>
          <w:sz w:val="32"/>
          <w:szCs w:val="32"/>
          <w:lang w:eastAsia="zh-CN"/>
        </w:rPr>
      </w:pPr>
      <w:r>
        <w:rPr>
          <w:rFonts w:hint="eastAsia" w:ascii="方正黑体_GBK" w:eastAsia="方正黑体_GBK"/>
          <w:sz w:val="32"/>
          <w:szCs w:val="32"/>
          <w:lang w:eastAsia="zh-CN"/>
        </w:rPr>
        <w:t>四、政府信息公开行政复议、行政诉讼情况</w:t>
      </w:r>
    </w:p>
    <w:tbl>
      <w:tblPr>
        <w:tblStyle w:val="3"/>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行政复议</w:t>
            </w:r>
          </w:p>
        </w:tc>
        <w:tc>
          <w:tcPr>
            <w:tcW w:w="5997" w:type="dxa"/>
            <w:gridSpan w:val="10"/>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结果维持</w:t>
            </w:r>
          </w:p>
        </w:tc>
        <w:tc>
          <w:tcPr>
            <w:tcW w:w="604" w:type="dxa"/>
            <w:vMerge w:val="restart"/>
            <w:tcBorders>
              <w:top w:val="nil"/>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结果纠正</w:t>
            </w:r>
          </w:p>
        </w:tc>
        <w:tc>
          <w:tcPr>
            <w:tcW w:w="604" w:type="dxa"/>
            <w:vMerge w:val="restart"/>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其他结果</w:t>
            </w:r>
          </w:p>
        </w:tc>
        <w:tc>
          <w:tcPr>
            <w:tcW w:w="604" w:type="dxa"/>
            <w:vMerge w:val="restart"/>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尚未审结</w:t>
            </w:r>
          </w:p>
        </w:tc>
        <w:tc>
          <w:tcPr>
            <w:tcW w:w="658" w:type="dxa"/>
            <w:vMerge w:val="restart"/>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总计</w:t>
            </w:r>
          </w:p>
        </w:tc>
        <w:tc>
          <w:tcPr>
            <w:tcW w:w="2970" w:type="dxa"/>
            <w:gridSpan w:val="5"/>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未经复议直接起诉</w:t>
            </w:r>
          </w:p>
        </w:tc>
        <w:tc>
          <w:tcPr>
            <w:tcW w:w="3027" w:type="dxa"/>
            <w:gridSpan w:val="5"/>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noWrap w:val="0"/>
            <w:vAlign w:val="center"/>
          </w:tcPr>
          <w:p>
            <w:pPr>
              <w:jc w:val="left"/>
              <w:rPr>
                <w:rFonts w:ascii="宋体"/>
                <w:kern w:val="0"/>
                <w:sz w:val="24"/>
                <w:szCs w:val="24"/>
              </w:rPr>
            </w:pPr>
          </w:p>
        </w:tc>
        <w:tc>
          <w:tcPr>
            <w:tcW w:w="604" w:type="dxa"/>
            <w:vMerge w:val="continue"/>
            <w:tcBorders>
              <w:top w:val="nil"/>
              <w:left w:val="nil"/>
              <w:bottom w:val="single" w:color="auto" w:sz="4" w:space="0"/>
              <w:right w:val="single" w:color="auto" w:sz="4" w:space="0"/>
            </w:tcBorders>
            <w:noWrap w:val="0"/>
            <w:vAlign w:val="center"/>
          </w:tcPr>
          <w:p>
            <w:pPr>
              <w:jc w:val="left"/>
              <w:rPr>
                <w:rFonts w:ascii="宋体"/>
                <w:kern w:val="0"/>
                <w:sz w:val="24"/>
                <w:szCs w:val="24"/>
              </w:rPr>
            </w:pPr>
          </w:p>
        </w:tc>
        <w:tc>
          <w:tcPr>
            <w:tcW w:w="604" w:type="dxa"/>
            <w:vMerge w:val="continue"/>
            <w:tcBorders>
              <w:top w:val="single" w:color="auto" w:sz="4" w:space="0"/>
              <w:left w:val="nil"/>
              <w:bottom w:val="single" w:color="auto" w:sz="4" w:space="0"/>
              <w:right w:val="single" w:color="auto" w:sz="4" w:space="0"/>
            </w:tcBorders>
            <w:noWrap w:val="0"/>
            <w:vAlign w:val="center"/>
          </w:tcPr>
          <w:p>
            <w:pPr>
              <w:jc w:val="left"/>
              <w:rPr>
                <w:rFonts w:ascii="宋体"/>
                <w:kern w:val="0"/>
                <w:sz w:val="24"/>
                <w:szCs w:val="24"/>
              </w:rPr>
            </w:pPr>
          </w:p>
        </w:tc>
        <w:tc>
          <w:tcPr>
            <w:tcW w:w="604" w:type="dxa"/>
            <w:vMerge w:val="continue"/>
            <w:tcBorders>
              <w:top w:val="single" w:color="auto" w:sz="4" w:space="0"/>
              <w:left w:val="nil"/>
              <w:bottom w:val="single" w:color="auto" w:sz="4" w:space="0"/>
              <w:right w:val="single" w:color="auto" w:sz="4" w:space="0"/>
            </w:tcBorders>
            <w:noWrap w:val="0"/>
            <w:vAlign w:val="center"/>
          </w:tcPr>
          <w:p>
            <w:pPr>
              <w:jc w:val="left"/>
              <w:rPr>
                <w:rFonts w:ascii="宋体"/>
                <w:kern w:val="0"/>
                <w:sz w:val="24"/>
                <w:szCs w:val="24"/>
              </w:rPr>
            </w:pPr>
          </w:p>
        </w:tc>
        <w:tc>
          <w:tcPr>
            <w:tcW w:w="658" w:type="dxa"/>
            <w:vMerge w:val="continue"/>
            <w:tcBorders>
              <w:top w:val="single" w:color="auto" w:sz="4" w:space="0"/>
              <w:left w:val="nil"/>
              <w:bottom w:val="single" w:color="auto" w:sz="4" w:space="0"/>
              <w:right w:val="single" w:color="auto" w:sz="4" w:space="0"/>
            </w:tcBorders>
            <w:noWrap w:val="0"/>
            <w:vAlign w:val="center"/>
          </w:tcPr>
          <w:p>
            <w:pPr>
              <w:jc w:val="left"/>
              <w:rPr>
                <w:rFonts w:ascii="宋体"/>
                <w:kern w:val="0"/>
                <w:sz w:val="24"/>
                <w:szCs w:val="24"/>
              </w:rPr>
            </w:pPr>
          </w:p>
        </w:tc>
        <w:tc>
          <w:tcPr>
            <w:tcW w:w="55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结果维持</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结果纠正</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其他结果</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尚未审结</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总计</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结果维持</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结果纠正</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其他结果</w:t>
            </w:r>
          </w:p>
        </w:tc>
        <w:tc>
          <w:tcPr>
            <w:tcW w:w="606"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cs="宋体"/>
                <w:sz w:val="20"/>
              </w:rPr>
              <w:t>尚未审结</w:t>
            </w:r>
          </w:p>
        </w:tc>
        <w:tc>
          <w:tcPr>
            <w:tcW w:w="606"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ascii="宋体"/>
                <w:kern w:val="0"/>
                <w:sz w:val="24"/>
                <w:szCs w:val="24"/>
              </w:rPr>
            </w:pPr>
            <w:r>
              <w:rPr>
                <w:rFonts w:hint="eastAsia" w:ascii="宋体" w:hAnsi="宋体" w:cs="宋体"/>
                <w:color w:val="000000"/>
                <w:kern w:val="0"/>
                <w:sz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4"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rFonts w:hint="eastAsia" w:ascii="宋体"/>
                <w:kern w:val="0"/>
                <w:sz w:val="24"/>
                <w:szCs w:val="24"/>
                <w:lang w:val="en-US" w:eastAsia="zh-CN"/>
              </w:rPr>
              <w:t>0</w:t>
            </w:r>
          </w:p>
        </w:tc>
        <w:tc>
          <w:tcPr>
            <w:tcW w:w="604"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rFonts w:hint="eastAsia" w:ascii="宋体"/>
                <w:kern w:val="0"/>
                <w:sz w:val="24"/>
                <w:szCs w:val="24"/>
                <w:lang w:val="en-US" w:eastAsia="zh-CN"/>
              </w:rPr>
              <w:t>0</w:t>
            </w:r>
          </w:p>
        </w:tc>
        <w:tc>
          <w:tcPr>
            <w:tcW w:w="604"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rFonts w:hint="eastAsia" w:ascii="宋体"/>
                <w:kern w:val="0"/>
                <w:sz w:val="24"/>
                <w:szCs w:val="24"/>
                <w:lang w:val="en-US" w:eastAsia="zh-CN"/>
              </w:rPr>
              <w:t>0</w:t>
            </w:r>
          </w:p>
        </w:tc>
        <w:tc>
          <w:tcPr>
            <w:tcW w:w="604"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rFonts w:hint="eastAsia" w:ascii="宋体"/>
                <w:kern w:val="0"/>
                <w:sz w:val="24"/>
                <w:szCs w:val="24"/>
                <w:lang w:val="en-US" w:eastAsia="zh-CN"/>
              </w:rPr>
              <w:t>0</w:t>
            </w:r>
          </w:p>
        </w:tc>
        <w:tc>
          <w:tcPr>
            <w:tcW w:w="658"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rFonts w:hint="eastAsia" w:ascii="宋体"/>
                <w:kern w:val="0"/>
                <w:sz w:val="24"/>
                <w:szCs w:val="24"/>
                <w:lang w:val="en-US" w:eastAsia="zh-CN"/>
              </w:rPr>
              <w:t>0</w:t>
            </w:r>
          </w:p>
        </w:tc>
        <w:tc>
          <w:tcPr>
            <w:tcW w:w="550"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rFonts w:hint="eastAsia" w:ascii="宋体"/>
                <w:kern w:val="0"/>
                <w:sz w:val="24"/>
                <w:szCs w:val="24"/>
                <w:lang w:val="en-US" w:eastAsia="zh-CN"/>
              </w:rPr>
              <w:t>0</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rFonts w:hint="eastAsia" w:ascii="宋体"/>
                <w:kern w:val="0"/>
                <w:sz w:val="24"/>
                <w:szCs w:val="24"/>
                <w:lang w:val="en-US" w:eastAsia="zh-CN"/>
              </w:rPr>
              <w:t>0</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rFonts w:hint="eastAsia" w:ascii="宋体"/>
                <w:kern w:val="0"/>
                <w:sz w:val="24"/>
                <w:szCs w:val="24"/>
                <w:lang w:val="en-US" w:eastAsia="zh-CN"/>
              </w:rPr>
              <w:t>0</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rFonts w:hint="eastAsia" w:ascii="宋体"/>
                <w:kern w:val="0"/>
                <w:sz w:val="24"/>
                <w:szCs w:val="24"/>
                <w:lang w:val="en-US" w:eastAsia="zh-CN"/>
              </w:rPr>
              <w:t>0</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rFonts w:hint="eastAsia" w:ascii="宋体"/>
                <w:kern w:val="0"/>
                <w:sz w:val="24"/>
                <w:szCs w:val="24"/>
                <w:lang w:val="en-US" w:eastAsia="zh-CN"/>
              </w:rPr>
              <w:t>0</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rFonts w:hint="eastAsia" w:ascii="宋体"/>
                <w:kern w:val="0"/>
                <w:sz w:val="24"/>
                <w:szCs w:val="24"/>
                <w:lang w:val="en-US" w:eastAsia="zh-CN"/>
              </w:rPr>
              <w:t>0</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rFonts w:hint="eastAsia" w:ascii="宋体"/>
                <w:kern w:val="0"/>
                <w:sz w:val="24"/>
                <w:szCs w:val="24"/>
                <w:lang w:val="en-US" w:eastAsia="zh-CN"/>
              </w:rPr>
              <w:t>0</w:t>
            </w:r>
          </w:p>
        </w:tc>
        <w:tc>
          <w:tcPr>
            <w:tcW w:w="605"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rFonts w:hint="eastAsia" w:ascii="宋体"/>
                <w:kern w:val="0"/>
                <w:sz w:val="24"/>
                <w:szCs w:val="24"/>
                <w:lang w:val="en-US" w:eastAsia="zh-CN"/>
              </w:rPr>
              <w:t>0</w:t>
            </w:r>
          </w:p>
        </w:tc>
        <w:tc>
          <w:tcPr>
            <w:tcW w:w="606" w:type="dxa"/>
            <w:tcBorders>
              <w:top w:val="single" w:color="auto" w:sz="4" w:space="0"/>
              <w:left w:val="nil"/>
              <w:bottom w:val="single" w:color="auto" w:sz="4" w:space="0"/>
              <w:right w:val="single" w:color="auto" w:sz="4" w:space="0"/>
            </w:tcBorders>
            <w:noWrap w:val="0"/>
            <w:vAlign w:val="center"/>
          </w:tcPr>
          <w:p>
            <w:pPr>
              <w:spacing w:before="100" w:beforeAutospacing="1" w:after="100" w:afterAutospacing="1"/>
              <w:jc w:val="center"/>
              <w:rPr>
                <w:rFonts w:hint="eastAsia" w:ascii="宋体" w:eastAsia="宋体"/>
                <w:kern w:val="0"/>
                <w:sz w:val="24"/>
                <w:szCs w:val="24"/>
                <w:lang w:val="en-US" w:eastAsia="zh-CN"/>
              </w:rPr>
            </w:pPr>
            <w:r>
              <w:rPr>
                <w:rFonts w:hint="eastAsia" w:ascii="宋体"/>
                <w:kern w:val="0"/>
                <w:sz w:val="24"/>
                <w:szCs w:val="24"/>
                <w:lang w:val="en-US" w:eastAsia="zh-CN"/>
              </w:rPr>
              <w:t>0</w:t>
            </w:r>
          </w:p>
        </w:tc>
        <w:tc>
          <w:tcPr>
            <w:tcW w:w="606" w:type="dxa"/>
            <w:tcBorders>
              <w:top w:val="single" w:color="auto" w:sz="4" w:space="0"/>
              <w:left w:val="nil"/>
              <w:bottom w:val="single" w:color="auto" w:sz="4" w:space="0"/>
              <w:right w:val="single" w:color="auto" w:sz="4" w:space="0"/>
            </w:tcBorders>
            <w:noWrap w:val="0"/>
            <w:vAlign w:val="center"/>
          </w:tcPr>
          <w:p>
            <w:pPr>
              <w:jc w:val="center"/>
              <w:rPr>
                <w:rFonts w:hint="eastAsia" w:ascii="宋体" w:eastAsia="宋体"/>
                <w:kern w:val="0"/>
                <w:sz w:val="24"/>
                <w:szCs w:val="24"/>
                <w:lang w:val="en-US" w:eastAsia="zh-CN"/>
              </w:rPr>
            </w:pPr>
            <w:r>
              <w:rPr>
                <w:rFonts w:hint="eastAsia" w:ascii="宋体"/>
                <w:kern w:val="0"/>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eastAsia="方正黑体_GBK"/>
          <w:sz w:val="32"/>
          <w:szCs w:val="32"/>
          <w:lang w:eastAsia="zh-CN"/>
        </w:rPr>
      </w:pPr>
      <w:r>
        <w:rPr>
          <w:rFonts w:hint="eastAsia" w:ascii="方正黑体_GBK" w:eastAsia="方正黑体_GBK"/>
          <w:sz w:val="32"/>
          <w:szCs w:val="32"/>
          <w:lang w:eastAsia="zh-CN"/>
        </w:rPr>
        <w:t>五、存在的主要问题及改进情况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eastAsia="方正仿宋_GBK"/>
          <w:sz w:val="32"/>
          <w:szCs w:val="32"/>
          <w:lang w:eastAsia="zh-CN"/>
        </w:rPr>
      </w:pPr>
      <w:r>
        <w:rPr>
          <w:rFonts w:hint="eastAsia" w:eastAsia="方正仿宋_GBK"/>
          <w:sz w:val="32"/>
          <w:szCs w:val="32"/>
          <w:lang w:eastAsia="zh-CN"/>
        </w:rPr>
        <w:t>2020年，华宁县医疗保障局按时完成所有政府信息约稿任务，未出现迟报漏报、错别字、错误用语的现象，未出现被信息部门通报批评的情况；且按要求达到政府信息考核分数指标。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eastAsia="方正仿宋_GBK"/>
          <w:sz w:val="32"/>
          <w:szCs w:val="32"/>
          <w:lang w:eastAsia="zh-CN"/>
        </w:rPr>
      </w:pPr>
      <w:r>
        <w:rPr>
          <w:rFonts w:hint="eastAsia" w:eastAsia="方正仿宋_GBK"/>
          <w:sz w:val="32"/>
          <w:szCs w:val="32"/>
          <w:lang w:eastAsia="zh-CN"/>
        </w:rPr>
        <w:t>在今后的工作中，华宁县医保局将继续积极贯彻落实省、市、县有关文件精神，进一步做好政务公开工作。一方面详细了解和借鉴工作开展好、内容规范的其他单位信息工作经验，不断提高信息质量。其次是进一步完善制度，丰富内容。严格按照和的要求开展工作，逐步增强依法公开，主动公开意识，不断丰富政务信息公开内容，完善信息公开目录，创新公开形式，力求使公开的信息更贴近公众、方便群众。再次是进一步规范管理，加强自检自查。不断完善细化政务信息公开目录和内容，增强政务信息公开工作的针对性，增加发布信息量，提高采集业务数据的及时性、准确性，增强服务意识，真正做到以公开促廉政，以公开树形象，推动医保工作健康有序发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eastAsia="方正黑体_GBK"/>
          <w:sz w:val="32"/>
          <w:szCs w:val="32"/>
          <w:lang w:eastAsia="zh-CN"/>
        </w:rPr>
      </w:pPr>
      <w:r>
        <w:rPr>
          <w:rFonts w:hint="eastAsia" w:ascii="方正黑体_GBK" w:eastAsia="方正黑体_GBK"/>
          <w:sz w:val="32"/>
          <w:szCs w:val="32"/>
          <w:lang w:eastAsia="zh-CN"/>
        </w:rPr>
        <w:t>六、其他需要报告的事项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eastAsia="方正仿宋_GBK"/>
          <w:sz w:val="32"/>
          <w:szCs w:val="32"/>
          <w:lang w:eastAsia="zh-CN"/>
        </w:rPr>
      </w:pPr>
      <w:r>
        <w:rPr>
          <w:rFonts w:hint="eastAsia" w:eastAsia="方正仿宋_GBK"/>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eastAsia="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eastAsia="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right"/>
        <w:textAlignment w:val="auto"/>
        <w:rPr>
          <w:rFonts w:hint="eastAsia" w:eastAsia="方正仿宋_GBK"/>
          <w:sz w:val="32"/>
          <w:szCs w:val="32"/>
          <w:lang w:eastAsia="zh-CN"/>
        </w:rPr>
      </w:pPr>
      <w:r>
        <w:rPr>
          <w:rFonts w:hint="eastAsia" w:eastAsia="方正仿宋_GBK"/>
          <w:sz w:val="32"/>
          <w:szCs w:val="32"/>
          <w:lang w:eastAsia="zh-CN"/>
        </w:rPr>
        <w:t>华宁县医疗保障局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right"/>
        <w:textAlignment w:val="auto"/>
        <w:rPr>
          <w:rFonts w:hint="default" w:eastAsia="方正仿宋_GBK"/>
          <w:sz w:val="32"/>
          <w:szCs w:val="32"/>
          <w:lang w:val="en-US" w:eastAsia="zh-CN"/>
        </w:rPr>
      </w:pPr>
      <w:r>
        <w:rPr>
          <w:rFonts w:hint="eastAsia" w:eastAsia="方正仿宋_GBK"/>
          <w:sz w:val="32"/>
          <w:szCs w:val="32"/>
          <w:lang w:val="en-US" w:eastAsia="zh-CN"/>
        </w:rPr>
        <w:t>2021年1月20日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B2756C"/>
    <w:rsid w:val="0A2449D5"/>
    <w:rsid w:val="0A9D666F"/>
    <w:rsid w:val="0F3C4B3C"/>
    <w:rsid w:val="2D3070C6"/>
    <w:rsid w:val="34525356"/>
    <w:rsid w:val="594A4B78"/>
    <w:rsid w:val="5B8E3BE1"/>
    <w:rsid w:val="5CB2756C"/>
    <w:rsid w:val="69E85587"/>
    <w:rsid w:val="7362508E"/>
    <w:rsid w:val="7CD83D2B"/>
    <w:rsid w:val="7FB85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ascii="Times New Roman" w:hAnsi="Times New Roman" w:eastAsia="宋体" w:cs="Times New Roman"/>
      <w:kern w:val="2"/>
      <w:sz w:val="21"/>
      <w:lang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玉溪市华宁县党政机关单位</Company>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2021-01-20T08:06:00Z</dcterms:created>
  <dc:creator>金致远</dc:creator>
  <cp:lastModifiedBy>金致远</cp:lastModifiedBy>
  <dcterms:modified xsi:type="dcterms:W3CDTF">2021-01-25T03:00:20Z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