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仿宋_GBK" w:eastAsia="方正黑体_GBK" w:cs="方正仿宋_GBK"/>
          <w:sz w:val="28"/>
          <w:szCs w:val="28"/>
        </w:rPr>
      </w:pPr>
      <w:r>
        <w:rPr>
          <w:rFonts w:hint="eastAsia" w:ascii="方正黑体_GBK" w:hAnsi="方正仿宋_GBK" w:eastAsia="方正黑体_GBK" w:cs="方正仿宋_GBK"/>
          <w:sz w:val="28"/>
          <w:szCs w:val="28"/>
        </w:rPr>
        <w:t>附件</w:t>
      </w:r>
      <w:r>
        <w:rPr>
          <w:rFonts w:hint="eastAsia" w:ascii="方正黑体_GBK" w:hAnsi="方正仿宋_GBK" w:eastAsia="方正黑体_GBK" w:cs="方正仿宋_GBK"/>
          <w:sz w:val="28"/>
          <w:szCs w:val="28"/>
          <w:lang w:val="en-US" w:eastAsia="zh-CN"/>
        </w:rPr>
        <w:t>1</w:t>
      </w:r>
    </w:p>
    <w:tbl>
      <w:tblPr>
        <w:tblStyle w:val="2"/>
        <w:tblW w:w="1467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663"/>
        <w:gridCol w:w="1162"/>
        <w:gridCol w:w="2213"/>
        <w:gridCol w:w="682"/>
        <w:gridCol w:w="1091"/>
        <w:gridCol w:w="817"/>
        <w:gridCol w:w="678"/>
        <w:gridCol w:w="4641"/>
        <w:gridCol w:w="68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blHeader/>
        </w:trPr>
        <w:tc>
          <w:tcPr>
            <w:tcW w:w="14675" w:type="dxa"/>
            <w:gridSpan w:val="11"/>
            <w:tcBorders>
              <w:top w:val="nil"/>
              <w:left w:val="nil"/>
              <w:bottom w:val="single" w:color="auto" w:sz="4" w:space="0"/>
              <w:right w:val="nil"/>
            </w:tcBorders>
            <w:shd w:val="clear" w:color="auto" w:fill="auto"/>
            <w:vAlign w:val="center"/>
          </w:tcPr>
          <w:p>
            <w:pPr>
              <w:widowControl/>
              <w:spacing w:line="460" w:lineRule="exact"/>
              <w:jc w:val="center"/>
              <w:rPr>
                <w:rFonts w:ascii="方正黑体_GBK" w:hAnsi="宋体" w:eastAsia="方正黑体_GBK" w:cs="宋体"/>
                <w:b/>
                <w:bCs/>
                <w:kern w:val="0"/>
                <w:sz w:val="22"/>
              </w:rPr>
            </w:pPr>
            <w:r>
              <w:rPr>
                <w:rFonts w:hint="eastAsia" w:ascii="方正小标宋_GBK" w:hAnsi="宋体" w:eastAsia="方正小标宋_GBK" w:cs="宋体"/>
                <w:kern w:val="0"/>
                <w:sz w:val="40"/>
                <w:szCs w:val="40"/>
                <w:lang w:eastAsia="zh-CN"/>
              </w:rPr>
              <w:t>华宁县</w:t>
            </w:r>
            <w:r>
              <w:rPr>
                <w:rFonts w:hint="eastAsia" w:ascii="方正小标宋_GBK" w:hAnsi="宋体" w:eastAsia="方正小标宋_GBK" w:cs="宋体"/>
                <w:kern w:val="0"/>
                <w:sz w:val="40"/>
                <w:szCs w:val="40"/>
              </w:rPr>
              <w:t>市场监管领域</w:t>
            </w:r>
            <w:r>
              <w:rPr>
                <w:rFonts w:hint="eastAsia" w:ascii="方正小标宋_GBK" w:hAnsi="宋体" w:eastAsia="方正小标宋_GBK" w:cs="宋体"/>
                <w:kern w:val="0"/>
                <w:sz w:val="40"/>
                <w:szCs w:val="40"/>
                <w:lang w:eastAsia="zh-CN"/>
              </w:rPr>
              <w:t>部门</w:t>
            </w:r>
            <w:r>
              <w:rPr>
                <w:rFonts w:hint="eastAsia" w:ascii="方正小标宋_GBK" w:hAnsi="宋体" w:eastAsia="方正小标宋_GBK" w:cs="宋体"/>
                <w:kern w:val="0"/>
                <w:sz w:val="40"/>
                <w:szCs w:val="40"/>
              </w:rPr>
              <w:t>随机抽查事项清单</w:t>
            </w:r>
            <w:r>
              <w:rPr>
                <w:rFonts w:hint="eastAsia" w:ascii="方正小标宋_GBK" w:hAnsi="宋体" w:eastAsia="方正小标宋_GBK" w:cs="宋体"/>
                <w:kern w:val="0"/>
                <w:sz w:val="40"/>
                <w:szCs w:val="40"/>
                <w:lang w:eastAsia="zh-CN"/>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blHeader/>
        </w:trPr>
        <w:tc>
          <w:tcPr>
            <w:tcW w:w="546" w:type="dxa"/>
            <w:vMerge w:val="restart"/>
            <w:tcBorders>
              <w:top w:val="single" w:color="auto" w:sz="4" w:space="0"/>
              <w:bottom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序号</w:t>
            </w:r>
          </w:p>
        </w:tc>
        <w:tc>
          <w:tcPr>
            <w:tcW w:w="663" w:type="dxa"/>
            <w:vMerge w:val="restart"/>
            <w:tcBorders>
              <w:top w:val="single" w:color="auto" w:sz="4" w:space="0"/>
              <w:bottom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部门</w:t>
            </w:r>
          </w:p>
        </w:tc>
        <w:tc>
          <w:tcPr>
            <w:tcW w:w="3375" w:type="dxa"/>
            <w:gridSpan w:val="2"/>
            <w:tcBorders>
              <w:top w:val="single" w:color="auto" w:sz="4" w:space="0"/>
              <w:bottom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 xml:space="preserve">抽查项目 </w:t>
            </w:r>
          </w:p>
        </w:tc>
        <w:tc>
          <w:tcPr>
            <w:tcW w:w="682" w:type="dxa"/>
            <w:vMerge w:val="restart"/>
            <w:tcBorders>
              <w:top w:val="single" w:color="auto" w:sz="4" w:space="0"/>
              <w:bottom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事项类别</w:t>
            </w:r>
          </w:p>
        </w:tc>
        <w:tc>
          <w:tcPr>
            <w:tcW w:w="1091" w:type="dxa"/>
            <w:vMerge w:val="restart"/>
            <w:tcBorders>
              <w:top w:val="single" w:color="auto" w:sz="4" w:space="0"/>
              <w:bottom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检查对象</w:t>
            </w:r>
          </w:p>
        </w:tc>
        <w:tc>
          <w:tcPr>
            <w:tcW w:w="817" w:type="dxa"/>
            <w:vMerge w:val="restart"/>
            <w:tcBorders>
              <w:top w:val="single" w:color="auto" w:sz="4" w:space="0"/>
              <w:bottom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检查方式</w:t>
            </w:r>
          </w:p>
        </w:tc>
        <w:tc>
          <w:tcPr>
            <w:tcW w:w="678" w:type="dxa"/>
            <w:vMerge w:val="restart"/>
            <w:tcBorders>
              <w:top w:val="single" w:color="auto" w:sz="4" w:space="0"/>
              <w:bottom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检查主体</w:t>
            </w:r>
          </w:p>
        </w:tc>
        <w:tc>
          <w:tcPr>
            <w:tcW w:w="4641" w:type="dxa"/>
            <w:vMerge w:val="restart"/>
            <w:tcBorders>
              <w:top w:val="single" w:color="auto" w:sz="4" w:space="0"/>
              <w:bottom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检查依据</w:t>
            </w:r>
          </w:p>
        </w:tc>
        <w:tc>
          <w:tcPr>
            <w:tcW w:w="682" w:type="dxa"/>
            <w:vMerge w:val="restart"/>
            <w:tcBorders>
              <w:top w:val="single" w:color="auto" w:sz="4" w:space="0"/>
              <w:bottom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适用区域</w:t>
            </w:r>
          </w:p>
        </w:tc>
        <w:tc>
          <w:tcPr>
            <w:tcW w:w="1500" w:type="dxa"/>
            <w:vMerge w:val="restart"/>
            <w:tcBorders>
              <w:top w:val="single" w:color="auto" w:sz="4" w:space="0"/>
              <w:bottom w:val="single" w:color="auto" w:sz="4" w:space="0"/>
            </w:tcBorders>
            <w:shd w:val="clear" w:color="auto" w:fill="auto"/>
            <w:vAlign w:val="center"/>
          </w:tcPr>
          <w:p>
            <w:pPr>
              <w:widowControl/>
              <w:spacing w:line="26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blHeader/>
        </w:trPr>
        <w:tc>
          <w:tcPr>
            <w:tcW w:w="546" w:type="dxa"/>
            <w:vMerge w:val="continue"/>
            <w:tcBorders>
              <w:top w:val="single" w:color="auto" w:sz="4" w:space="0"/>
            </w:tcBorders>
            <w:vAlign w:val="center"/>
          </w:tcPr>
          <w:p>
            <w:pPr>
              <w:widowControl/>
              <w:jc w:val="left"/>
              <w:rPr>
                <w:rFonts w:ascii="方正黑体_GBK" w:hAnsi="宋体" w:eastAsia="方正黑体_GBK" w:cs="宋体"/>
                <w:b/>
                <w:bCs/>
                <w:kern w:val="0"/>
                <w:sz w:val="22"/>
              </w:rPr>
            </w:pPr>
          </w:p>
        </w:tc>
        <w:tc>
          <w:tcPr>
            <w:tcW w:w="663" w:type="dxa"/>
            <w:vMerge w:val="continue"/>
            <w:tcBorders>
              <w:top w:val="single" w:color="auto" w:sz="4" w:space="0"/>
            </w:tcBorders>
            <w:vAlign w:val="center"/>
          </w:tcPr>
          <w:p>
            <w:pPr>
              <w:widowControl/>
              <w:jc w:val="left"/>
              <w:rPr>
                <w:rFonts w:ascii="方正黑体_GBK" w:hAnsi="宋体" w:eastAsia="方正黑体_GBK" w:cs="宋体"/>
                <w:b/>
                <w:bCs/>
                <w:kern w:val="0"/>
                <w:sz w:val="22"/>
              </w:rPr>
            </w:pPr>
          </w:p>
        </w:tc>
        <w:tc>
          <w:tcPr>
            <w:tcW w:w="1162" w:type="dxa"/>
            <w:tcBorders>
              <w:top w:val="single" w:color="auto" w:sz="4" w:space="0"/>
            </w:tcBorders>
            <w:shd w:val="clear" w:color="auto" w:fill="auto"/>
            <w:vAlign w:val="center"/>
          </w:tcPr>
          <w:p>
            <w:pPr>
              <w:widowControl/>
              <w:spacing w:line="300" w:lineRule="exact"/>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抽查类别</w:t>
            </w:r>
          </w:p>
        </w:tc>
        <w:tc>
          <w:tcPr>
            <w:tcW w:w="2213" w:type="dxa"/>
            <w:tcBorders>
              <w:top w:val="single" w:color="auto" w:sz="4" w:space="0"/>
            </w:tcBorders>
            <w:shd w:val="clear" w:color="auto" w:fill="auto"/>
            <w:vAlign w:val="center"/>
          </w:tcPr>
          <w:p>
            <w:pPr>
              <w:widowControl/>
              <w:jc w:val="center"/>
              <w:rPr>
                <w:rFonts w:ascii="方正黑体_GBK" w:hAnsi="宋体" w:eastAsia="方正黑体_GBK" w:cs="宋体"/>
                <w:b/>
                <w:bCs/>
                <w:kern w:val="0"/>
                <w:sz w:val="22"/>
              </w:rPr>
            </w:pPr>
            <w:r>
              <w:rPr>
                <w:rFonts w:hint="eastAsia" w:ascii="方正黑体_GBK" w:hAnsi="宋体" w:eastAsia="方正黑体_GBK" w:cs="宋体"/>
                <w:b/>
                <w:bCs/>
                <w:kern w:val="0"/>
                <w:sz w:val="22"/>
              </w:rPr>
              <w:t>抽查事项</w:t>
            </w:r>
          </w:p>
        </w:tc>
        <w:tc>
          <w:tcPr>
            <w:tcW w:w="682" w:type="dxa"/>
            <w:vMerge w:val="continue"/>
            <w:tcBorders>
              <w:top w:val="single" w:color="auto" w:sz="4" w:space="0"/>
            </w:tcBorders>
            <w:vAlign w:val="center"/>
          </w:tcPr>
          <w:p>
            <w:pPr>
              <w:widowControl/>
              <w:jc w:val="left"/>
              <w:rPr>
                <w:rFonts w:ascii="方正黑体_GBK" w:hAnsi="宋体" w:eastAsia="方正黑体_GBK" w:cs="宋体"/>
                <w:b/>
                <w:bCs/>
                <w:kern w:val="0"/>
                <w:sz w:val="22"/>
              </w:rPr>
            </w:pPr>
          </w:p>
        </w:tc>
        <w:tc>
          <w:tcPr>
            <w:tcW w:w="1091" w:type="dxa"/>
            <w:vMerge w:val="continue"/>
            <w:tcBorders>
              <w:top w:val="single" w:color="auto" w:sz="4" w:space="0"/>
            </w:tcBorders>
            <w:vAlign w:val="center"/>
          </w:tcPr>
          <w:p>
            <w:pPr>
              <w:widowControl/>
              <w:jc w:val="left"/>
              <w:rPr>
                <w:rFonts w:ascii="方正黑体_GBK" w:hAnsi="宋体" w:eastAsia="方正黑体_GBK" w:cs="宋体"/>
                <w:b/>
                <w:bCs/>
                <w:kern w:val="0"/>
                <w:sz w:val="22"/>
              </w:rPr>
            </w:pPr>
          </w:p>
        </w:tc>
        <w:tc>
          <w:tcPr>
            <w:tcW w:w="817" w:type="dxa"/>
            <w:vMerge w:val="continue"/>
            <w:tcBorders>
              <w:top w:val="single" w:color="auto" w:sz="4" w:space="0"/>
            </w:tcBorders>
            <w:vAlign w:val="center"/>
          </w:tcPr>
          <w:p>
            <w:pPr>
              <w:widowControl/>
              <w:jc w:val="left"/>
              <w:rPr>
                <w:rFonts w:ascii="方正黑体_GBK" w:hAnsi="宋体" w:eastAsia="方正黑体_GBK" w:cs="宋体"/>
                <w:b/>
                <w:bCs/>
                <w:kern w:val="0"/>
                <w:sz w:val="22"/>
              </w:rPr>
            </w:pPr>
          </w:p>
        </w:tc>
        <w:tc>
          <w:tcPr>
            <w:tcW w:w="678" w:type="dxa"/>
            <w:vMerge w:val="continue"/>
            <w:tcBorders>
              <w:top w:val="single" w:color="auto" w:sz="4" w:space="0"/>
            </w:tcBorders>
            <w:vAlign w:val="center"/>
          </w:tcPr>
          <w:p>
            <w:pPr>
              <w:widowControl/>
              <w:jc w:val="left"/>
              <w:rPr>
                <w:rFonts w:ascii="方正黑体_GBK" w:hAnsi="宋体" w:eastAsia="方正黑体_GBK" w:cs="宋体"/>
                <w:b/>
                <w:bCs/>
                <w:kern w:val="0"/>
                <w:sz w:val="22"/>
              </w:rPr>
            </w:pPr>
          </w:p>
        </w:tc>
        <w:tc>
          <w:tcPr>
            <w:tcW w:w="4641" w:type="dxa"/>
            <w:vMerge w:val="continue"/>
            <w:tcBorders>
              <w:top w:val="single" w:color="auto" w:sz="4" w:space="0"/>
            </w:tcBorders>
            <w:vAlign w:val="center"/>
          </w:tcPr>
          <w:p>
            <w:pPr>
              <w:widowControl/>
              <w:jc w:val="left"/>
              <w:rPr>
                <w:rFonts w:ascii="方正黑体_GBK" w:hAnsi="宋体" w:eastAsia="方正黑体_GBK" w:cs="宋体"/>
                <w:b/>
                <w:bCs/>
                <w:kern w:val="0"/>
                <w:sz w:val="22"/>
              </w:rPr>
            </w:pPr>
          </w:p>
        </w:tc>
        <w:tc>
          <w:tcPr>
            <w:tcW w:w="682" w:type="dxa"/>
            <w:vMerge w:val="continue"/>
            <w:tcBorders>
              <w:top w:val="single" w:color="auto" w:sz="4" w:space="0"/>
            </w:tcBorders>
            <w:vAlign w:val="center"/>
          </w:tcPr>
          <w:p>
            <w:pPr>
              <w:widowControl/>
              <w:jc w:val="left"/>
              <w:rPr>
                <w:rFonts w:ascii="方正黑体_GBK" w:hAnsi="宋体" w:eastAsia="方正黑体_GBK" w:cs="宋体"/>
                <w:b/>
                <w:bCs/>
                <w:kern w:val="0"/>
                <w:sz w:val="22"/>
              </w:rPr>
            </w:pPr>
          </w:p>
        </w:tc>
        <w:tc>
          <w:tcPr>
            <w:tcW w:w="1500" w:type="dxa"/>
            <w:vMerge w:val="continue"/>
            <w:tcBorders>
              <w:top w:val="single" w:color="auto" w:sz="4" w:space="0"/>
            </w:tcBorders>
            <w:vAlign w:val="center"/>
          </w:tcPr>
          <w:p>
            <w:pPr>
              <w:widowControl/>
              <w:jc w:val="left"/>
              <w:rPr>
                <w:rFonts w:ascii="方正黑体_GBK" w:hAnsi="宋体" w:eastAsia="方正黑体_GBK"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restart"/>
            <w:vAlign w:val="center"/>
          </w:tcPr>
          <w:p>
            <w:pPr>
              <w:widowControl/>
              <w:spacing w:line="240" w:lineRule="exact"/>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lang w:eastAsia="zh-CN"/>
              </w:rPr>
              <w:t>县住房和城乡建设局</w:t>
            </w:r>
            <w:r>
              <w:rPr>
                <w:rFonts w:hint="eastAsia" w:cs="宋体" w:asciiTheme="minorEastAsia" w:hAnsiTheme="minorEastAsia"/>
                <w:color w:val="auto"/>
                <w:kern w:val="0"/>
                <w:sz w:val="20"/>
                <w:szCs w:val="20"/>
              </w:rPr>
              <w:t>（</w:t>
            </w:r>
            <w:r>
              <w:rPr>
                <w:rFonts w:hint="eastAsia" w:cs="宋体" w:asciiTheme="minorEastAsia" w:hAnsiTheme="minorEastAsia"/>
                <w:color w:val="auto"/>
                <w:kern w:val="0"/>
                <w:sz w:val="20"/>
                <w:szCs w:val="20"/>
                <w:lang w:val="en-US" w:eastAsia="zh-CN"/>
              </w:rPr>
              <w:t>11</w:t>
            </w:r>
            <w:r>
              <w:rPr>
                <w:rFonts w:hint="eastAsia" w:cs="宋体" w:asciiTheme="minorEastAsia" w:hAnsiTheme="minorEastAsia"/>
                <w:color w:val="auto"/>
                <w:kern w:val="0"/>
                <w:sz w:val="20"/>
                <w:szCs w:val="20"/>
              </w:rPr>
              <w:t>类</w:t>
            </w:r>
            <w:r>
              <w:rPr>
                <w:rFonts w:hint="eastAsia" w:cs="宋体" w:asciiTheme="minorEastAsia" w:hAnsiTheme="minorEastAsia"/>
                <w:color w:val="auto"/>
                <w:kern w:val="0"/>
                <w:sz w:val="20"/>
                <w:szCs w:val="20"/>
                <w:lang w:val="en-US" w:eastAsia="zh-CN"/>
              </w:rPr>
              <w:t>25</w:t>
            </w:r>
            <w:r>
              <w:rPr>
                <w:rFonts w:hint="eastAsia" w:cs="宋体" w:asciiTheme="minorEastAsia" w:hAnsiTheme="minorEastAsia"/>
                <w:color w:val="auto"/>
                <w:kern w:val="0"/>
                <w:sz w:val="20"/>
                <w:szCs w:val="20"/>
              </w:rPr>
              <w:t>项）</w:t>
            </w:r>
          </w:p>
        </w:tc>
        <w:tc>
          <w:tcPr>
            <w:tcW w:w="1162" w:type="dxa"/>
            <w:vMerge w:val="restart"/>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建筑市场监管</w:t>
            </w: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建筑业企业资质、工程监理企业的监督检查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建筑业企业（施工、监理）</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日常检查、网络检查和专项检查相结合方式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县</w:t>
            </w:r>
            <w:r>
              <w:rPr>
                <w:rFonts w:hint="eastAsia" w:asciiTheme="minorEastAsia" w:hAnsiTheme="minorEastAsia" w:cstheme="minorEastAsia"/>
                <w:i w:val="0"/>
                <w:color w:val="auto"/>
                <w:kern w:val="0"/>
                <w:sz w:val="20"/>
                <w:szCs w:val="20"/>
                <w:u w:val="none"/>
                <w:lang w:val="en-US" w:eastAsia="zh-CN" w:bidi="ar"/>
              </w:rPr>
              <w:t>级以上</w:t>
            </w:r>
            <w:r>
              <w:rPr>
                <w:rFonts w:hint="eastAsia" w:asciiTheme="minorEastAsia" w:hAnsiTheme="minorEastAsia" w:eastAsiaTheme="minorEastAsia" w:cstheme="minorEastAsia"/>
                <w:i w:val="0"/>
                <w:color w:val="auto"/>
                <w:kern w:val="0"/>
                <w:sz w:val="20"/>
                <w:szCs w:val="20"/>
                <w:u w:val="none"/>
                <w:lang w:val="en-US" w:eastAsia="zh-CN" w:bidi="ar"/>
              </w:rPr>
              <w:t>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《中华人民共和国建筑法》第十三条、《建筑业企业资质管理规定》（建设部令第22号）第二十四条至第三十四条;《工程监理企业资质管理规定》（建设部令第158号）第十九条至第二十六条。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center"/>
              <w:rPr>
                <w:rFonts w:hint="eastAsia" w:cs="宋体" w:asciiTheme="minorEastAsia" w:hAnsiTheme="minorEastAsia"/>
                <w:color w:val="auto"/>
                <w:kern w:val="0"/>
                <w:sz w:val="20"/>
                <w:szCs w:val="20"/>
              </w:rPr>
            </w:pPr>
          </w:p>
        </w:tc>
        <w:tc>
          <w:tcPr>
            <w:tcW w:w="1162" w:type="dxa"/>
            <w:vMerge w:val="continue"/>
            <w:vAlign w:val="center"/>
          </w:tcPr>
          <w:p>
            <w:pPr>
              <w:spacing w:beforeLines="0" w:afterLines="0" w:line="240" w:lineRule="exact"/>
              <w:jc w:val="center"/>
              <w:rPr>
                <w:rFonts w:hint="eastAsia" w:ascii="宋体" w:hAnsi="宋体" w:eastAsia="宋体" w:cs="宋体"/>
                <w:color w:val="auto"/>
                <w:kern w:val="0"/>
                <w:sz w:val="20"/>
                <w:szCs w:val="20"/>
              </w:rPr>
            </w:pP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建设工程质量检测活动的监督检查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检测机构</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日常检查、网络检查和专项检查相结合方式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县</w:t>
            </w:r>
            <w:r>
              <w:rPr>
                <w:rFonts w:hint="eastAsia" w:asciiTheme="minorEastAsia" w:hAnsiTheme="minorEastAsia" w:cstheme="minorEastAsia"/>
                <w:i w:val="0"/>
                <w:color w:val="auto"/>
                <w:kern w:val="0"/>
                <w:sz w:val="20"/>
                <w:szCs w:val="20"/>
                <w:u w:val="none"/>
                <w:lang w:val="en-US" w:eastAsia="zh-CN" w:bidi="ar"/>
              </w:rPr>
              <w:t>级以上</w:t>
            </w:r>
            <w:r>
              <w:rPr>
                <w:rFonts w:hint="eastAsia" w:asciiTheme="minorEastAsia" w:hAnsiTheme="minorEastAsia" w:eastAsiaTheme="minorEastAsia" w:cstheme="minorEastAsia"/>
                <w:i w:val="0"/>
                <w:color w:val="auto"/>
                <w:kern w:val="0"/>
                <w:sz w:val="20"/>
                <w:szCs w:val="20"/>
                <w:u w:val="none"/>
                <w:lang w:val="en-US" w:eastAsia="zh-CN" w:bidi="ar"/>
              </w:rPr>
              <w:t>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《建设工程质量检测管理办法》（中华人民共和国建设部令第141号）第三条、第九条，第十七条，第二十一条至第二十五条，第二十九条，第三十条、第三十一条，第三十三条。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left"/>
              <w:rPr>
                <w:rFonts w:hint="eastAsia" w:cs="宋体" w:asciiTheme="minorEastAsia" w:hAnsiTheme="minorEastAsia"/>
                <w:color w:val="auto"/>
                <w:kern w:val="0"/>
                <w:sz w:val="20"/>
                <w:szCs w:val="20"/>
              </w:rPr>
            </w:pPr>
          </w:p>
        </w:tc>
        <w:tc>
          <w:tcPr>
            <w:tcW w:w="116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对建筑工程质量安全的监管</w:t>
            </w: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对租赁、安装、拆卸、使用建筑起重机械行为的行政检查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租赁、安装、拆卸、使用建筑起重机械的单位和个人</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日常检查、网络检查和专项检查相结合方式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县</w:t>
            </w:r>
            <w:r>
              <w:rPr>
                <w:rFonts w:hint="eastAsia" w:asciiTheme="minorEastAsia" w:hAnsiTheme="minorEastAsia" w:cstheme="minorEastAsia"/>
                <w:i w:val="0"/>
                <w:color w:val="auto"/>
                <w:kern w:val="0"/>
                <w:sz w:val="20"/>
                <w:szCs w:val="20"/>
                <w:u w:val="none"/>
                <w:lang w:val="en-US" w:eastAsia="zh-CN" w:bidi="ar"/>
              </w:rPr>
              <w:t>级以上</w:t>
            </w:r>
            <w:r>
              <w:rPr>
                <w:rFonts w:hint="eastAsia" w:asciiTheme="minorEastAsia" w:hAnsiTheme="minorEastAsia" w:eastAsiaTheme="minorEastAsia" w:cstheme="minorEastAsia"/>
                <w:i w:val="0"/>
                <w:color w:val="auto"/>
                <w:kern w:val="0"/>
                <w:sz w:val="20"/>
                <w:szCs w:val="20"/>
                <w:u w:val="none"/>
                <w:lang w:val="en-US" w:eastAsia="zh-CN" w:bidi="ar"/>
              </w:rPr>
              <w:t>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1.《中华人民共和国特种设备安全法》第三十三条。2.《特种设备安全监察条例》第二十五条。3.《建筑起重机械安全监督管理规定》第十七条。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restart"/>
            <w:vAlign w:val="center"/>
          </w:tcPr>
          <w:p>
            <w:pPr>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lang w:eastAsia="zh-CN"/>
              </w:rPr>
              <w:t>县住房和城乡建设局</w:t>
            </w:r>
            <w:r>
              <w:rPr>
                <w:rFonts w:hint="eastAsia" w:cs="宋体" w:asciiTheme="minorEastAsia" w:hAnsiTheme="minorEastAsia"/>
                <w:color w:val="auto"/>
                <w:kern w:val="0"/>
                <w:sz w:val="20"/>
                <w:szCs w:val="20"/>
              </w:rPr>
              <w:t>（</w:t>
            </w:r>
            <w:r>
              <w:rPr>
                <w:rFonts w:hint="eastAsia" w:cs="宋体" w:asciiTheme="minorEastAsia" w:hAnsiTheme="minorEastAsia"/>
                <w:color w:val="auto"/>
                <w:kern w:val="0"/>
                <w:sz w:val="20"/>
                <w:szCs w:val="20"/>
                <w:lang w:val="en-US" w:eastAsia="zh-CN"/>
              </w:rPr>
              <w:t>11</w:t>
            </w:r>
            <w:r>
              <w:rPr>
                <w:rFonts w:hint="eastAsia" w:cs="宋体" w:asciiTheme="minorEastAsia" w:hAnsiTheme="minorEastAsia"/>
                <w:color w:val="auto"/>
                <w:kern w:val="0"/>
                <w:sz w:val="20"/>
                <w:szCs w:val="20"/>
              </w:rPr>
              <w:t>类</w:t>
            </w:r>
            <w:r>
              <w:rPr>
                <w:rFonts w:hint="eastAsia" w:cs="宋体" w:asciiTheme="minorEastAsia" w:hAnsiTheme="minorEastAsia"/>
                <w:color w:val="auto"/>
                <w:kern w:val="0"/>
                <w:sz w:val="20"/>
                <w:szCs w:val="20"/>
                <w:lang w:val="en-US" w:eastAsia="zh-CN"/>
              </w:rPr>
              <w:t>25</w:t>
            </w:r>
            <w:r>
              <w:rPr>
                <w:rFonts w:hint="eastAsia" w:cs="宋体" w:asciiTheme="minorEastAsia" w:hAnsiTheme="minorEastAsia"/>
                <w:color w:val="auto"/>
                <w:kern w:val="0"/>
                <w:sz w:val="20"/>
                <w:szCs w:val="20"/>
              </w:rPr>
              <w:t>项）</w:t>
            </w:r>
          </w:p>
        </w:tc>
        <w:tc>
          <w:tcPr>
            <w:tcW w:w="1162" w:type="dxa"/>
            <w:vMerge w:val="restart"/>
            <w:vAlign w:val="center"/>
          </w:tcPr>
          <w:p>
            <w:pPr>
              <w:spacing w:beforeLines="0" w:afterLines="0" w:line="240" w:lineRule="exact"/>
              <w:jc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对建筑工程质量安全的监管</w:t>
            </w: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对建筑施工企业安全生产条件的行政检查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建筑施工企业</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日常检查、网络检查和专项检查相结合方式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县</w:t>
            </w:r>
            <w:r>
              <w:rPr>
                <w:rFonts w:hint="eastAsia" w:asciiTheme="minorEastAsia" w:hAnsiTheme="minorEastAsia" w:cstheme="minorEastAsia"/>
                <w:i w:val="0"/>
                <w:color w:val="auto"/>
                <w:kern w:val="0"/>
                <w:sz w:val="20"/>
                <w:szCs w:val="20"/>
                <w:u w:val="none"/>
                <w:lang w:val="en-US" w:eastAsia="zh-CN" w:bidi="ar"/>
              </w:rPr>
              <w:t>级以上</w:t>
            </w:r>
            <w:r>
              <w:rPr>
                <w:rFonts w:hint="eastAsia" w:asciiTheme="minorEastAsia" w:hAnsiTheme="minorEastAsia" w:eastAsiaTheme="minorEastAsia" w:cstheme="minorEastAsia"/>
                <w:i w:val="0"/>
                <w:color w:val="auto"/>
                <w:kern w:val="0"/>
                <w:sz w:val="20"/>
                <w:szCs w:val="20"/>
                <w:u w:val="none"/>
                <w:lang w:val="en-US" w:eastAsia="zh-CN" w:bidi="ar"/>
              </w:rPr>
              <w:t>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《安全生产许可证条例》第二条、《安全生产许可证条例》第四条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left"/>
              <w:rPr>
                <w:rFonts w:hint="eastAsia" w:cs="宋体" w:asciiTheme="minorEastAsia" w:hAnsiTheme="minorEastAsia"/>
                <w:color w:val="auto"/>
                <w:kern w:val="0"/>
                <w:sz w:val="20"/>
                <w:szCs w:val="20"/>
              </w:rPr>
            </w:pPr>
          </w:p>
        </w:tc>
        <w:tc>
          <w:tcPr>
            <w:tcW w:w="1162" w:type="dxa"/>
            <w:vMerge w:val="continue"/>
            <w:vAlign w:val="center"/>
          </w:tcPr>
          <w:p>
            <w:pPr>
              <w:spacing w:beforeLines="0" w:afterLines="0" w:line="240" w:lineRule="exact"/>
              <w:jc w:val="center"/>
              <w:rPr>
                <w:rFonts w:hint="eastAsia" w:ascii="宋体" w:hAnsi="宋体" w:eastAsia="宋体" w:cs="宋体"/>
                <w:color w:val="auto"/>
                <w:kern w:val="0"/>
                <w:sz w:val="20"/>
                <w:szCs w:val="20"/>
              </w:rPr>
            </w:pP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对房屋建筑和市政基础设施工程的行政检查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重点检查事项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房屋建筑和市政基础设施工程</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日常检查和专项检查相结合方式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《建设工程质量管理条例》第四条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left"/>
              <w:rPr>
                <w:rFonts w:hint="eastAsia" w:cs="宋体" w:asciiTheme="minorEastAsia" w:hAnsiTheme="minorEastAsia"/>
                <w:color w:val="auto"/>
                <w:kern w:val="0"/>
                <w:sz w:val="20"/>
                <w:szCs w:val="20"/>
              </w:rPr>
            </w:pPr>
          </w:p>
        </w:tc>
        <w:tc>
          <w:tcPr>
            <w:tcW w:w="1162" w:type="dxa"/>
            <w:vMerge w:val="restart"/>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房地产市场监管</w:t>
            </w: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房地产开发经营活动监督检查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房地产开发企业</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现场检查、书面检查</w:t>
            </w:r>
            <w:r>
              <w:rPr>
                <w:rFonts w:hint="eastAsia" w:asciiTheme="minorEastAsia" w:hAnsiTheme="minorEastAsia" w:cstheme="minorEastAsia"/>
                <w:i w:val="0"/>
                <w:color w:val="auto"/>
                <w:kern w:val="0"/>
                <w:sz w:val="20"/>
                <w:szCs w:val="20"/>
                <w:u w:val="none"/>
                <w:lang w:val="en-US" w:eastAsia="zh-CN" w:bidi="ar"/>
              </w:rPr>
              <w:t>、网络监察</w:t>
            </w:r>
            <w:r>
              <w:rPr>
                <w:rFonts w:hint="eastAsia" w:asciiTheme="minorEastAsia" w:hAnsiTheme="minorEastAsia" w:eastAsiaTheme="minorEastAsia" w:cstheme="minorEastAsia"/>
                <w:i w:val="0"/>
                <w:color w:val="auto"/>
                <w:kern w:val="0"/>
                <w:sz w:val="20"/>
                <w:szCs w:val="20"/>
                <w:u w:val="none"/>
                <w:lang w:val="en-US" w:eastAsia="zh-CN" w:bidi="ar"/>
              </w:rPr>
              <w:t>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 xml:space="preserve"> 《城市房地产开发经营管理条例》第四条。《房地产开发企业资质管理规定》（建设部令第77号）第四条。              </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left"/>
              <w:rPr>
                <w:rFonts w:hint="eastAsia" w:cs="宋体" w:asciiTheme="minorEastAsia" w:hAnsiTheme="minorEastAsia"/>
                <w:color w:val="auto"/>
                <w:kern w:val="0"/>
                <w:sz w:val="20"/>
                <w:szCs w:val="20"/>
              </w:rPr>
            </w:pPr>
          </w:p>
        </w:tc>
        <w:tc>
          <w:tcPr>
            <w:tcW w:w="1162" w:type="dxa"/>
            <w:vMerge w:val="continue"/>
            <w:vAlign w:val="center"/>
          </w:tcPr>
          <w:p>
            <w:pPr>
              <w:spacing w:beforeLines="0" w:afterLines="0" w:line="240" w:lineRule="exact"/>
              <w:jc w:val="center"/>
              <w:rPr>
                <w:rFonts w:hint="eastAsia" w:ascii="宋体" w:hAnsi="宋体" w:eastAsia="宋体" w:cs="宋体"/>
                <w:color w:val="auto"/>
                <w:kern w:val="0"/>
                <w:sz w:val="20"/>
                <w:szCs w:val="20"/>
              </w:rPr>
            </w:pP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房地产估价机构监督检查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房地产估价机构</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现场检查、书面检查相结合方式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《房地产估价机构管理办法》（2005年10月12日建设部令第142号发布，2013年10月16日根据住房和城乡建设部令第14号修正，2015年5月4日根据住房和城乡建设部令第24号修正）第五条第二款。</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restart"/>
            <w:vAlign w:val="center"/>
          </w:tcPr>
          <w:p>
            <w:pPr>
              <w:widowControl/>
              <w:spacing w:line="240" w:lineRule="exact"/>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lang w:eastAsia="zh-CN"/>
              </w:rPr>
              <w:t>县住房和城乡建设局</w:t>
            </w:r>
            <w:r>
              <w:rPr>
                <w:rFonts w:hint="eastAsia" w:cs="宋体" w:asciiTheme="minorEastAsia" w:hAnsiTheme="minorEastAsia"/>
                <w:color w:val="auto"/>
                <w:kern w:val="0"/>
                <w:sz w:val="20"/>
                <w:szCs w:val="20"/>
              </w:rPr>
              <w:t>（</w:t>
            </w:r>
            <w:r>
              <w:rPr>
                <w:rFonts w:hint="eastAsia" w:cs="宋体" w:asciiTheme="minorEastAsia" w:hAnsiTheme="minorEastAsia"/>
                <w:color w:val="auto"/>
                <w:kern w:val="0"/>
                <w:sz w:val="20"/>
                <w:szCs w:val="20"/>
                <w:lang w:val="en-US" w:eastAsia="zh-CN"/>
              </w:rPr>
              <w:t>11</w:t>
            </w:r>
            <w:r>
              <w:rPr>
                <w:rFonts w:hint="eastAsia" w:cs="宋体" w:asciiTheme="minorEastAsia" w:hAnsiTheme="minorEastAsia"/>
                <w:color w:val="auto"/>
                <w:kern w:val="0"/>
                <w:sz w:val="20"/>
                <w:szCs w:val="20"/>
              </w:rPr>
              <w:t>类</w:t>
            </w:r>
            <w:r>
              <w:rPr>
                <w:rFonts w:hint="eastAsia" w:cs="宋体" w:asciiTheme="minorEastAsia" w:hAnsiTheme="minorEastAsia"/>
                <w:color w:val="auto"/>
                <w:kern w:val="0"/>
                <w:sz w:val="20"/>
                <w:szCs w:val="20"/>
                <w:lang w:val="en-US" w:eastAsia="zh-CN"/>
              </w:rPr>
              <w:t>25</w:t>
            </w:r>
            <w:r>
              <w:rPr>
                <w:rFonts w:hint="eastAsia" w:cs="宋体" w:asciiTheme="minorEastAsia" w:hAnsiTheme="minorEastAsia"/>
                <w:color w:val="auto"/>
                <w:kern w:val="0"/>
                <w:sz w:val="20"/>
                <w:szCs w:val="20"/>
              </w:rPr>
              <w:t>项）</w:t>
            </w:r>
          </w:p>
        </w:tc>
        <w:tc>
          <w:tcPr>
            <w:tcW w:w="1162" w:type="dxa"/>
            <w:vMerge w:val="restart"/>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房地产市场监管</w:t>
            </w: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房地产经纪机构监督检查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房地产经纪机构</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现场检查、书面检查相结合方式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地产经纪管理办法》（2011年1月20日住房城乡建设部、国家发展改革委、人力资源社会保障部令第8号发布，自2011年4月1日起施行；2016年3月1日根据住房城乡建设部、国家发展改革委、人力资源社会保障部令第29号修正，自2016年4月1日起施行）第五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left"/>
              <w:rPr>
                <w:rFonts w:hint="eastAsia" w:cs="宋体" w:asciiTheme="minorEastAsia" w:hAnsiTheme="minorEastAsia"/>
                <w:color w:val="auto"/>
                <w:kern w:val="0"/>
                <w:sz w:val="20"/>
                <w:szCs w:val="20"/>
              </w:rPr>
            </w:pPr>
          </w:p>
        </w:tc>
        <w:tc>
          <w:tcPr>
            <w:tcW w:w="1162" w:type="dxa"/>
            <w:vMerge w:val="continue"/>
            <w:vAlign w:val="center"/>
          </w:tcPr>
          <w:p>
            <w:pPr>
              <w:spacing w:beforeLines="0" w:afterLines="0" w:line="240" w:lineRule="exact"/>
              <w:jc w:val="center"/>
              <w:rPr>
                <w:rFonts w:hint="eastAsia" w:ascii="宋体" w:hAnsi="宋体" w:eastAsia="宋体" w:cs="宋体"/>
                <w:color w:val="auto"/>
                <w:kern w:val="0"/>
                <w:sz w:val="20"/>
                <w:szCs w:val="20"/>
              </w:rPr>
            </w:pP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物业管理活动监督检查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物业企业</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现场检查、书面检查相结合方式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《物业管理条例》（2003年6月8日国务院令第379号公布，2007年8月26日修订）第五条。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left"/>
              <w:rPr>
                <w:rFonts w:hint="eastAsia" w:cs="宋体" w:asciiTheme="minorEastAsia" w:hAnsiTheme="minorEastAsia"/>
                <w:color w:val="auto"/>
                <w:kern w:val="0"/>
                <w:sz w:val="20"/>
                <w:szCs w:val="20"/>
              </w:rPr>
            </w:pPr>
          </w:p>
        </w:tc>
        <w:tc>
          <w:tcPr>
            <w:tcW w:w="116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工程档案管理</w:t>
            </w: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城市建设工程档案检查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建设单位</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现场检查和书面检查相结合方式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《城市建设档案管理规定》（1997年12月建设部令第61号，2001年7月修订并以建设部令第90号重新发布）第三条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restart"/>
            <w:vAlign w:val="center"/>
          </w:tcPr>
          <w:p>
            <w:pPr>
              <w:spacing w:line="240" w:lineRule="exact"/>
              <w:jc w:val="center"/>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lang w:eastAsia="zh-CN"/>
              </w:rPr>
              <w:t>县住房和城乡建设局</w:t>
            </w:r>
            <w:r>
              <w:rPr>
                <w:rFonts w:hint="eastAsia" w:cs="宋体" w:asciiTheme="minorEastAsia" w:hAnsiTheme="minorEastAsia"/>
                <w:color w:val="auto"/>
                <w:kern w:val="0"/>
                <w:sz w:val="20"/>
                <w:szCs w:val="20"/>
              </w:rPr>
              <w:t>（</w:t>
            </w:r>
            <w:r>
              <w:rPr>
                <w:rFonts w:hint="eastAsia" w:cs="宋体" w:asciiTheme="minorEastAsia" w:hAnsiTheme="minorEastAsia"/>
                <w:color w:val="auto"/>
                <w:kern w:val="0"/>
                <w:sz w:val="20"/>
                <w:szCs w:val="20"/>
                <w:lang w:val="en-US" w:eastAsia="zh-CN"/>
              </w:rPr>
              <w:t>11</w:t>
            </w:r>
            <w:r>
              <w:rPr>
                <w:rFonts w:hint="eastAsia" w:cs="宋体" w:asciiTheme="minorEastAsia" w:hAnsiTheme="minorEastAsia"/>
                <w:color w:val="auto"/>
                <w:kern w:val="0"/>
                <w:sz w:val="20"/>
                <w:szCs w:val="20"/>
              </w:rPr>
              <w:t>类</w:t>
            </w:r>
            <w:r>
              <w:rPr>
                <w:rFonts w:hint="eastAsia" w:cs="宋体" w:asciiTheme="minorEastAsia" w:hAnsiTheme="minorEastAsia"/>
                <w:color w:val="auto"/>
                <w:kern w:val="0"/>
                <w:sz w:val="20"/>
                <w:szCs w:val="20"/>
                <w:lang w:val="en-US" w:eastAsia="zh-CN"/>
              </w:rPr>
              <w:t>25</w:t>
            </w:r>
            <w:r>
              <w:rPr>
                <w:rFonts w:hint="eastAsia" w:cs="宋体" w:asciiTheme="minorEastAsia" w:hAnsiTheme="minorEastAsia"/>
                <w:color w:val="auto"/>
                <w:kern w:val="0"/>
                <w:sz w:val="20"/>
                <w:szCs w:val="20"/>
              </w:rPr>
              <w:t>项）</w:t>
            </w:r>
          </w:p>
        </w:tc>
        <w:tc>
          <w:tcPr>
            <w:tcW w:w="116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建筑节能监管</w:t>
            </w: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建筑节能强制性标准执行情况监督检查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设计单位、施工单位、监理单位、建设单位、房地产开发企业</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现场检查和书面检查相结合</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《民用建筑节能条例》（国务院令第530号）第五条。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spacing w:line="240" w:lineRule="exact"/>
              <w:jc w:val="center"/>
              <w:rPr>
                <w:rFonts w:hint="eastAsia" w:cs="宋体" w:asciiTheme="minorEastAsia" w:hAnsiTheme="minorEastAsia"/>
                <w:color w:val="auto"/>
                <w:kern w:val="0"/>
                <w:sz w:val="20"/>
                <w:szCs w:val="20"/>
              </w:rPr>
            </w:pPr>
          </w:p>
        </w:tc>
        <w:tc>
          <w:tcPr>
            <w:tcW w:w="1162" w:type="dxa"/>
            <w:vMerge w:val="restart"/>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勘察设计监管</w:t>
            </w: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对施工图审查机构的监督检查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施工图审查机构</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网络检查和现场检查相结合方式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《房屋建筑和市政基础设施工程施工图设计文件审查管理办法》（建设部令第13号）第四条。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center"/>
              <w:rPr>
                <w:rFonts w:hint="eastAsia" w:cs="宋体" w:asciiTheme="minorEastAsia" w:hAnsiTheme="minorEastAsia"/>
                <w:color w:val="auto"/>
                <w:kern w:val="0"/>
                <w:sz w:val="20"/>
                <w:szCs w:val="20"/>
              </w:rPr>
            </w:pPr>
          </w:p>
        </w:tc>
        <w:tc>
          <w:tcPr>
            <w:tcW w:w="1162" w:type="dxa"/>
            <w:vMerge w:val="continue"/>
            <w:vAlign w:val="center"/>
          </w:tcPr>
          <w:p>
            <w:pPr>
              <w:spacing w:beforeLines="0" w:afterLines="0" w:line="240" w:lineRule="exact"/>
              <w:jc w:val="center"/>
              <w:rPr>
                <w:rFonts w:hint="eastAsia" w:ascii="宋体" w:hAnsi="宋体" w:eastAsia="宋体" w:cs="宋体"/>
                <w:color w:val="auto"/>
                <w:kern w:val="0"/>
                <w:sz w:val="20"/>
                <w:szCs w:val="20"/>
              </w:rPr>
            </w:pP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对工程勘察、设计企业的监督检查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工程勘察、设计企业</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网络检查和现场检查相结合方式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《建设工程勘察设计管理条例》（国务院令第293号）第五条。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spacing w:line="240" w:lineRule="exact"/>
              <w:jc w:val="center"/>
              <w:rPr>
                <w:rFonts w:hint="eastAsia" w:cs="宋体" w:asciiTheme="minorEastAsia" w:hAnsiTheme="minorEastAsia"/>
                <w:color w:val="auto"/>
                <w:kern w:val="0"/>
                <w:sz w:val="20"/>
                <w:szCs w:val="20"/>
              </w:rPr>
            </w:pPr>
          </w:p>
        </w:tc>
        <w:tc>
          <w:tcPr>
            <w:tcW w:w="1162" w:type="dxa"/>
            <w:vMerge w:val="continue"/>
            <w:vAlign w:val="center"/>
          </w:tcPr>
          <w:p>
            <w:pPr>
              <w:spacing w:beforeLines="0" w:afterLines="0" w:line="240" w:lineRule="exact"/>
              <w:jc w:val="center"/>
              <w:rPr>
                <w:rFonts w:hint="eastAsia" w:ascii="宋体" w:hAnsi="宋体" w:eastAsia="宋体" w:cs="宋体"/>
                <w:color w:val="auto"/>
                <w:kern w:val="0"/>
                <w:sz w:val="20"/>
                <w:szCs w:val="20"/>
              </w:rPr>
            </w:pP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对城市燃气企业的监督检查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城市燃气企业</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现场检查和书面检查相结合方式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《城镇燃气管理条例》（国务院令第583号）第五条。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left"/>
              <w:rPr>
                <w:rFonts w:hint="eastAsia" w:cs="宋体" w:asciiTheme="minorEastAsia" w:hAnsiTheme="minorEastAsia"/>
                <w:color w:val="auto"/>
                <w:kern w:val="0"/>
                <w:sz w:val="20"/>
                <w:szCs w:val="20"/>
              </w:rPr>
            </w:pPr>
          </w:p>
        </w:tc>
        <w:tc>
          <w:tcPr>
            <w:tcW w:w="1162" w:type="dxa"/>
            <w:vMerge w:val="continue"/>
            <w:vAlign w:val="center"/>
          </w:tcPr>
          <w:p>
            <w:pPr>
              <w:spacing w:beforeLines="0" w:afterLines="0" w:line="240" w:lineRule="exact"/>
              <w:jc w:val="center"/>
              <w:rPr>
                <w:rFonts w:hint="eastAsia" w:ascii="宋体" w:hAnsi="宋体" w:eastAsia="宋体" w:cs="宋体"/>
                <w:color w:val="auto"/>
                <w:kern w:val="0"/>
                <w:sz w:val="20"/>
                <w:szCs w:val="20"/>
              </w:rPr>
            </w:pP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城市供水企业的监督检查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城市供水企业</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现场检查和书面检查相结合方式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《城市供水条例》（国务院令第158号） 第七条。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spacing w:line="240" w:lineRule="exact"/>
              <w:jc w:val="center"/>
              <w:rPr>
                <w:rFonts w:hint="eastAsia" w:cs="宋体" w:asciiTheme="minorEastAsia" w:hAnsiTheme="minorEastAsia"/>
                <w:color w:val="auto"/>
                <w:kern w:val="0"/>
                <w:sz w:val="20"/>
                <w:szCs w:val="20"/>
              </w:rPr>
            </w:pPr>
          </w:p>
        </w:tc>
        <w:tc>
          <w:tcPr>
            <w:tcW w:w="1162" w:type="dxa"/>
            <w:vMerge w:val="continue"/>
            <w:vAlign w:val="center"/>
          </w:tcPr>
          <w:p>
            <w:pPr>
              <w:spacing w:beforeLines="0" w:afterLines="0" w:line="240" w:lineRule="exact"/>
              <w:jc w:val="center"/>
              <w:rPr>
                <w:rFonts w:hint="eastAsia" w:ascii="宋体" w:hAnsi="宋体" w:eastAsia="宋体" w:cs="宋体"/>
                <w:color w:val="auto"/>
                <w:kern w:val="0"/>
                <w:sz w:val="20"/>
                <w:szCs w:val="20"/>
              </w:rPr>
            </w:pP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城市排水排污企业的监督检查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城市排水排污企业</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现场检查和书面检查相结合方式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《城镇排水与污水处理条例》（国务院令第640号） 第五条。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restart"/>
            <w:vAlign w:val="center"/>
          </w:tcPr>
          <w:p>
            <w:pPr>
              <w:widowControl/>
              <w:spacing w:line="240" w:lineRule="exact"/>
              <w:jc w:val="left"/>
              <w:rPr>
                <w:rFonts w:hint="eastAsia" w:cs="宋体" w:asciiTheme="minorEastAsia" w:hAnsiTheme="minorEastAsia"/>
                <w:color w:val="auto"/>
                <w:kern w:val="0"/>
                <w:sz w:val="20"/>
                <w:szCs w:val="20"/>
              </w:rPr>
            </w:pPr>
            <w:r>
              <w:rPr>
                <w:rFonts w:hint="eastAsia" w:cs="宋体" w:asciiTheme="minorEastAsia" w:hAnsiTheme="minorEastAsia"/>
                <w:color w:val="auto"/>
                <w:kern w:val="0"/>
                <w:sz w:val="20"/>
                <w:szCs w:val="20"/>
                <w:lang w:eastAsia="zh-CN"/>
              </w:rPr>
              <w:t>县住房和城乡建设局</w:t>
            </w:r>
            <w:r>
              <w:rPr>
                <w:rFonts w:hint="eastAsia" w:cs="宋体" w:asciiTheme="minorEastAsia" w:hAnsiTheme="minorEastAsia"/>
                <w:color w:val="auto"/>
                <w:kern w:val="0"/>
                <w:sz w:val="20"/>
                <w:szCs w:val="20"/>
              </w:rPr>
              <w:t>（</w:t>
            </w:r>
            <w:r>
              <w:rPr>
                <w:rFonts w:hint="eastAsia" w:cs="宋体" w:asciiTheme="minorEastAsia" w:hAnsiTheme="minorEastAsia"/>
                <w:color w:val="auto"/>
                <w:kern w:val="0"/>
                <w:sz w:val="20"/>
                <w:szCs w:val="20"/>
                <w:lang w:val="en-US" w:eastAsia="zh-CN"/>
              </w:rPr>
              <w:t>11</w:t>
            </w:r>
            <w:r>
              <w:rPr>
                <w:rFonts w:hint="eastAsia" w:cs="宋体" w:asciiTheme="minorEastAsia" w:hAnsiTheme="minorEastAsia"/>
                <w:color w:val="auto"/>
                <w:kern w:val="0"/>
                <w:sz w:val="20"/>
                <w:szCs w:val="20"/>
              </w:rPr>
              <w:t>类</w:t>
            </w:r>
            <w:r>
              <w:rPr>
                <w:rFonts w:hint="eastAsia" w:cs="宋体" w:asciiTheme="minorEastAsia" w:hAnsiTheme="minorEastAsia"/>
                <w:color w:val="auto"/>
                <w:kern w:val="0"/>
                <w:sz w:val="20"/>
                <w:szCs w:val="20"/>
                <w:lang w:val="en-US" w:eastAsia="zh-CN"/>
              </w:rPr>
              <w:t>25</w:t>
            </w:r>
            <w:r>
              <w:rPr>
                <w:rFonts w:hint="eastAsia" w:cs="宋体" w:asciiTheme="minorEastAsia" w:hAnsiTheme="minorEastAsia"/>
                <w:color w:val="auto"/>
                <w:kern w:val="0"/>
                <w:sz w:val="20"/>
                <w:szCs w:val="20"/>
              </w:rPr>
              <w:t>项）</w:t>
            </w:r>
          </w:p>
        </w:tc>
        <w:tc>
          <w:tcPr>
            <w:tcW w:w="1162" w:type="dxa"/>
            <w:vMerge w:val="restart"/>
            <w:vAlign w:val="center"/>
          </w:tcPr>
          <w:p>
            <w:pPr>
              <w:spacing w:beforeLines="0" w:afterLines="0" w:line="240" w:lineRule="exact"/>
              <w:jc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对城市市政企业的监管</w:t>
            </w: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城市污水处理企业的监督检查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城市污水处理企业</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现场检查和书面检查相结合方式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《城镇排水与污水处理条例》（国务院令第640号） 第五条。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center"/>
              <w:rPr>
                <w:rFonts w:hint="eastAsia" w:cs="宋体" w:asciiTheme="minorEastAsia" w:hAnsiTheme="minorEastAsia"/>
                <w:color w:val="auto"/>
                <w:kern w:val="0"/>
                <w:sz w:val="20"/>
                <w:szCs w:val="20"/>
              </w:rPr>
            </w:pPr>
          </w:p>
        </w:tc>
        <w:tc>
          <w:tcPr>
            <w:tcW w:w="1162" w:type="dxa"/>
            <w:vMerge w:val="continue"/>
            <w:vAlign w:val="center"/>
          </w:tcPr>
          <w:p>
            <w:pPr>
              <w:spacing w:beforeLines="0" w:afterLines="0" w:line="240" w:lineRule="exact"/>
              <w:jc w:val="center"/>
              <w:rPr>
                <w:rFonts w:hint="eastAsia" w:ascii="宋体" w:hAnsi="宋体" w:eastAsia="宋体" w:cs="宋体"/>
                <w:color w:val="auto"/>
                <w:kern w:val="0"/>
                <w:sz w:val="20"/>
                <w:szCs w:val="20"/>
              </w:rPr>
            </w:pP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城市生活、餐厨垃圾收运、处理的监督检查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城市生活、餐厨垃圾收运、处理企业</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现场检查和书面检查相结合方式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《城市生活垃圾管理办法》（建设部令第24号） 第五条。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left"/>
              <w:rPr>
                <w:rFonts w:hint="eastAsia" w:cs="宋体" w:asciiTheme="minorEastAsia" w:hAnsiTheme="minorEastAsia"/>
                <w:color w:val="auto"/>
                <w:kern w:val="0"/>
                <w:sz w:val="20"/>
                <w:szCs w:val="20"/>
              </w:rPr>
            </w:pPr>
          </w:p>
        </w:tc>
        <w:tc>
          <w:tcPr>
            <w:tcW w:w="116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对市政公用企业的监管</w:t>
            </w: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城市环卫企业的监督检查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城市环卫企业</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现场检查和书面检查相结合方式</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《云南省城市建设管理条例》（云南省人民代表大会常务委员会公告第50号） 第六条、第三十二条。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left"/>
              <w:rPr>
                <w:rFonts w:hint="eastAsia" w:cs="宋体" w:asciiTheme="minorEastAsia" w:hAnsiTheme="minorEastAsia"/>
                <w:color w:val="auto"/>
                <w:kern w:val="0"/>
                <w:sz w:val="20"/>
                <w:szCs w:val="20"/>
              </w:rPr>
            </w:pPr>
          </w:p>
        </w:tc>
        <w:tc>
          <w:tcPr>
            <w:tcW w:w="116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抗震设防监管</w:t>
            </w: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对建筑工程抗震设防的监督检查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建设工程项目的建设单位、勘察设计单位、施工单位、监理单位、施工图审查机构、检测机构、减隔震装置生产企业</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现场检查和书面检查相结合</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《云南省建设工程抗震设防管理条例》第四十一条、第四十二条。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trPr>
        <w:tc>
          <w:tcPr>
            <w:tcW w:w="546" w:type="dxa"/>
            <w:vAlign w:val="top"/>
          </w:tcPr>
          <w:p>
            <w:pPr>
              <w:numPr>
                <w:ilvl w:val="0"/>
                <w:numId w:val="1"/>
              </w:numPr>
              <w:ind w:left="425" w:leftChars="0" w:hanging="425" w:firstLineChars="0"/>
              <w:jc w:val="center"/>
              <w:rPr>
                <w:rFonts w:hint="default" w:cs="宋体" w:asciiTheme="minorEastAsia" w:hAnsiTheme="minorEastAsia" w:eastAsiaTheme="minorEastAsia"/>
                <w:color w:val="auto"/>
                <w:sz w:val="20"/>
                <w:szCs w:val="20"/>
                <w:lang w:val="en-US" w:eastAsia="zh-CN"/>
              </w:rPr>
            </w:pPr>
          </w:p>
        </w:tc>
        <w:tc>
          <w:tcPr>
            <w:tcW w:w="663" w:type="dxa"/>
            <w:vMerge w:val="continue"/>
            <w:vAlign w:val="center"/>
          </w:tcPr>
          <w:p>
            <w:pPr>
              <w:widowControl/>
              <w:spacing w:line="240" w:lineRule="exact"/>
              <w:jc w:val="left"/>
              <w:rPr>
                <w:rFonts w:hint="eastAsia" w:cs="宋体" w:asciiTheme="minorEastAsia" w:hAnsiTheme="minorEastAsia"/>
                <w:color w:val="auto"/>
                <w:kern w:val="0"/>
                <w:sz w:val="20"/>
                <w:szCs w:val="20"/>
              </w:rPr>
            </w:pPr>
          </w:p>
        </w:tc>
        <w:tc>
          <w:tcPr>
            <w:tcW w:w="116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招标投标监管</w:t>
            </w:r>
          </w:p>
        </w:tc>
        <w:tc>
          <w:tcPr>
            <w:tcW w:w="2213"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工程建设项目招标投标代理活动监</w:t>
            </w:r>
            <w:bookmarkStart w:id="0" w:name="_GoBack"/>
            <w:bookmarkEnd w:id="0"/>
            <w:r>
              <w:rPr>
                <w:rFonts w:hint="eastAsia" w:asciiTheme="minorEastAsia" w:hAnsiTheme="minorEastAsia" w:eastAsiaTheme="minorEastAsia" w:cstheme="minorEastAsia"/>
                <w:i w:val="0"/>
                <w:color w:val="auto"/>
                <w:kern w:val="0"/>
                <w:sz w:val="20"/>
                <w:szCs w:val="20"/>
                <w:u w:val="none"/>
                <w:lang w:val="en-US" w:eastAsia="zh-CN" w:bidi="ar"/>
              </w:rPr>
              <w:t>督检查</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一般检查事项</w:t>
            </w:r>
          </w:p>
        </w:tc>
        <w:tc>
          <w:tcPr>
            <w:tcW w:w="109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省级监管的房屋建筑和市政基础设施工程中从事招标代理活动的机构</w:t>
            </w:r>
          </w:p>
        </w:tc>
        <w:tc>
          <w:tcPr>
            <w:tcW w:w="817"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现场检查和网络检查相结合</w:t>
            </w:r>
          </w:p>
        </w:tc>
        <w:tc>
          <w:tcPr>
            <w:tcW w:w="678"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县住房城乡建设主管部门</w:t>
            </w:r>
          </w:p>
        </w:tc>
        <w:tc>
          <w:tcPr>
            <w:tcW w:w="4641"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eastAsiaTheme="minorEastAsia" w:cstheme="minorEastAsia"/>
                <w:i w:val="0"/>
                <w:color w:val="auto"/>
                <w:kern w:val="0"/>
                <w:sz w:val="20"/>
                <w:szCs w:val="20"/>
                <w:u w:val="none"/>
                <w:lang w:val="en-US" w:eastAsia="zh-CN" w:bidi="ar"/>
              </w:rPr>
              <w:t>《中华人民共和国招标投标法》第十三条。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《中华人民共和国招标投标法实施条例》（国务院令第613号）第七十九条。</w:t>
            </w:r>
            <w:r>
              <w:rPr>
                <w:rFonts w:hint="eastAsia" w:asciiTheme="minorEastAsia" w:hAnsiTheme="minorEastAsia" w:eastAsiaTheme="minorEastAsia" w:cstheme="minorEastAsia"/>
                <w:i w:val="0"/>
                <w:color w:val="auto"/>
                <w:kern w:val="0"/>
                <w:sz w:val="20"/>
                <w:szCs w:val="20"/>
                <w:u w:val="none"/>
                <w:lang w:val="en-US" w:eastAsia="zh-CN" w:bidi="ar"/>
              </w:rPr>
              <w:br w:type="textWrapping"/>
            </w:r>
            <w:r>
              <w:rPr>
                <w:rFonts w:hint="eastAsia" w:asciiTheme="minorEastAsia" w:hAnsiTheme="minorEastAsia" w:eastAsiaTheme="minorEastAsia" w:cstheme="minorEastAsia"/>
                <w:i w:val="0"/>
                <w:color w:val="auto"/>
                <w:kern w:val="0"/>
                <w:sz w:val="20"/>
                <w:szCs w:val="20"/>
                <w:u w:val="none"/>
                <w:lang w:val="en-US" w:eastAsia="zh-CN" w:bidi="ar"/>
              </w:rPr>
              <w:t>《云南省招标投标条例》（2012年省十一届人大常委会第30次会议通过）第十五条、第二十一条、第五十条。</w:t>
            </w:r>
          </w:p>
        </w:tc>
        <w:tc>
          <w:tcPr>
            <w:tcW w:w="682" w:type="dxa"/>
            <w:vAlign w:val="center"/>
          </w:tcPr>
          <w:p>
            <w:pPr>
              <w:keepNext w:val="0"/>
              <w:keepLines w:val="0"/>
              <w:widowControl/>
              <w:suppressLineNumbers w:val="0"/>
              <w:spacing w:beforeLines="0" w:afterLines="0" w:line="240" w:lineRule="exact"/>
              <w:jc w:val="center"/>
              <w:textAlignment w:val="center"/>
              <w:rPr>
                <w:rFonts w:hint="eastAsia" w:ascii="宋体" w:hAnsi="宋体" w:eastAsia="宋体" w:cs="宋体"/>
                <w:color w:val="auto"/>
                <w:kern w:val="0"/>
                <w:sz w:val="20"/>
                <w:szCs w:val="20"/>
              </w:rPr>
            </w:pPr>
            <w:r>
              <w:rPr>
                <w:rFonts w:hint="eastAsia" w:asciiTheme="minorEastAsia" w:hAnsiTheme="minorEastAsia" w:cstheme="minorEastAsia"/>
                <w:i w:val="0"/>
                <w:color w:val="auto"/>
                <w:kern w:val="0"/>
                <w:sz w:val="20"/>
                <w:szCs w:val="20"/>
                <w:u w:val="none"/>
                <w:lang w:val="en-US" w:eastAsia="zh-CN" w:bidi="ar"/>
              </w:rPr>
              <w:t>全县</w:t>
            </w:r>
          </w:p>
        </w:tc>
        <w:tc>
          <w:tcPr>
            <w:tcW w:w="1500" w:type="dxa"/>
            <w:vAlign w:val="center"/>
          </w:tcPr>
          <w:p>
            <w:pPr>
              <w:spacing w:beforeLines="0" w:afterLines="0" w:line="240" w:lineRule="exact"/>
              <w:jc w:val="center"/>
              <w:rPr>
                <w:rFonts w:hint="eastAsia" w:cs="宋体" w:asciiTheme="minorEastAsia" w:hAnsiTheme="minorEastAsia"/>
                <w:color w:val="auto"/>
                <w:kern w:val="0"/>
                <w:sz w:val="20"/>
                <w:szCs w:val="20"/>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378C"/>
    <w:multiLevelType w:val="singleLevel"/>
    <w:tmpl w:val="0EC1378C"/>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53B09"/>
    <w:rsid w:val="02E4085E"/>
    <w:rsid w:val="067B7953"/>
    <w:rsid w:val="06B53723"/>
    <w:rsid w:val="06DB6F95"/>
    <w:rsid w:val="0B457160"/>
    <w:rsid w:val="0BE02D14"/>
    <w:rsid w:val="0C327D10"/>
    <w:rsid w:val="0E11429A"/>
    <w:rsid w:val="0E5F0AF7"/>
    <w:rsid w:val="12713309"/>
    <w:rsid w:val="174140FB"/>
    <w:rsid w:val="19EC69C3"/>
    <w:rsid w:val="1E14250D"/>
    <w:rsid w:val="1E62080A"/>
    <w:rsid w:val="212A30DE"/>
    <w:rsid w:val="238F5315"/>
    <w:rsid w:val="23F637C5"/>
    <w:rsid w:val="29FF322C"/>
    <w:rsid w:val="2D8272B5"/>
    <w:rsid w:val="2EE276DE"/>
    <w:rsid w:val="2F450BC5"/>
    <w:rsid w:val="30A2666C"/>
    <w:rsid w:val="316707DD"/>
    <w:rsid w:val="31CE5AB1"/>
    <w:rsid w:val="37170C99"/>
    <w:rsid w:val="39E969F2"/>
    <w:rsid w:val="3A250D0E"/>
    <w:rsid w:val="3A625A38"/>
    <w:rsid w:val="3CF745FB"/>
    <w:rsid w:val="40CF54E0"/>
    <w:rsid w:val="42194F04"/>
    <w:rsid w:val="430C7049"/>
    <w:rsid w:val="45936698"/>
    <w:rsid w:val="459616BE"/>
    <w:rsid w:val="4912027D"/>
    <w:rsid w:val="4A746EF8"/>
    <w:rsid w:val="4C5F2927"/>
    <w:rsid w:val="525F00D4"/>
    <w:rsid w:val="53AC192B"/>
    <w:rsid w:val="57DD693A"/>
    <w:rsid w:val="5CF035AF"/>
    <w:rsid w:val="616D402C"/>
    <w:rsid w:val="64164A7E"/>
    <w:rsid w:val="65B62651"/>
    <w:rsid w:val="6918470E"/>
    <w:rsid w:val="69E95ECA"/>
    <w:rsid w:val="6C0E7847"/>
    <w:rsid w:val="736049FE"/>
    <w:rsid w:val="747708E5"/>
    <w:rsid w:val="79762E01"/>
    <w:rsid w:val="7A3A2A68"/>
    <w:rsid w:val="7AC06DEF"/>
    <w:rsid w:val="7B886E24"/>
    <w:rsid w:val="7CF67D60"/>
    <w:rsid w:val="7DDC7184"/>
    <w:rsid w:val="7F47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2021-07-20T00:59:00Z</dcterms:created>
  <dc:creator>Administrator</dc:creator>
  <cp:lastModifiedBy>行政审批和法规股</cp:lastModifiedBy>
  <dcterms:modified xsi:type="dcterms:W3CDTF">2021-09-08T01:51:20Z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