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0" w:firstLineChars="100"/>
      </w:pPr>
      <w:r>
        <w:rPr>
          <w:rFonts w:hint="eastAsia"/>
          <w:lang w:val="en-US" w:eastAsia="zh-CN"/>
        </w:rPr>
        <w:t>华溪镇大新寨村委会</w:t>
      </w:r>
      <w:r>
        <w:t>政务服务事项清单</w:t>
      </w: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62" w:type="dxa"/>
            <w:vMerge w:val="restart"/>
          </w:tcPr>
          <w:p>
            <w:pPr>
              <w:pStyle w:val="7"/>
              <w:rPr>
                <w:sz w:val="22"/>
              </w:rPr>
            </w:pPr>
          </w:p>
          <w:p>
            <w:pPr>
              <w:pStyle w:val="7"/>
              <w:spacing w:before="160"/>
              <w:ind w:left="107"/>
              <w:rPr>
                <w:sz w:val="23"/>
              </w:rPr>
            </w:pPr>
            <w:r>
              <w:rPr>
                <w:sz w:val="23"/>
              </w:rPr>
              <w:t>序号</w:t>
            </w:r>
          </w:p>
        </w:tc>
        <w:tc>
          <w:tcPr>
            <w:tcW w:w="1900" w:type="dxa"/>
            <w:gridSpan w:val="2"/>
          </w:tcPr>
          <w:p>
            <w:pPr>
              <w:pStyle w:val="7"/>
              <w:spacing w:before="123"/>
              <w:ind w:left="496"/>
              <w:rPr>
                <w:sz w:val="23"/>
              </w:rPr>
            </w:pPr>
            <w:r>
              <w:rPr>
                <w:sz w:val="23"/>
              </w:rPr>
              <w:t>事项名称</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事项类型</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实施部门</w:t>
            </w:r>
          </w:p>
        </w:tc>
        <w:tc>
          <w:tcPr>
            <w:tcW w:w="7989" w:type="dxa"/>
            <w:vMerge w:val="restart"/>
          </w:tcPr>
          <w:p>
            <w:pPr>
              <w:pStyle w:val="7"/>
              <w:rPr>
                <w:sz w:val="22"/>
              </w:rPr>
            </w:pPr>
          </w:p>
          <w:p>
            <w:pPr>
              <w:pStyle w:val="7"/>
              <w:spacing w:before="160"/>
              <w:ind w:left="3521" w:right="3492"/>
              <w:jc w:val="center"/>
              <w:rPr>
                <w:sz w:val="23"/>
              </w:rPr>
            </w:pPr>
            <w:r>
              <w:rPr>
                <w:sz w:val="23"/>
              </w:rPr>
              <w:t>设定依据</w:t>
            </w:r>
          </w:p>
        </w:tc>
        <w:tc>
          <w:tcPr>
            <w:tcW w:w="868" w:type="dxa"/>
            <w:vMerge w:val="restart"/>
          </w:tcPr>
          <w:p>
            <w:pPr>
              <w:pStyle w:val="7"/>
              <w:spacing w:before="11"/>
              <w:rPr>
                <w:sz w:val="24"/>
              </w:rPr>
            </w:pPr>
          </w:p>
          <w:p>
            <w:pPr>
              <w:pStyle w:val="7"/>
              <w:spacing w:before="1" w:line="225" w:lineRule="auto"/>
              <w:ind w:left="326" w:right="64" w:hanging="231"/>
              <w:rPr>
                <w:sz w:val="23"/>
              </w:rPr>
            </w:pPr>
            <w:r>
              <w:rPr>
                <w:sz w:val="23"/>
              </w:rPr>
              <w:t>行使层级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662" w:type="dxa"/>
            <w:vMerge w:val="continue"/>
            <w:tcBorders>
              <w:top w:val="nil"/>
            </w:tcBorders>
          </w:tcPr>
          <w:p>
            <w:pPr>
              <w:rPr>
                <w:sz w:val="2"/>
                <w:szCs w:val="2"/>
              </w:rPr>
            </w:pPr>
          </w:p>
        </w:tc>
        <w:tc>
          <w:tcPr>
            <w:tcW w:w="950" w:type="dxa"/>
          </w:tcPr>
          <w:p>
            <w:pPr>
              <w:pStyle w:val="7"/>
              <w:spacing w:before="50" w:line="276" w:lineRule="exact"/>
              <w:ind w:left="367" w:right="105" w:hanging="231"/>
              <w:rPr>
                <w:sz w:val="23"/>
              </w:rPr>
            </w:pPr>
            <w:r>
              <w:rPr>
                <w:sz w:val="23"/>
              </w:rPr>
              <w:t>主项名称</w:t>
            </w:r>
          </w:p>
        </w:tc>
        <w:tc>
          <w:tcPr>
            <w:tcW w:w="950" w:type="dxa"/>
          </w:tcPr>
          <w:p>
            <w:pPr>
              <w:pStyle w:val="7"/>
              <w:spacing w:before="50" w:line="276" w:lineRule="exact"/>
              <w:ind w:left="367" w:right="105" w:hanging="231"/>
              <w:rPr>
                <w:sz w:val="23"/>
              </w:rPr>
            </w:pPr>
            <w:r>
              <w:rPr>
                <w:sz w:val="23"/>
              </w:rPr>
              <w:t>子项名称</w:t>
            </w: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7989"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662" w:type="dxa"/>
          </w:tcPr>
          <w:p>
            <w:pPr>
              <w:pStyle w:val="7"/>
              <w:rPr>
                <w:sz w:val="15"/>
              </w:rPr>
            </w:pPr>
          </w:p>
          <w:p>
            <w:pPr>
              <w:pStyle w:val="7"/>
              <w:ind w:right="268"/>
              <w:jc w:val="right"/>
              <w:rPr>
                <w:rFonts w:ascii="Times New Roman"/>
                <w:sz w:val="16"/>
              </w:rPr>
            </w:pPr>
            <w:r>
              <w:rPr>
                <w:rFonts w:ascii="Times New Roman"/>
                <w:w w:val="101"/>
                <w:sz w:val="16"/>
              </w:rPr>
              <w:t>1</w:t>
            </w:r>
          </w:p>
        </w:tc>
        <w:tc>
          <w:tcPr>
            <w:tcW w:w="950" w:type="dxa"/>
          </w:tcPr>
          <w:p>
            <w:pPr>
              <w:pStyle w:val="7"/>
              <w:spacing w:before="98" w:line="235" w:lineRule="auto"/>
              <w:ind w:left="31" w:right="85"/>
              <w:rPr>
                <w:sz w:val="16"/>
              </w:rPr>
            </w:pPr>
            <w:r>
              <w:rPr>
                <w:sz w:val="16"/>
              </w:rPr>
              <w:t>村（居）法律顾问</w:t>
            </w:r>
          </w:p>
        </w:tc>
        <w:tc>
          <w:tcPr>
            <w:tcW w:w="950" w:type="dxa"/>
          </w:tcPr>
          <w:p>
            <w:pPr>
              <w:pStyle w:val="7"/>
              <w:rPr>
                <w:rFonts w:ascii="Times New Roman"/>
                <w:sz w:val="16"/>
              </w:rPr>
            </w:pPr>
          </w:p>
        </w:tc>
        <w:tc>
          <w:tcPr>
            <w:tcW w:w="950" w:type="dxa"/>
          </w:tcPr>
          <w:p>
            <w:pPr>
              <w:pStyle w:val="7"/>
              <w:spacing w:before="3"/>
              <w:rPr>
                <w:sz w:val="15"/>
              </w:rPr>
            </w:pPr>
          </w:p>
          <w:p>
            <w:pPr>
              <w:pStyle w:val="7"/>
              <w:ind w:left="31"/>
              <w:rPr>
                <w:sz w:val="16"/>
              </w:rPr>
            </w:pPr>
            <w:r>
              <w:rPr>
                <w:sz w:val="16"/>
              </w:rPr>
              <w:t>公共服务</w:t>
            </w:r>
          </w:p>
        </w:tc>
        <w:tc>
          <w:tcPr>
            <w:tcW w:w="950" w:type="dxa"/>
            <w:vAlign w:val="center"/>
          </w:tcPr>
          <w:p>
            <w:pPr>
              <w:pStyle w:val="7"/>
              <w:spacing w:before="98" w:line="235" w:lineRule="auto"/>
              <w:ind w:left="32" w:right="84"/>
              <w:jc w:val="both"/>
              <w:rPr>
                <w:rFonts w:hint="eastAsia" w:eastAsia="宋体"/>
                <w:sz w:val="16"/>
                <w:lang w:eastAsia="zh-CN"/>
              </w:rPr>
            </w:pPr>
            <w:r>
              <w:rPr>
                <w:rFonts w:hint="eastAsia"/>
                <w:sz w:val="16"/>
                <w:lang w:val="en-US" w:eastAsia="zh-CN"/>
              </w:rPr>
              <w:t>华溪镇大新寨村委会</w:t>
            </w:r>
          </w:p>
        </w:tc>
        <w:tc>
          <w:tcPr>
            <w:tcW w:w="7989" w:type="dxa"/>
          </w:tcPr>
          <w:p>
            <w:pPr>
              <w:pStyle w:val="7"/>
              <w:spacing w:before="4" w:line="235" w:lineRule="auto"/>
              <w:ind w:left="32" w:right="105"/>
              <w:rPr>
                <w:sz w:val="16"/>
              </w:rPr>
            </w:pPr>
            <w:r>
              <w:rPr>
                <w:sz w:val="16"/>
              </w:rPr>
              <w:t>村（居）法律顾问；服务对象：村（居）民；服务内容：每个村（居）</w:t>
            </w:r>
            <w:r>
              <w:rPr>
                <w:spacing w:val="-1"/>
                <w:sz w:val="16"/>
              </w:rPr>
              <w:t xml:space="preserve">配备法律顾问，参与矛盾纠纷化解，服 </w:t>
            </w:r>
            <w:r>
              <w:rPr>
                <w:sz w:val="16"/>
              </w:rPr>
              <w:t>务村（居）依法治理，为村（居）民提供法律咨询和法律服务，开展普法宣传；服务提供主体：村（居）</w:t>
            </w:r>
            <w:r>
              <w:rPr>
                <w:spacing w:val="-8"/>
                <w:sz w:val="16"/>
              </w:rPr>
              <w:t>法律</w:t>
            </w:r>
          </w:p>
          <w:p>
            <w:pPr>
              <w:pStyle w:val="7"/>
              <w:spacing w:before="1" w:line="146" w:lineRule="exact"/>
              <w:ind w:left="32"/>
              <w:rPr>
                <w:sz w:val="16"/>
              </w:rPr>
            </w:pPr>
            <w:r>
              <w:rPr>
                <w:sz w:val="16"/>
              </w:rPr>
              <w:t>顾问。</w:t>
            </w:r>
          </w:p>
        </w:tc>
        <w:tc>
          <w:tcPr>
            <w:tcW w:w="868" w:type="dxa"/>
          </w:tcPr>
          <w:p>
            <w:pPr>
              <w:pStyle w:val="7"/>
              <w:spacing w:before="3"/>
              <w:rPr>
                <w:sz w:val="15"/>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7" w:hRule="atLeast"/>
        </w:trPr>
        <w:tc>
          <w:tcPr>
            <w:tcW w:w="662" w:type="dxa"/>
          </w:tcPr>
          <w:p>
            <w:pPr>
              <w:pStyle w:val="7"/>
              <w:rPr>
                <w:sz w:val="18"/>
              </w:rPr>
            </w:pPr>
          </w:p>
          <w:p>
            <w:pPr>
              <w:pStyle w:val="7"/>
              <w:rPr>
                <w:sz w:val="18"/>
              </w:rPr>
            </w:pPr>
          </w:p>
          <w:p>
            <w:pPr>
              <w:pStyle w:val="7"/>
              <w:spacing w:before="124"/>
              <w:ind w:right="268"/>
              <w:jc w:val="right"/>
              <w:rPr>
                <w:rFonts w:ascii="Times New Roman"/>
                <w:sz w:val="16"/>
              </w:rPr>
            </w:pPr>
            <w:r>
              <w:rPr>
                <w:rFonts w:ascii="Times New Roman"/>
                <w:w w:val="101"/>
                <w:sz w:val="16"/>
              </w:rPr>
              <w:t>2</w:t>
            </w: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人民调解</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rPr>
                <w:sz w:val="22"/>
              </w:rPr>
            </w:pPr>
          </w:p>
          <w:p>
            <w:pPr>
              <w:pStyle w:val="7"/>
              <w:spacing w:line="204" w:lineRule="exact"/>
              <w:ind w:left="32"/>
              <w:jc w:val="both"/>
              <w:rPr>
                <w:sz w:val="16"/>
              </w:rPr>
            </w:pPr>
            <w:r>
              <w:rPr>
                <w:sz w:val="16"/>
              </w:rPr>
              <w:t>第八条 村民委员会、居民委员会设立人民调解委员会。企业事业单位根据需要设立人民调解委员会。</w:t>
            </w:r>
          </w:p>
          <w:p>
            <w:pPr>
              <w:pStyle w:val="7"/>
              <w:spacing w:before="1" w:line="237" w:lineRule="auto"/>
              <w:ind w:left="32" w:right="97"/>
              <w:jc w:val="both"/>
              <w:rPr>
                <w:sz w:val="16"/>
              </w:rPr>
            </w:pPr>
            <w:r>
              <w:rPr>
                <w:sz w:val="16"/>
              </w:rPr>
              <w:t>《司法部关于印发〈公共法律服务事项清单〉的通知》（司发通〔2019〕97号）附件第14</w:t>
            </w:r>
            <w:r>
              <w:rPr>
                <w:spacing w:val="-2"/>
                <w:sz w:val="16"/>
              </w:rPr>
              <w:t xml:space="preserve">项服务项目：人民调 </w:t>
            </w:r>
            <w:r>
              <w:rPr>
                <w:sz w:val="16"/>
              </w:rPr>
              <w:t>解；服务对象：矛盾纠纷当事人；服务内容：人民调解组织依申请进行调解，或主动调解，对民间纠纷当事人 进行说服、疏导，促使当事人自愿达成调解协议；服务提供主体：人民调解组织。</w:t>
            </w:r>
          </w:p>
        </w:tc>
        <w:tc>
          <w:tcPr>
            <w:tcW w:w="868" w:type="dxa"/>
          </w:tcPr>
          <w:p>
            <w:pPr>
              <w:pStyle w:val="7"/>
              <w:rPr>
                <w:sz w:val="16"/>
              </w:rPr>
            </w:pPr>
          </w:p>
          <w:p>
            <w:pPr>
              <w:pStyle w:val="7"/>
              <w:rPr>
                <w:sz w:val="16"/>
              </w:rPr>
            </w:pPr>
          </w:p>
          <w:p>
            <w:pPr>
              <w:pStyle w:val="7"/>
              <w:spacing w:before="10"/>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662" w:type="dxa"/>
            <w:vMerge w:val="restart"/>
          </w:tcPr>
          <w:p>
            <w:pPr>
              <w:pStyle w:val="7"/>
              <w:rPr>
                <w:sz w:val="18"/>
              </w:rPr>
            </w:pPr>
          </w:p>
          <w:p>
            <w:pPr>
              <w:pStyle w:val="7"/>
              <w:rPr>
                <w:sz w:val="18"/>
              </w:rPr>
            </w:pPr>
          </w:p>
          <w:p>
            <w:pPr>
              <w:pStyle w:val="7"/>
              <w:rPr>
                <w:sz w:val="18"/>
              </w:rPr>
            </w:pPr>
          </w:p>
          <w:p>
            <w:pPr>
              <w:pStyle w:val="7"/>
              <w:rPr>
                <w:sz w:val="22"/>
              </w:rPr>
            </w:pPr>
          </w:p>
          <w:p>
            <w:pPr>
              <w:pStyle w:val="7"/>
              <w:ind w:left="28"/>
              <w:jc w:val="center"/>
              <w:rPr>
                <w:rFonts w:ascii="Times New Roman"/>
                <w:sz w:val="16"/>
              </w:rPr>
            </w:pPr>
            <w:r>
              <w:rPr>
                <w:rFonts w:ascii="Times New Roman"/>
                <w:w w:val="101"/>
                <w:sz w:val="16"/>
              </w:rPr>
              <w:t>3</w:t>
            </w:r>
          </w:p>
        </w:tc>
        <w:tc>
          <w:tcPr>
            <w:tcW w:w="950" w:type="dxa"/>
            <w:vMerge w:val="restart"/>
          </w:tcPr>
          <w:p>
            <w:pPr>
              <w:pStyle w:val="7"/>
              <w:rPr>
                <w:sz w:val="16"/>
              </w:rPr>
            </w:pPr>
          </w:p>
          <w:p>
            <w:pPr>
              <w:pStyle w:val="7"/>
              <w:rPr>
                <w:sz w:val="16"/>
              </w:rPr>
            </w:pPr>
          </w:p>
          <w:p>
            <w:pPr>
              <w:pStyle w:val="7"/>
              <w:rPr>
                <w:sz w:val="16"/>
              </w:rPr>
            </w:pPr>
          </w:p>
          <w:p>
            <w:pPr>
              <w:pStyle w:val="7"/>
              <w:spacing w:before="7"/>
              <w:rPr>
                <w:sz w:val="20"/>
              </w:rPr>
            </w:pPr>
          </w:p>
          <w:p>
            <w:pPr>
              <w:pStyle w:val="7"/>
              <w:spacing w:line="235" w:lineRule="auto"/>
              <w:ind w:left="31" w:right="85"/>
              <w:rPr>
                <w:sz w:val="16"/>
              </w:rPr>
            </w:pPr>
            <w:r>
              <w:rPr>
                <w:sz w:val="16"/>
              </w:rPr>
              <w:t>社会保险参保信息维护</w:t>
            </w:r>
          </w:p>
        </w:tc>
        <w:tc>
          <w:tcPr>
            <w:tcW w:w="950" w:type="dxa"/>
          </w:tcPr>
          <w:p>
            <w:pPr>
              <w:pStyle w:val="7"/>
              <w:rPr>
                <w:sz w:val="16"/>
              </w:rPr>
            </w:pPr>
          </w:p>
          <w:p>
            <w:pPr>
              <w:pStyle w:val="7"/>
              <w:rPr>
                <w:sz w:val="16"/>
              </w:rPr>
            </w:pPr>
          </w:p>
          <w:p>
            <w:pPr>
              <w:pStyle w:val="7"/>
              <w:spacing w:before="12"/>
              <w:rPr>
                <w:sz w:val="11"/>
              </w:rPr>
            </w:pPr>
          </w:p>
          <w:p>
            <w:pPr>
              <w:pStyle w:val="7"/>
              <w:spacing w:line="235" w:lineRule="auto"/>
              <w:ind w:left="31" w:right="85"/>
              <w:rPr>
                <w:sz w:val="16"/>
              </w:rPr>
            </w:pPr>
            <w:r>
              <w:rPr>
                <w:sz w:val="16"/>
              </w:rPr>
              <w:t>个人基本信息变更</w:t>
            </w:r>
          </w:p>
        </w:tc>
        <w:tc>
          <w:tcPr>
            <w:tcW w:w="950" w:type="dxa"/>
          </w:tcPr>
          <w:p>
            <w:pPr>
              <w:pStyle w:val="7"/>
              <w:rPr>
                <w:sz w:val="16"/>
              </w:rPr>
            </w:pPr>
          </w:p>
          <w:p>
            <w:pPr>
              <w:pStyle w:val="7"/>
              <w:rPr>
                <w:sz w:val="16"/>
              </w:rPr>
            </w:pPr>
          </w:p>
          <w:p>
            <w:pPr>
              <w:pStyle w:val="7"/>
              <w:spacing w:before="7"/>
              <w:rPr>
                <w:sz w:val="19"/>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3"/>
              <w:rPr>
                <w:sz w:val="12"/>
              </w:rPr>
            </w:pPr>
          </w:p>
          <w:p>
            <w:pPr>
              <w:pStyle w:val="7"/>
              <w:spacing w:line="237" w:lineRule="auto"/>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节所需材料的收集与上报。第九条   参保人员的性别、民族、居住地址、联系电话等参保登记信息发生变更</w:t>
            </w:r>
            <w:r>
              <w:rPr>
                <w:spacing w:val="-1"/>
                <w:sz w:val="16"/>
              </w:rPr>
              <w:t>时，县社保机构应允许参保人员本人通过互联网服务渠道或线下服务渠道直接填报最新信息进行变更，无需审 核。参保人员的姓名、出生日期、有效身份证件号码变更时，县社保机构应允许参保人员本人通过互联网服务 渠道提出申请，填写新的《登记表》，上传变更后的有效身份证件办理变更或携带变更后的有效身份证件通过</w:t>
            </w:r>
          </w:p>
          <w:p>
            <w:pPr>
              <w:pStyle w:val="7"/>
              <w:spacing w:line="201" w:lineRule="exact"/>
              <w:ind w:left="32"/>
              <w:rPr>
                <w:sz w:val="16"/>
              </w:rPr>
            </w:pPr>
            <w:r>
              <w:rPr>
                <w:w w:val="101"/>
                <w:sz w:val="16"/>
              </w:rPr>
              <w:t>。</w:t>
            </w:r>
          </w:p>
        </w:tc>
        <w:tc>
          <w:tcPr>
            <w:tcW w:w="868" w:type="dxa"/>
          </w:tcPr>
          <w:p>
            <w:pPr>
              <w:pStyle w:val="7"/>
              <w:rPr>
                <w:sz w:val="16"/>
              </w:rPr>
            </w:pPr>
          </w:p>
          <w:p>
            <w:pPr>
              <w:pStyle w:val="7"/>
              <w:rPr>
                <w:sz w:val="16"/>
              </w:rPr>
            </w:pPr>
          </w:p>
          <w:p>
            <w:pPr>
              <w:pStyle w:val="7"/>
              <w:spacing w:before="7"/>
              <w:rPr>
                <w:sz w:val="19"/>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13"/>
              <w:ind w:left="31" w:right="85"/>
              <w:rPr>
                <w:sz w:val="16"/>
              </w:rPr>
            </w:pPr>
            <w:r>
              <w:rPr>
                <w:sz w:val="16"/>
              </w:rPr>
              <w:t xml:space="preserve">养老保险 </w:t>
            </w:r>
            <w:r>
              <w:rPr>
                <w:spacing w:val="-4"/>
                <w:sz w:val="16"/>
              </w:rPr>
              <w:t>待遇发放账</w:t>
            </w:r>
          </w:p>
          <w:p>
            <w:pPr>
              <w:pStyle w:val="7"/>
              <w:spacing w:line="170" w:lineRule="exact"/>
              <w:ind w:left="31"/>
              <w:rPr>
                <w:sz w:val="16"/>
              </w:rPr>
            </w:pPr>
            <w:r>
              <w:rPr>
                <w:sz w:val="16"/>
              </w:rPr>
              <w:t>户维护</w:t>
            </w:r>
          </w:p>
        </w:tc>
        <w:tc>
          <w:tcPr>
            <w:tcW w:w="950" w:type="dxa"/>
          </w:tcPr>
          <w:p>
            <w:pPr>
              <w:pStyle w:val="7"/>
              <w:spacing w:before="9"/>
              <w:rPr>
                <w:sz w:val="16"/>
              </w:rPr>
            </w:pPr>
          </w:p>
          <w:p>
            <w:pPr>
              <w:pStyle w:val="7"/>
              <w:ind w:left="31"/>
              <w:rPr>
                <w:sz w:val="16"/>
              </w:rPr>
            </w:pPr>
            <w:r>
              <w:rPr>
                <w:sz w:val="16"/>
              </w:rPr>
              <w:t>公共服务</w:t>
            </w:r>
          </w:p>
        </w:tc>
        <w:tc>
          <w:tcPr>
            <w:tcW w:w="950" w:type="dxa"/>
            <w:vAlign w:val="center"/>
          </w:tcPr>
          <w:p>
            <w:pPr>
              <w:spacing w:before="113"/>
              <w:ind w:left="0" w:leftChars="0" w:right="0" w:rightChars="0"/>
              <w:jc w:val="both"/>
              <w:rPr>
                <w:sz w:val="16"/>
              </w:rPr>
            </w:pPr>
            <w:r>
              <w:rPr>
                <w:rFonts w:hint="eastAsia"/>
                <w:sz w:val="16"/>
                <w:lang w:val="en-US" w:eastAsia="zh-CN"/>
              </w:rPr>
              <w:t>华溪镇大新寨村委会</w:t>
            </w:r>
          </w:p>
        </w:tc>
        <w:tc>
          <w:tcPr>
            <w:tcW w:w="7989" w:type="dxa"/>
          </w:tcPr>
          <w:p>
            <w:pPr>
              <w:pStyle w:val="7"/>
              <w:spacing w:before="113"/>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w:t>
            </w:r>
          </w:p>
        </w:tc>
        <w:tc>
          <w:tcPr>
            <w:tcW w:w="868" w:type="dxa"/>
          </w:tcPr>
          <w:p>
            <w:pPr>
              <w:pStyle w:val="7"/>
              <w:spacing w:before="9"/>
              <w:rPr>
                <w:sz w:val="16"/>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5"/>
              <w:rPr>
                <w:sz w:val="25"/>
              </w:rPr>
            </w:pPr>
          </w:p>
          <w:p>
            <w:pPr>
              <w:pStyle w:val="7"/>
              <w:ind w:right="268"/>
              <w:jc w:val="right"/>
              <w:rPr>
                <w:rFonts w:ascii="Times New Roman"/>
                <w:sz w:val="16"/>
              </w:rPr>
            </w:pPr>
            <w:r>
              <w:rPr>
                <w:rFonts w:ascii="Times New Roman"/>
                <w:w w:val="101"/>
                <w:sz w:val="16"/>
              </w:rPr>
              <w:t>4</w:t>
            </w:r>
          </w:p>
        </w:tc>
        <w:tc>
          <w:tcPr>
            <w:tcW w:w="950" w:type="dxa"/>
          </w:tcPr>
          <w:p>
            <w:pPr>
              <w:pStyle w:val="7"/>
              <w:rPr>
                <w:sz w:val="16"/>
              </w:rPr>
            </w:pPr>
          </w:p>
          <w:p>
            <w:pPr>
              <w:pStyle w:val="7"/>
              <w:rPr>
                <w:sz w:val="16"/>
              </w:rPr>
            </w:pPr>
          </w:p>
          <w:p>
            <w:pPr>
              <w:pStyle w:val="7"/>
              <w:spacing w:before="12"/>
              <w:rPr>
                <w:sz w:val="21"/>
              </w:rPr>
            </w:pPr>
          </w:p>
          <w:p>
            <w:pPr>
              <w:pStyle w:val="7"/>
              <w:spacing w:line="235" w:lineRule="auto"/>
              <w:ind w:left="31" w:right="85"/>
              <w:rPr>
                <w:sz w:val="16"/>
              </w:rPr>
            </w:pPr>
            <w:r>
              <w:rPr>
                <w:sz w:val="16"/>
              </w:rPr>
              <w:t>社会保险登记</w:t>
            </w:r>
          </w:p>
        </w:tc>
        <w:tc>
          <w:tcPr>
            <w:tcW w:w="950" w:type="dxa"/>
          </w:tcPr>
          <w:p>
            <w:pPr>
              <w:pStyle w:val="7"/>
              <w:rPr>
                <w:sz w:val="16"/>
              </w:rPr>
            </w:pPr>
          </w:p>
          <w:p>
            <w:pPr>
              <w:pStyle w:val="7"/>
              <w:rPr>
                <w:sz w:val="16"/>
              </w:rPr>
            </w:pPr>
          </w:p>
          <w:p>
            <w:pPr>
              <w:pStyle w:val="7"/>
              <w:spacing w:before="12"/>
              <w:rPr>
                <w:sz w:val="13"/>
              </w:rPr>
            </w:pPr>
          </w:p>
          <w:p>
            <w:pPr>
              <w:pStyle w:val="7"/>
              <w:spacing w:line="237" w:lineRule="auto"/>
              <w:ind w:left="31" w:right="85"/>
              <w:jc w:val="both"/>
              <w:rPr>
                <w:sz w:val="16"/>
              </w:rPr>
            </w:pPr>
            <w:r>
              <w:rPr>
                <w:sz w:val="16"/>
              </w:rPr>
              <w:t>城乡居民养老保险参保登记</w:t>
            </w:r>
          </w:p>
        </w:tc>
        <w:tc>
          <w:tcPr>
            <w:tcW w:w="950" w:type="dxa"/>
          </w:tcPr>
          <w:p>
            <w:pPr>
              <w:pStyle w:val="7"/>
              <w:rPr>
                <w:sz w:val="16"/>
              </w:rPr>
            </w:pPr>
          </w:p>
          <w:p>
            <w:pPr>
              <w:pStyle w:val="7"/>
              <w:rPr>
                <w:sz w:val="16"/>
              </w:rPr>
            </w:pPr>
          </w:p>
          <w:p>
            <w:pPr>
              <w:pStyle w:val="7"/>
              <w:rPr>
                <w:sz w:val="16"/>
              </w:rPr>
            </w:pPr>
          </w:p>
          <w:p>
            <w:pPr>
              <w:pStyle w:val="7"/>
              <w:spacing w:before="7"/>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83" w:line="235" w:lineRule="auto"/>
              <w:ind w:left="32" w:right="103"/>
              <w:rPr>
                <w:sz w:val="16"/>
              </w:rPr>
            </w:pPr>
            <w:r>
              <w:rPr>
                <w:spacing w:val="-1"/>
                <w:sz w:val="16"/>
              </w:rPr>
              <w:t>《中华人民共和国社会保险法》第二十条  国家建立和完善新型农村社会养老保险制度。新型农村社会养老保险实行个人缴费、集体补助和政府补贴相结合。第二十二条   国家建立和完善城镇居民社会养老保险制度。省</w:t>
            </w:r>
          </w:p>
          <w:p>
            <w:pPr>
              <w:pStyle w:val="7"/>
              <w:spacing w:before="1" w:line="203" w:lineRule="exact"/>
              <w:ind w:left="32"/>
              <w:rPr>
                <w:sz w:val="16"/>
              </w:rPr>
            </w:pPr>
            <w:r>
              <w:rPr>
                <w:sz w:val="16"/>
              </w:rPr>
              <w:t>、自治区、直辖市人民政府根据实际情况，可以将城镇居民社会养老保险和新型农村社会养老保险合并实施。</w:t>
            </w:r>
          </w:p>
          <w:p>
            <w:pPr>
              <w:pStyle w:val="7"/>
              <w:spacing w:line="202"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控稽核、宣传咨询、举报受理等。第三条  城乡居民养老保险实行属地化管理，社保机构、乡镇（街道）事务所具体经办，村（居）协办员协助办。</w:t>
            </w:r>
          </w:p>
        </w:tc>
        <w:tc>
          <w:tcPr>
            <w:tcW w:w="868" w:type="dxa"/>
          </w:tcPr>
          <w:p>
            <w:pPr>
              <w:pStyle w:val="7"/>
              <w:rPr>
                <w:sz w:val="16"/>
              </w:rPr>
            </w:pPr>
          </w:p>
          <w:p>
            <w:pPr>
              <w:pStyle w:val="7"/>
              <w:rPr>
                <w:sz w:val="16"/>
              </w:rPr>
            </w:pPr>
          </w:p>
          <w:p>
            <w:pPr>
              <w:pStyle w:val="7"/>
              <w:rPr>
                <w:sz w:val="16"/>
              </w:rPr>
            </w:pPr>
          </w:p>
          <w:p>
            <w:pPr>
              <w:pStyle w:val="7"/>
              <w:spacing w:before="7"/>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5" w:hRule="atLeast"/>
        </w:trPr>
        <w:tc>
          <w:tcPr>
            <w:tcW w:w="662" w:type="dxa"/>
            <w:vMerge w:val="restart"/>
            <w:tcBorders>
              <w:bottom w:val="nil"/>
            </w:tcBorders>
          </w:tcPr>
          <w:p>
            <w:pPr>
              <w:pStyle w:val="7"/>
              <w:rPr>
                <w:rFonts w:ascii="Times New Roman"/>
                <w:sz w:val="16"/>
              </w:rPr>
            </w:pPr>
          </w:p>
        </w:tc>
        <w:tc>
          <w:tcPr>
            <w:tcW w:w="950" w:type="dxa"/>
            <w:vMerge w:val="restart"/>
            <w:tcBorders>
              <w:bottom w:val="nil"/>
            </w:tcBorders>
          </w:tcPr>
          <w:p>
            <w:pPr>
              <w:pStyle w:val="7"/>
              <w:rPr>
                <w:rFonts w:ascii="Times New Roman"/>
                <w:sz w:val="16"/>
              </w:rPr>
            </w:pPr>
          </w:p>
        </w:tc>
        <w:tc>
          <w:tcPr>
            <w:tcW w:w="950" w:type="dxa"/>
          </w:tcPr>
          <w:p>
            <w:pPr>
              <w:pStyle w:val="7"/>
              <w:rPr>
                <w:sz w:val="16"/>
              </w:rPr>
            </w:pPr>
          </w:p>
          <w:p>
            <w:pPr>
              <w:pStyle w:val="7"/>
              <w:rPr>
                <w:sz w:val="16"/>
              </w:rPr>
            </w:pPr>
          </w:p>
          <w:p>
            <w:pPr>
              <w:pStyle w:val="7"/>
              <w:spacing w:before="11"/>
              <w:rPr>
                <w:sz w:val="20"/>
              </w:rPr>
            </w:pPr>
          </w:p>
          <w:p>
            <w:pPr>
              <w:pStyle w:val="7"/>
              <w:spacing w:line="237" w:lineRule="auto"/>
              <w:ind w:left="31" w:right="85"/>
              <w:jc w:val="both"/>
              <w:rPr>
                <w:sz w:val="16"/>
              </w:rPr>
            </w:pPr>
            <w:r>
              <w:rPr>
                <w:sz w:val="16"/>
              </w:rPr>
              <w:t>城镇职工基本养老保险与城乡居民基本养老保险制度衔接申请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0" w:line="237" w:lineRule="auto"/>
              <w:ind w:left="32" w:right="22"/>
              <w:rPr>
                <w:sz w:val="16"/>
              </w:rPr>
            </w:pPr>
            <w:r>
              <w:rPr>
                <w:sz w:val="16"/>
              </w:rPr>
              <w:t>《中华人民共和国社会保险法》第十六条   参加基本养老保险的个人，达到法定退休年龄时累计缴费不足十五年的，可以缴费至满十五年，按月领取基本养老金;也可以转入新型农村社会养老保险或者城镇居民社会养老保 险，按照国务院规定享受相应的养老保险待遇。也可以转入新型农村社会养老保险或者城镇居民社会养老保</w:t>
            </w:r>
          </w:p>
          <w:p>
            <w:pPr>
              <w:pStyle w:val="7"/>
              <w:spacing w:line="200" w:lineRule="exact"/>
              <w:ind w:left="32"/>
              <w:rPr>
                <w:sz w:val="16"/>
              </w:rPr>
            </w:pPr>
            <w:r>
              <w:rPr>
                <w:sz w:val="16"/>
              </w:rPr>
              <w:t>险，按照国务院规定享受相应的养老保险待遇。</w:t>
            </w:r>
          </w:p>
          <w:p>
            <w:pPr>
              <w:pStyle w:val="7"/>
              <w:spacing w:line="203" w:lineRule="exact"/>
              <w:ind w:left="32"/>
              <w:rPr>
                <w:sz w:val="16"/>
              </w:rPr>
            </w:pPr>
            <w:r>
              <w:rPr>
                <w:sz w:val="16"/>
              </w:rPr>
              <w:t>《国务院办公厅关于转发人力资源社会保障部 财政部城镇企业职工基本养老保险关系转移接续暂行办法的通知</w:t>
            </w:r>
          </w:p>
          <w:p>
            <w:pPr>
              <w:pStyle w:val="7"/>
              <w:spacing w:before="1" w:line="237" w:lineRule="auto"/>
              <w:ind w:left="32" w:right="105"/>
              <w:rPr>
                <w:sz w:val="16"/>
              </w:rPr>
            </w:pPr>
            <w:r>
              <w:rPr>
                <w:sz w:val="16"/>
              </w:rPr>
              <w:t xml:space="preserve">》（国办发〔2009〕66号）第九条   农民工不再返回城镇就业的，其在城镇参保缴费记录及个人账户全部有 </w:t>
            </w:r>
            <w:r>
              <w:rPr>
                <w:spacing w:val="-1"/>
                <w:sz w:val="16"/>
              </w:rPr>
              <w:t xml:space="preserve">效，并根据农民工的实际情况，或在其达到规定领取条件时享受城镇职工基本养老保险待遇，或转入新型农村 </w:t>
            </w:r>
            <w:r>
              <w:rPr>
                <w:sz w:val="16"/>
              </w:rPr>
              <w:t>社会养老保险。</w:t>
            </w:r>
          </w:p>
          <w:p>
            <w:pPr>
              <w:pStyle w:val="7"/>
              <w:spacing w:line="200"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62" w:type="dxa"/>
            <w:vMerge w:val="continue"/>
            <w:tcBorders>
              <w:top w:val="nil"/>
              <w:bottom w:val="nil"/>
            </w:tcBorders>
          </w:tcPr>
          <w:p>
            <w:pPr>
              <w:rPr>
                <w:sz w:val="2"/>
                <w:szCs w:val="2"/>
              </w:rPr>
            </w:pPr>
          </w:p>
        </w:tc>
        <w:tc>
          <w:tcPr>
            <w:tcW w:w="950" w:type="dxa"/>
            <w:vMerge w:val="continue"/>
            <w:tcBorders>
              <w:top w:val="nil"/>
              <w:bottom w:val="nil"/>
            </w:tcBorders>
          </w:tcPr>
          <w:p>
            <w:pPr>
              <w:rPr>
                <w:sz w:val="2"/>
                <w:szCs w:val="2"/>
              </w:rPr>
            </w:pPr>
          </w:p>
        </w:tc>
        <w:tc>
          <w:tcPr>
            <w:tcW w:w="950" w:type="dxa"/>
          </w:tcPr>
          <w:p>
            <w:pPr>
              <w:pStyle w:val="7"/>
              <w:spacing w:before="12" w:line="237" w:lineRule="auto"/>
              <w:ind w:left="31" w:right="85"/>
              <w:rPr>
                <w:sz w:val="16"/>
              </w:rPr>
            </w:pPr>
            <w:r>
              <w:rPr>
                <w:sz w:val="16"/>
              </w:rPr>
              <w:t xml:space="preserve">城乡居民 </w:t>
            </w:r>
            <w:r>
              <w:rPr>
                <w:spacing w:val="-4"/>
                <w:sz w:val="16"/>
              </w:rPr>
              <w:t>基本养老保险关系转移</w:t>
            </w:r>
            <w:r>
              <w:rPr>
                <w:sz w:val="16"/>
              </w:rPr>
              <w:t>接续</w:t>
            </w:r>
          </w:p>
          <w:p>
            <w:pPr>
              <w:pStyle w:val="7"/>
              <w:spacing w:line="170" w:lineRule="exact"/>
              <w:ind w:left="31"/>
              <w:rPr>
                <w:sz w:val="16"/>
              </w:rPr>
            </w:pPr>
            <w:r>
              <w:rPr>
                <w:sz w:val="16"/>
              </w:rPr>
              <w:t>申请</w:t>
            </w:r>
          </w:p>
        </w:tc>
        <w:tc>
          <w:tcPr>
            <w:tcW w:w="950" w:type="dxa"/>
          </w:tcPr>
          <w:p>
            <w:pPr>
              <w:pStyle w:val="7"/>
              <w:rPr>
                <w:sz w:val="16"/>
              </w:rPr>
            </w:pPr>
          </w:p>
          <w:p>
            <w:pPr>
              <w:pStyle w:val="7"/>
              <w:spacing w:before="6"/>
              <w:rPr>
                <w:sz w:val="16"/>
              </w:rPr>
            </w:pPr>
          </w:p>
          <w:p>
            <w:pPr>
              <w:pStyle w:val="7"/>
              <w:ind w:left="31"/>
              <w:rPr>
                <w:sz w:val="16"/>
              </w:rPr>
            </w:pPr>
            <w:r>
              <w:rPr>
                <w:sz w:val="16"/>
              </w:rPr>
              <w:t>公共服务</w:t>
            </w:r>
          </w:p>
        </w:tc>
        <w:tc>
          <w:tcPr>
            <w:tcW w:w="950" w:type="dxa"/>
            <w:vAlign w:val="center"/>
          </w:tcPr>
          <w:p>
            <w:pPr>
              <w:spacing w:before="114"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12"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第二 </w:t>
            </w:r>
            <w:r>
              <w:rPr>
                <w:spacing w:val="-1"/>
                <w:sz w:val="16"/>
              </w:rPr>
              <w:t>条  城乡居民养老保险经办包括参保登记、保险费收缴衔接、基金申请和划拨、个人账户管理、待遇支付、保</w:t>
            </w:r>
            <w:r>
              <w:rPr>
                <w:sz w:val="16"/>
              </w:rPr>
              <w:t>险关系注销、保险关系转移接续、基金管理、档案管理、统计管理、待遇领取资格确认、内控稽核、宣传咨询</w:t>
            </w:r>
          </w:p>
          <w:p>
            <w:pPr>
              <w:pStyle w:val="7"/>
              <w:spacing w:line="202" w:lineRule="exact"/>
              <w:ind w:left="32"/>
              <w:rPr>
                <w:sz w:val="16"/>
              </w:rPr>
            </w:pPr>
            <w:r>
              <w:rPr>
                <w:sz w:val="16"/>
              </w:rPr>
              <w:t>、举报受理等。第三条 城乡居民养老保险实行属地化管理，社保机构、乡镇（街道）事务所具体经办，村</w:t>
            </w:r>
          </w:p>
          <w:p>
            <w:pPr>
              <w:pStyle w:val="7"/>
              <w:spacing w:line="172" w:lineRule="exact"/>
              <w:ind w:left="32"/>
              <w:rPr>
                <w:sz w:val="16"/>
              </w:rPr>
            </w:pPr>
            <w:r>
              <w:rPr>
                <w:sz w:val="16"/>
              </w:rPr>
              <w:t>（居）协办员协助办。</w:t>
            </w:r>
          </w:p>
        </w:tc>
        <w:tc>
          <w:tcPr>
            <w:tcW w:w="868" w:type="dxa"/>
          </w:tcPr>
          <w:p>
            <w:pPr>
              <w:pStyle w:val="7"/>
              <w:rPr>
                <w:sz w:val="16"/>
              </w:rPr>
            </w:pPr>
          </w:p>
          <w:p>
            <w:pPr>
              <w:pStyle w:val="7"/>
              <w:spacing w:before="6"/>
              <w:rPr>
                <w:sz w:val="16"/>
              </w:rPr>
            </w:pPr>
          </w:p>
          <w:p>
            <w:pPr>
              <w:pStyle w:val="7"/>
              <w:ind w:left="33"/>
              <w:rPr>
                <w:sz w:val="16"/>
              </w:rPr>
            </w:pPr>
            <w:r>
              <w:rPr>
                <w:sz w:val="16"/>
              </w:rPr>
              <w:t>村（社区）</w:t>
            </w:r>
          </w:p>
        </w:tc>
      </w:tr>
    </w:tbl>
    <w:p>
      <w:pPr>
        <w:spacing w:after="0"/>
        <w:rPr>
          <w:sz w:val="16"/>
        </w:rPr>
        <w:sectPr>
          <w:type w:val="continuous"/>
          <w:pgSz w:w="16840" w:h="11910" w:orient="landscape"/>
          <w:pgMar w:top="28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0" w:hRule="atLeast"/>
        </w:trPr>
        <w:tc>
          <w:tcPr>
            <w:tcW w:w="662" w:type="dxa"/>
            <w:vMerge w:val="restart"/>
            <w:tcBorders>
              <w:top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2"/>
              </w:rPr>
            </w:pPr>
          </w:p>
          <w:p>
            <w:pPr>
              <w:pStyle w:val="7"/>
              <w:spacing w:before="1"/>
              <w:ind w:left="23"/>
              <w:jc w:val="center"/>
              <w:rPr>
                <w:rFonts w:ascii="Times New Roman"/>
                <w:sz w:val="16"/>
              </w:rPr>
            </w:pPr>
            <w:r>
              <w:rPr>
                <w:rFonts w:ascii="Times New Roman"/>
                <w:w w:val="101"/>
                <w:sz w:val="16"/>
              </w:rPr>
              <w:t>5</w:t>
            </w:r>
          </w:p>
        </w:tc>
        <w:tc>
          <w:tcPr>
            <w:tcW w:w="950" w:type="dxa"/>
            <w:vMerge w:val="restart"/>
            <w:tcBorders>
              <w:top w:val="nil"/>
            </w:tcBorders>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401" w:right="42" w:hanging="327"/>
              <w:rPr>
                <w:sz w:val="16"/>
              </w:rPr>
            </w:pPr>
            <w:r>
              <w:rPr>
                <w:sz w:val="16"/>
              </w:rPr>
              <w:t>养老保险服务</w:t>
            </w:r>
          </w:p>
        </w:tc>
        <w:tc>
          <w:tcPr>
            <w:tcW w:w="950" w:type="dxa"/>
          </w:tcPr>
          <w:p>
            <w:pPr>
              <w:pStyle w:val="7"/>
              <w:rPr>
                <w:sz w:val="16"/>
              </w:rPr>
            </w:pPr>
          </w:p>
          <w:p>
            <w:pPr>
              <w:pStyle w:val="7"/>
              <w:rPr>
                <w:sz w:val="16"/>
              </w:rPr>
            </w:pPr>
          </w:p>
          <w:p>
            <w:pPr>
              <w:pStyle w:val="7"/>
              <w:spacing w:before="2"/>
              <w:rPr>
                <w:sz w:val="13"/>
              </w:rPr>
            </w:pPr>
          </w:p>
          <w:p>
            <w:pPr>
              <w:pStyle w:val="7"/>
              <w:spacing w:line="237" w:lineRule="auto"/>
              <w:ind w:left="31" w:right="85"/>
              <w:jc w:val="both"/>
              <w:rPr>
                <w:sz w:val="16"/>
              </w:rPr>
            </w:pPr>
            <w:r>
              <w:rPr>
                <w:sz w:val="16"/>
              </w:rPr>
              <w:t>城乡居民养老保险待遇申领</w:t>
            </w: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0" w:line="203" w:lineRule="exact"/>
              <w:ind w:left="32"/>
              <w:rPr>
                <w:sz w:val="16"/>
              </w:rPr>
            </w:pPr>
            <w:r>
              <w:rPr>
                <w:sz w:val="16"/>
              </w:rPr>
              <w:t>《中华人民共和国社会保险法》第二十一条 新型农村社会养老保险待遇由基础养老金和个人账户养老金组成</w:t>
            </w:r>
          </w:p>
          <w:p>
            <w:pPr>
              <w:pStyle w:val="7"/>
              <w:spacing w:line="202" w:lineRule="exact"/>
              <w:ind w:left="32"/>
              <w:rPr>
                <w:sz w:val="16"/>
              </w:rPr>
            </w:pPr>
            <w:r>
              <w:rPr>
                <w:sz w:val="16"/>
              </w:rPr>
              <w:t>。参加新型农村社会养老保险的农村居民，符合国家规定条件的，按月领取新型农村社会养老保险待遇。</w:t>
            </w:r>
          </w:p>
          <w:p>
            <w:pPr>
              <w:pStyle w:val="7"/>
              <w:spacing w:line="203" w:lineRule="exact"/>
              <w:ind w:left="32"/>
              <w:rPr>
                <w:sz w:val="16"/>
              </w:rPr>
            </w:pPr>
            <w:r>
              <w:rPr>
                <w:sz w:val="16"/>
              </w:rPr>
              <w:t>《人力资源社会保障部关于印发〈城乡居民基本养老保险经办规程〉的通知》（人社部发〔</w:t>
            </w:r>
          </w:p>
          <w:p>
            <w:pPr>
              <w:pStyle w:val="7"/>
              <w:spacing w:line="203" w:lineRule="exact"/>
              <w:ind w:left="32"/>
              <w:rPr>
                <w:sz w:val="16"/>
              </w:rPr>
            </w:pPr>
            <w:r>
              <w:rPr>
                <w:sz w:val="16"/>
              </w:rPr>
              <w:t>2019〕84号）第三条 城乡居民养老保险实行属地化管理，社保机构、乡镇（街道）事务所具体经办，村</w:t>
            </w:r>
          </w:p>
          <w:p>
            <w:pPr>
              <w:pStyle w:val="7"/>
              <w:spacing w:line="203" w:lineRule="exact"/>
              <w:ind w:left="32"/>
              <w:rPr>
                <w:sz w:val="16"/>
              </w:rPr>
            </w:pPr>
            <w:r>
              <w:rPr>
                <w:sz w:val="16"/>
              </w:rPr>
              <w:t>（居）协办员协助办理。</w:t>
            </w:r>
          </w:p>
          <w:p>
            <w:pPr>
              <w:pStyle w:val="7"/>
              <w:spacing w:before="3" w:line="235" w:lineRule="auto"/>
              <w:ind w:left="32" w:right="97"/>
              <w:jc w:val="both"/>
              <w:rPr>
                <w:sz w:val="16"/>
              </w:rPr>
            </w:pPr>
            <w:r>
              <w:rPr>
                <w:sz w:val="16"/>
              </w:rPr>
              <w:t>《云南省人民政府关于印发〈云南省城乡居民基本养老保险实施办法〉的通知》（云政发〔2014〕20号）</w:t>
            </w:r>
            <w:r>
              <w:rPr>
                <w:spacing w:val="-7"/>
                <w:sz w:val="16"/>
              </w:rPr>
              <w:t xml:space="preserve">第九 </w:t>
            </w:r>
            <w:r>
              <w:rPr>
                <w:spacing w:val="12"/>
                <w:sz w:val="16"/>
              </w:rPr>
              <w:t>条  年满</w:t>
            </w:r>
            <w:r>
              <w:rPr>
                <w:sz w:val="16"/>
              </w:rPr>
              <w:t>60周岁，累计缴费满15年且未领取国家规定的基本养老保障待遇的参保人，从年满60</w:t>
            </w:r>
            <w:r>
              <w:rPr>
                <w:spacing w:val="-3"/>
                <w:sz w:val="16"/>
              </w:rPr>
              <w:t>周岁的次月开始</w:t>
            </w:r>
            <w:r>
              <w:rPr>
                <w:sz w:val="16"/>
              </w:rPr>
              <w:t>按月领取城乡居民养老保险金。</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7"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spacing w:before="10"/>
              <w:rPr>
                <w:sz w:val="20"/>
              </w:rPr>
            </w:pPr>
          </w:p>
          <w:p>
            <w:pPr>
              <w:pStyle w:val="7"/>
              <w:spacing w:line="237" w:lineRule="auto"/>
              <w:ind w:left="31" w:right="85"/>
              <w:jc w:val="both"/>
              <w:rPr>
                <w:sz w:val="16"/>
              </w:rPr>
            </w:pPr>
            <w:r>
              <w:rPr>
                <w:sz w:val="16"/>
              </w:rPr>
              <w:t>个人账户一次性待遇申领</w:t>
            </w:r>
          </w:p>
        </w:tc>
        <w:tc>
          <w:tcPr>
            <w:tcW w:w="950" w:type="dxa"/>
          </w:tcPr>
          <w:p>
            <w:pPr>
              <w:pStyle w:val="7"/>
              <w:rPr>
                <w:sz w:val="16"/>
              </w:rPr>
            </w:pPr>
          </w:p>
          <w:p>
            <w:pPr>
              <w:pStyle w:val="7"/>
              <w:rPr>
                <w:sz w:val="16"/>
              </w:rPr>
            </w:pPr>
          </w:p>
          <w:p>
            <w:pPr>
              <w:pStyle w:val="7"/>
              <w:rPr>
                <w:sz w:val="16"/>
              </w:rPr>
            </w:pPr>
          </w:p>
          <w:p>
            <w:pPr>
              <w:pStyle w:val="7"/>
              <w:spacing w:before="5"/>
              <w:rPr>
                <w:sz w:val="20"/>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0" w:line="237" w:lineRule="auto"/>
              <w:ind w:left="32" w:right="100"/>
              <w:jc w:val="both"/>
              <w:rPr>
                <w:sz w:val="16"/>
              </w:rPr>
            </w:pPr>
            <w:r>
              <w:rPr>
                <w:sz w:val="16"/>
              </w:rPr>
              <w:t>《实施〈中华人民共和国社会保险法〉若干规定》（人力资源和社会保障部令第13号）</w:t>
            </w:r>
            <w:r>
              <w:rPr>
                <w:spacing w:val="3"/>
                <w:sz w:val="16"/>
              </w:rPr>
              <w:t>第三条  参加职工基本</w:t>
            </w:r>
            <w:r>
              <w:rPr>
                <w:sz w:val="16"/>
              </w:rPr>
              <w:t>养老保险的个人达到法定退休年龄后，累计缴费不足十五年（含依照第二条规定延长缴费），</w:t>
            </w:r>
            <w:r>
              <w:rPr>
                <w:spacing w:val="-2"/>
                <w:sz w:val="16"/>
              </w:rPr>
              <w:t xml:space="preserve">且未转入新型农 </w:t>
            </w:r>
            <w:r>
              <w:rPr>
                <w:spacing w:val="-1"/>
                <w:sz w:val="16"/>
              </w:rPr>
              <w:t xml:space="preserve">村社会养老保险或者城镇居民社会养老保险的，个人可以书面申请终止职工基本养老保险关系。社会保险经办 机构收到申请后，应当书面告知其转入新型农村社会养老保险或者城镇居民社会养老保险的权利以及终止职工 基本养老保险关系的后果，经本人书面确认后，终止其职工基本养老保险关系，并将个人账户储存额一次性支 </w:t>
            </w:r>
            <w:r>
              <w:rPr>
                <w:sz w:val="16"/>
              </w:rPr>
              <w:t>付给本人。</w:t>
            </w:r>
          </w:p>
          <w:p>
            <w:pPr>
              <w:pStyle w:val="7"/>
              <w:spacing w:line="237" w:lineRule="auto"/>
              <w:ind w:left="32" w:right="97"/>
              <w:jc w:val="both"/>
              <w:rPr>
                <w:sz w:val="16"/>
              </w:rPr>
            </w:pPr>
            <w:r>
              <w:rPr>
                <w:sz w:val="16"/>
              </w:rPr>
              <w:t>《云南省人力资源和社会保障厅办公室关于印发〈云南省城乡居民基本养老保险经办规程〉的通知》（云人社 办〔2017〕56号）第二十九条  参保人出现死亡、出国（境）</w:t>
            </w:r>
            <w:r>
              <w:rPr>
                <w:spacing w:val="-1"/>
                <w:sz w:val="16"/>
              </w:rPr>
              <w:t>定居、保险关系转出或已享受城镇职工基本养老</w:t>
            </w:r>
            <w:r>
              <w:rPr>
                <w:sz w:val="16"/>
              </w:rPr>
              <w:t>保险、机关事业单位养老保险等其他社会养老保险待遇。</w:t>
            </w:r>
          </w:p>
        </w:tc>
        <w:tc>
          <w:tcPr>
            <w:tcW w:w="868" w:type="dxa"/>
          </w:tcPr>
          <w:p>
            <w:pPr>
              <w:pStyle w:val="7"/>
              <w:rPr>
                <w:sz w:val="16"/>
              </w:rPr>
            </w:pPr>
          </w:p>
          <w:p>
            <w:pPr>
              <w:pStyle w:val="7"/>
              <w:rPr>
                <w:sz w:val="16"/>
              </w:rPr>
            </w:pPr>
          </w:p>
          <w:p>
            <w:pPr>
              <w:pStyle w:val="7"/>
              <w:rPr>
                <w:sz w:val="16"/>
              </w:rPr>
            </w:pPr>
          </w:p>
          <w:p>
            <w:pPr>
              <w:pStyle w:val="7"/>
              <w:spacing w:before="5"/>
              <w:rPr>
                <w:sz w:val="20"/>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31" w:right="85"/>
              <w:rPr>
                <w:sz w:val="16"/>
              </w:rPr>
            </w:pPr>
            <w:r>
              <w:rPr>
                <w:sz w:val="16"/>
              </w:rPr>
              <w:t>恢复养老保险待遇申请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1"/>
              <w:rPr>
                <w:sz w:val="16"/>
              </w:rPr>
            </w:pPr>
            <w:r>
              <w:rPr>
                <w:sz w:val="16"/>
              </w:rPr>
              <w:t>公共服务</w:t>
            </w:r>
          </w:p>
        </w:tc>
        <w:tc>
          <w:tcPr>
            <w:tcW w:w="950" w:type="dxa"/>
            <w:vAlign w:val="center"/>
          </w:tcPr>
          <w:p>
            <w:pPr>
              <w:spacing w:before="139"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12"/>
              <w:rPr>
                <w:sz w:val="11"/>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spacing w:line="235" w:lineRule="auto"/>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before="1"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遇发放，并调查核实。对调查核实后确定仍然具备待遇领取资格的人员，社保机构应当立即恢复发放，并补发  停发期间的城乡居民养老保险待遇。</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3"/>
              <w:rPr>
                <w:sz w:val="22"/>
              </w:rPr>
            </w:pPr>
          </w:p>
          <w:p>
            <w:pPr>
              <w:pStyle w:val="7"/>
              <w:spacing w:line="235" w:lineRule="auto"/>
              <w:ind w:left="31" w:right="85"/>
              <w:rPr>
                <w:sz w:val="16"/>
              </w:rPr>
            </w:pPr>
            <w:r>
              <w:rPr>
                <w:sz w:val="16"/>
              </w:rPr>
              <w:t>居民养老保险注销登记</w:t>
            </w:r>
          </w:p>
        </w:tc>
        <w:tc>
          <w:tcPr>
            <w:tcW w:w="950" w:type="dxa"/>
          </w:tcPr>
          <w:p>
            <w:pPr>
              <w:pStyle w:val="7"/>
              <w:rPr>
                <w:sz w:val="16"/>
              </w:rPr>
            </w:pPr>
          </w:p>
          <w:p>
            <w:pPr>
              <w:pStyle w:val="7"/>
              <w:spacing w:before="11"/>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81"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第三 </w:t>
            </w:r>
            <w:r>
              <w:rPr>
                <w:sz w:val="16"/>
              </w:rPr>
              <w:t>十二条  待遇领取人员自死亡次月起停止发放养老保险待遇。村（居）</w:t>
            </w:r>
            <w:r>
              <w:rPr>
                <w:spacing w:val="-1"/>
                <w:sz w:val="16"/>
              </w:rPr>
              <w:t>协办员应于每月初将上月死亡人员名单</w:t>
            </w:r>
            <w:r>
              <w:rPr>
                <w:sz w:val="16"/>
              </w:rPr>
              <w:t>通过乡镇（街道）事务所上报至县社保机构。县社保机构对死亡人员进行暂停发放处理，待死亡人员指定受益 人或法定继承人办理注销登记手续后，对死亡人员进行养老保险关系注销。</w:t>
            </w:r>
          </w:p>
        </w:tc>
        <w:tc>
          <w:tcPr>
            <w:tcW w:w="868" w:type="dxa"/>
          </w:tcPr>
          <w:p>
            <w:pPr>
              <w:pStyle w:val="7"/>
              <w:rPr>
                <w:sz w:val="16"/>
              </w:rPr>
            </w:pPr>
          </w:p>
          <w:p>
            <w:pPr>
              <w:pStyle w:val="7"/>
              <w:spacing w:before="11"/>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1"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2"/>
              <w:rPr>
                <w:sz w:val="19"/>
              </w:rPr>
            </w:pPr>
          </w:p>
          <w:p>
            <w:pPr>
              <w:pStyle w:val="7"/>
              <w:spacing w:before="1" w:line="235" w:lineRule="auto"/>
              <w:ind w:left="31" w:right="85"/>
              <w:rPr>
                <w:sz w:val="16"/>
              </w:rPr>
            </w:pPr>
            <w:r>
              <w:rPr>
                <w:sz w:val="16"/>
              </w:rPr>
              <w:t>暂停养老保险待遇申请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2"/>
              <w:rPr>
                <w:sz w:val="12"/>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3"/>
              <w:rPr>
                <w:sz w:val="16"/>
              </w:rPr>
            </w:pPr>
            <w:r>
              <w:rPr>
                <w:sz w:val="16"/>
              </w:rPr>
              <w:t>村（社区）</w:t>
            </w:r>
          </w:p>
        </w:tc>
      </w:tr>
    </w:tbl>
    <w:p>
      <w:pPr>
        <w:spacing w:after="0"/>
        <w:rPr>
          <w:sz w:val="16"/>
        </w:rPr>
        <w:sectPr>
          <w:pgSz w:w="16840" w:h="11910" w:orient="landscape"/>
          <w:pgMar w:top="24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62" w:type="dxa"/>
          </w:tcPr>
          <w:p>
            <w:pPr>
              <w:pStyle w:val="7"/>
              <w:spacing w:before="2"/>
              <w:rPr>
                <w:sz w:val="14"/>
              </w:rPr>
            </w:pPr>
          </w:p>
          <w:p>
            <w:pPr>
              <w:pStyle w:val="7"/>
              <w:ind w:left="23"/>
              <w:jc w:val="center"/>
              <w:rPr>
                <w:rFonts w:ascii="Times New Roman"/>
                <w:sz w:val="16"/>
              </w:rPr>
            </w:pPr>
            <w:r>
              <w:rPr>
                <w:rFonts w:ascii="Times New Roman"/>
                <w:w w:val="101"/>
                <w:sz w:val="16"/>
              </w:rPr>
              <w:t>6</w:t>
            </w:r>
          </w:p>
        </w:tc>
        <w:tc>
          <w:tcPr>
            <w:tcW w:w="950" w:type="dxa"/>
          </w:tcPr>
          <w:p>
            <w:pPr>
              <w:pStyle w:val="7"/>
              <w:spacing w:before="4"/>
              <w:rPr>
                <w:sz w:val="14"/>
              </w:rPr>
            </w:pPr>
          </w:p>
          <w:p>
            <w:pPr>
              <w:pStyle w:val="7"/>
              <w:ind w:left="31"/>
              <w:rPr>
                <w:sz w:val="16"/>
              </w:rPr>
            </w:pPr>
            <w:r>
              <w:rPr>
                <w:sz w:val="16"/>
              </w:rPr>
              <w:t>生育登记</w:t>
            </w:r>
          </w:p>
        </w:tc>
        <w:tc>
          <w:tcPr>
            <w:tcW w:w="950" w:type="dxa"/>
          </w:tcPr>
          <w:p>
            <w:pPr>
              <w:pStyle w:val="7"/>
              <w:rPr>
                <w:rFonts w:ascii="Times New Roman"/>
                <w:sz w:val="16"/>
              </w:rPr>
            </w:pPr>
          </w:p>
        </w:tc>
        <w:tc>
          <w:tcPr>
            <w:tcW w:w="950" w:type="dxa"/>
          </w:tcPr>
          <w:p>
            <w:pPr>
              <w:pStyle w:val="7"/>
              <w:spacing w:before="4"/>
              <w:rPr>
                <w:sz w:val="14"/>
              </w:rPr>
            </w:pPr>
          </w:p>
          <w:p>
            <w:pPr>
              <w:pStyle w:val="7"/>
              <w:ind w:left="31"/>
              <w:rPr>
                <w:sz w:val="16"/>
              </w:rPr>
            </w:pPr>
            <w:r>
              <w:rPr>
                <w:sz w:val="16"/>
              </w:rPr>
              <w:t>行政确认</w:t>
            </w:r>
          </w:p>
        </w:tc>
        <w:tc>
          <w:tcPr>
            <w:tcW w:w="950" w:type="dxa"/>
            <w:vAlign w:val="center"/>
          </w:tcPr>
          <w:p>
            <w:pPr>
              <w:spacing w:before="83"/>
              <w:ind w:left="0" w:leftChars="0" w:right="0" w:rightChars="0"/>
              <w:jc w:val="both"/>
              <w:rPr>
                <w:sz w:val="16"/>
              </w:rPr>
            </w:pPr>
            <w:r>
              <w:rPr>
                <w:rFonts w:hint="eastAsia"/>
                <w:sz w:val="16"/>
                <w:lang w:val="en-US" w:eastAsia="zh-CN"/>
              </w:rPr>
              <w:t>华溪镇大新寨村委会</w:t>
            </w:r>
          </w:p>
        </w:tc>
        <w:tc>
          <w:tcPr>
            <w:tcW w:w="7989" w:type="dxa"/>
          </w:tcPr>
          <w:p>
            <w:pPr>
              <w:pStyle w:val="7"/>
              <w:spacing w:before="83"/>
              <w:ind w:left="32" w:right="62"/>
              <w:rPr>
                <w:sz w:val="16"/>
              </w:rPr>
            </w:pPr>
            <w:r>
              <w:rPr>
                <w:sz w:val="16"/>
              </w:rPr>
              <w:t>《云南省人口与计划生育条例》第十九条  夫妻生育第一个子女和第二个子女的，到一方户籍所在地或者现居住地的乡（镇）人民政府、街道办事处或者有条件的村（居）民委员会办理生育登记，领取《生育服务证》。</w:t>
            </w:r>
          </w:p>
        </w:tc>
        <w:tc>
          <w:tcPr>
            <w:tcW w:w="868" w:type="dxa"/>
          </w:tcPr>
          <w:p>
            <w:pPr>
              <w:pStyle w:val="7"/>
              <w:spacing w:before="4"/>
              <w:rPr>
                <w:sz w:val="14"/>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
              <w:jc w:val="center"/>
              <w:rPr>
                <w:rFonts w:ascii="Times New Roman"/>
                <w:sz w:val="16"/>
              </w:rPr>
            </w:pPr>
            <w:r>
              <w:rPr>
                <w:rFonts w:ascii="Times New Roman"/>
                <w:w w:val="101"/>
                <w:sz w:val="16"/>
              </w:rPr>
              <w:t>7</w:t>
            </w:r>
          </w:p>
        </w:tc>
        <w:tc>
          <w:tcPr>
            <w:tcW w:w="950" w:type="dxa"/>
          </w:tcPr>
          <w:p>
            <w:pPr>
              <w:pStyle w:val="7"/>
              <w:rPr>
                <w:sz w:val="16"/>
              </w:rPr>
            </w:pPr>
          </w:p>
          <w:p>
            <w:pPr>
              <w:pStyle w:val="7"/>
              <w:spacing w:before="8"/>
              <w:rPr>
                <w:sz w:val="21"/>
              </w:rPr>
            </w:pPr>
          </w:p>
          <w:p>
            <w:pPr>
              <w:pStyle w:val="7"/>
              <w:spacing w:line="235" w:lineRule="auto"/>
              <w:ind w:left="31" w:right="85"/>
              <w:rPr>
                <w:sz w:val="16"/>
              </w:rPr>
            </w:pPr>
            <w:r>
              <w:rPr>
                <w:sz w:val="16"/>
              </w:rPr>
              <w:t>传染病报告和处理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3"/>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4" w:line="237" w:lineRule="auto"/>
              <w:ind w:left="32" w:right="103"/>
              <w:jc w:val="both"/>
              <w:rPr>
                <w:sz w:val="16"/>
              </w:rPr>
            </w:pPr>
            <w:r>
              <w:rPr>
                <w:spacing w:val="-1"/>
                <w:sz w:val="16"/>
              </w:rPr>
              <w:t xml:space="preserve">《中华人民共和国传染病防治法》第七条  各级疾病预防控制机构承担传染病监测、预测、流行病学调查、疫情报告以及其他预防、控制工作。医疗机构承担与医疗救治有关的传染病防治工作和责任区域内的传染病预防 工作。城市社区和农村基层医疗机构在疾病预防控制机构的指导下，承担城市社区、农村基层相应的传染病防 治工作。第三十条  疾病预防控制机构、医疗机构和采供血机构及其执行职务的人员发现本法规定的传染病疫情或者发现其他传染病暴发、流行以及突发原因不明的传染病时，应当遵循疫情报告属地管理原则，按照国务 </w:t>
            </w:r>
            <w:r>
              <w:rPr>
                <w:sz w:val="16"/>
              </w:rPr>
              <w:t>院规定的或者国务院卫生行政部门规定的内容、程序、方式和时限报告。</w:t>
            </w:r>
          </w:p>
        </w:tc>
        <w:tc>
          <w:tcPr>
            <w:tcW w:w="868" w:type="dxa"/>
          </w:tcPr>
          <w:p>
            <w:pPr>
              <w:pStyle w:val="7"/>
              <w:rPr>
                <w:sz w:val="16"/>
              </w:rPr>
            </w:pPr>
          </w:p>
          <w:p>
            <w:pPr>
              <w:pStyle w:val="7"/>
              <w:rPr>
                <w:sz w:val="16"/>
              </w:rPr>
            </w:pPr>
          </w:p>
          <w:p>
            <w:pPr>
              <w:pStyle w:val="7"/>
              <w:spacing w:before="3"/>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ind w:left="23"/>
              <w:jc w:val="center"/>
              <w:rPr>
                <w:rFonts w:ascii="Times New Roman"/>
                <w:sz w:val="16"/>
              </w:rPr>
            </w:pPr>
            <w:r>
              <w:rPr>
                <w:rFonts w:ascii="Times New Roman"/>
                <w:w w:val="101"/>
                <w:sz w:val="16"/>
              </w:rPr>
              <w:t>8</w:t>
            </w:r>
          </w:p>
        </w:tc>
        <w:tc>
          <w:tcPr>
            <w:tcW w:w="950" w:type="dxa"/>
          </w:tcPr>
          <w:p>
            <w:pPr>
              <w:pStyle w:val="7"/>
              <w:rPr>
                <w:sz w:val="16"/>
              </w:rPr>
            </w:pPr>
          </w:p>
          <w:p>
            <w:pPr>
              <w:pStyle w:val="7"/>
              <w:spacing w:before="12"/>
              <w:rPr>
                <w:sz w:val="13"/>
              </w:rPr>
            </w:pPr>
          </w:p>
          <w:p>
            <w:pPr>
              <w:pStyle w:val="7"/>
              <w:spacing w:line="235" w:lineRule="auto"/>
              <w:ind w:left="31" w:right="85"/>
              <w:rPr>
                <w:sz w:val="16"/>
              </w:rPr>
            </w:pPr>
            <w:r>
              <w:rPr>
                <w:sz w:val="16"/>
              </w:rPr>
              <w:t>儿童健康管理</w:t>
            </w:r>
          </w:p>
        </w:tc>
        <w:tc>
          <w:tcPr>
            <w:tcW w:w="950" w:type="dxa"/>
          </w:tcPr>
          <w:p>
            <w:pPr>
              <w:pStyle w:val="7"/>
              <w:rPr>
                <w:rFonts w:ascii="Times New Roman"/>
                <w:sz w:val="16"/>
              </w:rPr>
            </w:pPr>
          </w:p>
        </w:tc>
        <w:tc>
          <w:tcPr>
            <w:tcW w:w="950" w:type="dxa"/>
          </w:tcPr>
          <w:p>
            <w:pPr>
              <w:pStyle w:val="7"/>
              <w:rPr>
                <w:sz w:val="16"/>
              </w:rPr>
            </w:pPr>
          </w:p>
          <w:p>
            <w:pPr>
              <w:pStyle w:val="7"/>
              <w:spacing w:before="7"/>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81" w:line="235" w:lineRule="auto"/>
              <w:ind w:left="32" w:right="103"/>
              <w:jc w:val="both"/>
              <w:rPr>
                <w:sz w:val="16"/>
              </w:rPr>
            </w:pPr>
            <w:r>
              <w:rPr>
                <w:spacing w:val="-1"/>
                <w:sz w:val="16"/>
              </w:rPr>
              <w:t>《中华人民共和国母婴保健法》第二条  国家发展母婴保健事业，提供必要条件和物质帮助，使母亲和婴儿获</w:t>
            </w:r>
            <w:r>
              <w:rPr>
                <w:sz w:val="16"/>
              </w:rPr>
              <w:t>得医疗保健服务。</w:t>
            </w:r>
          </w:p>
          <w:p>
            <w:pPr>
              <w:pStyle w:val="7"/>
              <w:spacing w:line="237" w:lineRule="auto"/>
              <w:ind w:left="32" w:right="103"/>
              <w:jc w:val="both"/>
              <w:rPr>
                <w:sz w:val="16"/>
              </w:rPr>
            </w:pPr>
            <w:r>
              <w:rPr>
                <w:spacing w:val="-1"/>
                <w:sz w:val="16"/>
              </w:rPr>
              <w:t>《云南省母婴保健条例》第十九条  医疗保健机构应当宣传母乳喂养及科学育儿知识，为婴幼儿生长发育提供</w:t>
            </w:r>
            <w:r>
              <w:rPr>
                <w:sz w:val="16"/>
              </w:rPr>
              <w:t>医疗保健服务。第二十一条  医疗保健机构和村公所（办事处）卫生所（室）</w:t>
            </w:r>
            <w:r>
              <w:rPr>
                <w:spacing w:val="-2"/>
                <w:sz w:val="16"/>
              </w:rPr>
              <w:t>应当为婴幼儿定期进行体格检查</w:t>
            </w:r>
            <w:r>
              <w:rPr>
                <w:sz w:val="16"/>
              </w:rPr>
              <w:t>和预防接种，并逐步开展婴幼儿疾病筛查，对常见病进行防治和分类指导。</w:t>
            </w:r>
          </w:p>
        </w:tc>
        <w:tc>
          <w:tcPr>
            <w:tcW w:w="868" w:type="dxa"/>
          </w:tcPr>
          <w:p>
            <w:pPr>
              <w:pStyle w:val="7"/>
              <w:rPr>
                <w:sz w:val="16"/>
              </w:rPr>
            </w:pPr>
          </w:p>
          <w:p>
            <w:pPr>
              <w:pStyle w:val="7"/>
              <w:spacing w:before="7"/>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
              <w:rPr>
                <w:sz w:val="22"/>
              </w:rPr>
            </w:pPr>
          </w:p>
          <w:p>
            <w:pPr>
              <w:pStyle w:val="7"/>
              <w:ind w:left="23"/>
              <w:jc w:val="center"/>
              <w:rPr>
                <w:rFonts w:ascii="Times New Roman"/>
                <w:sz w:val="16"/>
              </w:rPr>
            </w:pPr>
            <w:r>
              <w:rPr>
                <w:rFonts w:ascii="Times New Roman"/>
                <w:w w:val="101"/>
                <w:sz w:val="16"/>
              </w:rPr>
              <w:t>9</w:t>
            </w:r>
          </w:p>
        </w:tc>
        <w:tc>
          <w:tcPr>
            <w:tcW w:w="950" w:type="dxa"/>
          </w:tcPr>
          <w:p>
            <w:pPr>
              <w:pStyle w:val="7"/>
              <w:spacing w:before="7"/>
              <w:rPr>
                <w:sz w:val="14"/>
              </w:rPr>
            </w:pPr>
          </w:p>
          <w:p>
            <w:pPr>
              <w:pStyle w:val="7"/>
              <w:spacing w:line="235" w:lineRule="auto"/>
              <w:ind w:left="31" w:right="85"/>
              <w:rPr>
                <w:sz w:val="16"/>
              </w:rPr>
            </w:pPr>
            <w:r>
              <w:rPr>
                <w:sz w:val="16"/>
              </w:rPr>
              <w:t>基本药物合理使用宣传</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line="237" w:lineRule="auto"/>
              <w:ind w:left="32" w:right="98"/>
              <w:jc w:val="both"/>
              <w:rPr>
                <w:sz w:val="16"/>
              </w:rPr>
            </w:pPr>
            <w:r>
              <w:rPr>
                <w:sz w:val="16"/>
              </w:rPr>
              <w:t>《国务院办公厅关于完善国家基本药物制度的意见》（国办发〔2018〕88号）七、强化组织保障（十五）</w:t>
            </w:r>
            <w:r>
              <w:rPr>
                <w:spacing w:val="-8"/>
                <w:sz w:val="16"/>
              </w:rPr>
              <w:t xml:space="preserve">加强 </w:t>
            </w:r>
            <w:r>
              <w:rPr>
                <w:sz w:val="16"/>
              </w:rPr>
              <w:t>宣传引导通过电视、广播、报刊、网络新媒体等多种渠道，充分宣传基本药物制度的目标定位、重要意义和政 策措施。坚持正确舆论导向，加强政策解读，妥善回应社会关切，合理引导社会预期，营造基本药物制度实施</w:t>
            </w:r>
          </w:p>
          <w:p>
            <w:pPr>
              <w:pStyle w:val="7"/>
              <w:spacing w:line="147" w:lineRule="exact"/>
              <w:ind w:left="32"/>
              <w:rPr>
                <w:sz w:val="16"/>
              </w:rPr>
            </w:pPr>
            <w:r>
              <w:rPr>
                <w:sz w:val="16"/>
              </w:rPr>
              <w:t>的良好社会氛围。</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9" w:hRule="atLeast"/>
        </w:trPr>
        <w:tc>
          <w:tcPr>
            <w:tcW w:w="662" w:type="dxa"/>
          </w:tcPr>
          <w:p>
            <w:pPr>
              <w:pStyle w:val="7"/>
              <w:rPr>
                <w:sz w:val="18"/>
              </w:rPr>
            </w:pPr>
          </w:p>
          <w:p>
            <w:pPr>
              <w:pStyle w:val="7"/>
              <w:rPr>
                <w:sz w:val="16"/>
              </w:rPr>
            </w:pPr>
          </w:p>
          <w:p>
            <w:pPr>
              <w:pStyle w:val="7"/>
              <w:ind w:left="236" w:right="210"/>
              <w:jc w:val="center"/>
              <w:rPr>
                <w:rFonts w:ascii="Times New Roman"/>
                <w:sz w:val="16"/>
              </w:rPr>
            </w:pPr>
            <w:r>
              <w:rPr>
                <w:rFonts w:ascii="Times New Roman"/>
                <w:sz w:val="16"/>
              </w:rPr>
              <w:t>10</w:t>
            </w:r>
          </w:p>
        </w:tc>
        <w:tc>
          <w:tcPr>
            <w:tcW w:w="950" w:type="dxa"/>
          </w:tcPr>
          <w:p>
            <w:pPr>
              <w:pStyle w:val="7"/>
              <w:rPr>
                <w:sz w:val="16"/>
              </w:rPr>
            </w:pPr>
          </w:p>
          <w:p>
            <w:pPr>
              <w:pStyle w:val="7"/>
              <w:spacing w:before="132"/>
              <w:ind w:left="31" w:right="85"/>
              <w:rPr>
                <w:sz w:val="16"/>
              </w:rPr>
            </w:pPr>
            <w:r>
              <w:rPr>
                <w:sz w:val="16"/>
              </w:rPr>
              <w:t>计划生育技术指导咨询</w:t>
            </w:r>
          </w:p>
        </w:tc>
        <w:tc>
          <w:tcPr>
            <w:tcW w:w="950" w:type="dxa"/>
          </w:tcPr>
          <w:p>
            <w:pPr>
              <w:pStyle w:val="7"/>
              <w:rPr>
                <w:rFonts w:ascii="Times New Roman"/>
                <w:sz w:val="16"/>
              </w:rPr>
            </w:pPr>
          </w:p>
        </w:tc>
        <w:tc>
          <w:tcPr>
            <w:tcW w:w="950" w:type="dxa"/>
          </w:tcPr>
          <w:p>
            <w:pPr>
              <w:pStyle w:val="7"/>
              <w:rPr>
                <w:sz w:val="16"/>
              </w:rPr>
            </w:pPr>
          </w:p>
          <w:p>
            <w:pPr>
              <w:pStyle w:val="7"/>
              <w:spacing w:before="2"/>
              <w:rPr>
                <w:sz w:val="18"/>
              </w:rPr>
            </w:pPr>
          </w:p>
          <w:p>
            <w:pPr>
              <w:pStyle w:val="7"/>
              <w:ind w:left="31"/>
              <w:rPr>
                <w:sz w:val="16"/>
              </w:rPr>
            </w:pPr>
            <w:r>
              <w:rPr>
                <w:sz w:val="16"/>
              </w:rPr>
              <w:t>公共服务</w:t>
            </w:r>
          </w:p>
        </w:tc>
        <w:tc>
          <w:tcPr>
            <w:tcW w:w="950" w:type="dxa"/>
            <w:vAlign w:val="center"/>
          </w:tcPr>
          <w:p>
            <w:pPr>
              <w:spacing w:before="132"/>
              <w:ind w:left="0" w:leftChars="0" w:right="0" w:rightChars="0"/>
              <w:jc w:val="both"/>
              <w:rPr>
                <w:sz w:val="16"/>
              </w:rPr>
            </w:pPr>
            <w:r>
              <w:rPr>
                <w:rFonts w:hint="eastAsia"/>
                <w:sz w:val="16"/>
                <w:lang w:val="en-US" w:eastAsia="zh-CN"/>
              </w:rPr>
              <w:t>华溪镇大新寨村委会</w:t>
            </w:r>
          </w:p>
        </w:tc>
        <w:tc>
          <w:tcPr>
            <w:tcW w:w="7989" w:type="dxa"/>
          </w:tcPr>
          <w:p>
            <w:pPr>
              <w:pStyle w:val="7"/>
              <w:spacing w:before="7"/>
              <w:rPr>
                <w:sz w:val="18"/>
              </w:rPr>
            </w:pPr>
          </w:p>
          <w:p>
            <w:pPr>
              <w:pStyle w:val="7"/>
              <w:spacing w:line="237" w:lineRule="auto"/>
              <w:ind w:left="32" w:right="103"/>
              <w:jc w:val="both"/>
              <w:rPr>
                <w:sz w:val="16"/>
              </w:rPr>
            </w:pPr>
            <w:r>
              <w:rPr>
                <w:spacing w:val="-1"/>
                <w:sz w:val="16"/>
              </w:rPr>
              <w:t xml:space="preserve">《中华人民共和国人口与计划生育法》第三十三条  计划生育技术服务机构和从事计划生育技术服务的医疗、保健机构应当在各自的职责范围内，针对育龄人群开展人口与计划生育基础知识宣传教育，对已婚育龄妇女开 </w:t>
            </w:r>
            <w:r>
              <w:rPr>
                <w:sz w:val="16"/>
              </w:rPr>
              <w:t>展孕情检查、随访服务工作，承担计划生育、生殖保健的咨询、指导和技术服务。</w:t>
            </w:r>
          </w:p>
        </w:tc>
        <w:tc>
          <w:tcPr>
            <w:tcW w:w="868" w:type="dxa"/>
          </w:tcPr>
          <w:p>
            <w:pPr>
              <w:pStyle w:val="7"/>
              <w:rPr>
                <w:sz w:val="16"/>
              </w:rPr>
            </w:pPr>
          </w:p>
          <w:p>
            <w:pPr>
              <w:pStyle w:val="7"/>
              <w:spacing w:before="2"/>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tcPr>
          <w:p>
            <w:pPr>
              <w:pStyle w:val="7"/>
              <w:rPr>
                <w:sz w:val="18"/>
              </w:rPr>
            </w:pPr>
          </w:p>
          <w:p>
            <w:pPr>
              <w:pStyle w:val="7"/>
              <w:spacing w:before="151"/>
              <w:ind w:left="236" w:right="210"/>
              <w:jc w:val="center"/>
              <w:rPr>
                <w:rFonts w:ascii="Times New Roman"/>
                <w:sz w:val="16"/>
              </w:rPr>
            </w:pPr>
            <w:r>
              <w:rPr>
                <w:rFonts w:ascii="Times New Roman"/>
                <w:sz w:val="16"/>
              </w:rPr>
              <w:t>11</w:t>
            </w:r>
          </w:p>
        </w:tc>
        <w:tc>
          <w:tcPr>
            <w:tcW w:w="950" w:type="dxa"/>
          </w:tcPr>
          <w:p>
            <w:pPr>
              <w:pStyle w:val="7"/>
              <w:rPr>
                <w:sz w:val="16"/>
              </w:rPr>
            </w:pPr>
          </w:p>
          <w:p>
            <w:pPr>
              <w:pStyle w:val="7"/>
              <w:spacing w:before="10"/>
              <w:rPr>
                <w:sz w:val="13"/>
              </w:rPr>
            </w:pPr>
          </w:p>
          <w:p>
            <w:pPr>
              <w:pStyle w:val="7"/>
              <w:spacing w:before="1"/>
              <w:ind w:left="31"/>
              <w:rPr>
                <w:sz w:val="16"/>
              </w:rPr>
            </w:pPr>
            <w:r>
              <w:rPr>
                <w:sz w:val="16"/>
              </w:rPr>
              <w:t>健康教育</w:t>
            </w:r>
          </w:p>
        </w:tc>
        <w:tc>
          <w:tcPr>
            <w:tcW w:w="950" w:type="dxa"/>
          </w:tcPr>
          <w:p>
            <w:pPr>
              <w:pStyle w:val="7"/>
              <w:rPr>
                <w:rFonts w:ascii="Times New Roman"/>
                <w:sz w:val="16"/>
              </w:rPr>
            </w:pPr>
          </w:p>
        </w:tc>
        <w:tc>
          <w:tcPr>
            <w:tcW w:w="950" w:type="dxa"/>
          </w:tcPr>
          <w:p>
            <w:pPr>
              <w:pStyle w:val="7"/>
              <w:rPr>
                <w:sz w:val="16"/>
              </w:rPr>
            </w:pPr>
          </w:p>
          <w:p>
            <w:pPr>
              <w:pStyle w:val="7"/>
              <w:spacing w:before="10"/>
              <w:rPr>
                <w:sz w:val="13"/>
              </w:rPr>
            </w:pPr>
          </w:p>
          <w:p>
            <w:pPr>
              <w:pStyle w:val="7"/>
              <w:spacing w:before="1"/>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line="237" w:lineRule="auto"/>
              <w:ind w:left="32" w:right="7"/>
              <w:rPr>
                <w:sz w:val="16"/>
              </w:rPr>
            </w:pPr>
            <w:r>
              <w:rPr>
                <w:sz w:val="16"/>
              </w:rPr>
              <w:t>《中共中央 国务院关于印发〈“健康中国2030”规划纲要〉的通知》（中发〔2016〕23号）</w:t>
            </w:r>
            <w:r>
              <w:rPr>
                <w:spacing w:val="-1"/>
                <w:sz w:val="16"/>
              </w:rPr>
              <w:t>第二篇  普及健康</w:t>
            </w:r>
            <w:r>
              <w:rPr>
                <w:sz w:val="16"/>
              </w:rPr>
              <w:t>生活。第四章  加强健康教育。第一节  提高全民健康素养。建立健全健康促进与教育体系，提高健康教育服务能力，从小抓起，普及健康科学知识。加强精神文明建设，发展健康文化，移风易俗，培育良好的生活习惯</w:t>
            </w:r>
          </w:p>
          <w:p>
            <w:pPr>
              <w:pStyle w:val="7"/>
              <w:spacing w:line="201" w:lineRule="exact"/>
              <w:ind w:left="32"/>
              <w:rPr>
                <w:sz w:val="16"/>
              </w:rPr>
            </w:pPr>
            <w:r>
              <w:rPr>
                <w:sz w:val="16"/>
              </w:rPr>
              <w:t>。各级各类媒体加大健康科学知识宣传力度，积极建设和规范各类广播电视等健康栏目，利用新媒体拓展健康</w:t>
            </w:r>
          </w:p>
          <w:p>
            <w:pPr>
              <w:pStyle w:val="7"/>
              <w:spacing w:line="147" w:lineRule="exact"/>
              <w:ind w:left="32"/>
              <w:rPr>
                <w:sz w:val="16"/>
              </w:rPr>
            </w:pPr>
            <w:r>
              <w:rPr>
                <w:sz w:val="16"/>
              </w:rPr>
              <w:t>教育。</w:t>
            </w:r>
          </w:p>
        </w:tc>
        <w:tc>
          <w:tcPr>
            <w:tcW w:w="868" w:type="dxa"/>
          </w:tcPr>
          <w:p>
            <w:pPr>
              <w:pStyle w:val="7"/>
              <w:rPr>
                <w:sz w:val="16"/>
              </w:rPr>
            </w:pPr>
          </w:p>
          <w:p>
            <w:pPr>
              <w:pStyle w:val="7"/>
              <w:spacing w:before="10"/>
              <w:rPr>
                <w:sz w:val="13"/>
              </w:rPr>
            </w:pPr>
          </w:p>
          <w:p>
            <w:pPr>
              <w:pStyle w:val="7"/>
              <w:spacing w:before="1"/>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spacing w:before="1"/>
              <w:ind w:left="236" w:right="210"/>
              <w:jc w:val="center"/>
              <w:rPr>
                <w:rFonts w:ascii="Times New Roman"/>
                <w:sz w:val="16"/>
              </w:rPr>
            </w:pPr>
            <w:r>
              <w:rPr>
                <w:rFonts w:ascii="Times New Roman"/>
                <w:sz w:val="16"/>
              </w:rPr>
              <w:t>12</w:t>
            </w:r>
          </w:p>
        </w:tc>
        <w:tc>
          <w:tcPr>
            <w:tcW w:w="950" w:type="dxa"/>
          </w:tcPr>
          <w:p>
            <w:pPr>
              <w:pStyle w:val="7"/>
              <w:rPr>
                <w:sz w:val="16"/>
              </w:rPr>
            </w:pPr>
          </w:p>
          <w:p>
            <w:pPr>
              <w:pStyle w:val="7"/>
              <w:spacing w:before="11"/>
              <w:rPr>
                <w:sz w:val="13"/>
              </w:rPr>
            </w:pPr>
          </w:p>
          <w:p>
            <w:pPr>
              <w:pStyle w:val="7"/>
              <w:spacing w:line="235" w:lineRule="auto"/>
              <w:ind w:left="31" w:right="85"/>
              <w:rPr>
                <w:sz w:val="16"/>
              </w:rPr>
            </w:pPr>
            <w:r>
              <w:rPr>
                <w:sz w:val="16"/>
              </w:rPr>
              <w:t>结核病患者健康管理</w:t>
            </w:r>
          </w:p>
        </w:tc>
        <w:tc>
          <w:tcPr>
            <w:tcW w:w="950" w:type="dxa"/>
          </w:tcPr>
          <w:p>
            <w:pPr>
              <w:pStyle w:val="7"/>
              <w:rPr>
                <w:rFonts w:ascii="Times New Roman"/>
                <w:sz w:val="16"/>
              </w:rPr>
            </w:pPr>
          </w:p>
        </w:tc>
        <w:tc>
          <w:tcPr>
            <w:tcW w:w="950" w:type="dxa"/>
          </w:tcPr>
          <w:p>
            <w:pPr>
              <w:pStyle w:val="7"/>
              <w:rPr>
                <w:sz w:val="16"/>
              </w:rPr>
            </w:pPr>
          </w:p>
          <w:p>
            <w:pPr>
              <w:pStyle w:val="7"/>
              <w:spacing w:before="6"/>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7" w:line="237" w:lineRule="auto"/>
              <w:ind w:left="32" w:right="100"/>
              <w:jc w:val="both"/>
              <w:rPr>
                <w:sz w:val="16"/>
              </w:rPr>
            </w:pPr>
            <w:r>
              <w:rPr>
                <w:sz w:val="16"/>
              </w:rPr>
              <w:t>《结核病防治管理办法》（卫生部令第92号）第三条  卫生部负责全国结核病防治及其监督管理工作，县级以上地方卫生行政部门负责本辖区内的结核病防治及其监督管理工作。卫生行政部门应当积极协调有关部门加强 结核病防治能力建设，逐步构建结核病定点医疗机构、基层医疗卫生机构、疾病预防控制机构分工明确、协调 配合的防治服务体系。第四条  各级各类医疗卫生机构应当按照有关法律法规和卫生行政部门的规定，在职责范围内做好结核病防治的疫情监测和报告、诊断治疗、感染控制、转诊服务、患者管理、宣传教育等工作。</w:t>
            </w:r>
          </w:p>
        </w:tc>
        <w:tc>
          <w:tcPr>
            <w:tcW w:w="868" w:type="dxa"/>
          </w:tcPr>
          <w:p>
            <w:pPr>
              <w:pStyle w:val="7"/>
              <w:rPr>
                <w:sz w:val="16"/>
              </w:rPr>
            </w:pPr>
          </w:p>
          <w:p>
            <w:pPr>
              <w:pStyle w:val="7"/>
              <w:spacing w:before="6"/>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bookmarkStart w:id="0" w:name="_GoBack" w:colFirst="4" w:colLast="4"/>
          </w:p>
          <w:p>
            <w:pPr>
              <w:pStyle w:val="7"/>
              <w:rPr>
                <w:sz w:val="18"/>
              </w:rPr>
            </w:pPr>
          </w:p>
          <w:p>
            <w:pPr>
              <w:pStyle w:val="7"/>
              <w:spacing w:before="8"/>
              <w:rPr>
                <w:sz w:val="24"/>
              </w:rPr>
            </w:pPr>
          </w:p>
          <w:p>
            <w:pPr>
              <w:pStyle w:val="7"/>
              <w:spacing w:before="1"/>
              <w:ind w:left="236" w:right="210"/>
              <w:jc w:val="center"/>
              <w:rPr>
                <w:rFonts w:ascii="Times New Roman"/>
                <w:sz w:val="16"/>
              </w:rPr>
            </w:pPr>
            <w:r>
              <w:rPr>
                <w:rFonts w:ascii="Times New Roman"/>
                <w:sz w:val="16"/>
              </w:rPr>
              <w:t>13</w:t>
            </w:r>
          </w:p>
        </w:tc>
        <w:tc>
          <w:tcPr>
            <w:tcW w:w="950" w:type="dxa"/>
          </w:tcPr>
          <w:p>
            <w:pPr>
              <w:pStyle w:val="7"/>
              <w:rPr>
                <w:sz w:val="16"/>
              </w:rPr>
            </w:pPr>
          </w:p>
          <w:p>
            <w:pPr>
              <w:pStyle w:val="7"/>
              <w:rPr>
                <w:sz w:val="16"/>
              </w:rPr>
            </w:pPr>
          </w:p>
          <w:p>
            <w:pPr>
              <w:pStyle w:val="7"/>
              <w:spacing w:before="1"/>
              <w:rPr>
                <w:sz w:val="21"/>
              </w:rPr>
            </w:pPr>
          </w:p>
          <w:p>
            <w:pPr>
              <w:pStyle w:val="7"/>
              <w:spacing w:line="235" w:lineRule="auto"/>
              <w:ind w:left="31" w:right="85"/>
              <w:rPr>
                <w:sz w:val="16"/>
              </w:rPr>
            </w:pPr>
            <w:r>
              <w:rPr>
                <w:sz w:val="16"/>
              </w:rPr>
              <w:t>居民健康档案管理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2"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居民健康档案管理服务规范：居民健康档案内容包括个人基本信息、健康体检、重点人群健康管理记录和其他 医疗卫生服务记录。居民健康档案的建立。1.辖区居民到乡镇卫生院、村卫生室、社区卫生服务中心（站）</w:t>
            </w:r>
            <w:r>
              <w:rPr>
                <w:spacing w:val="-11"/>
                <w:sz w:val="16"/>
              </w:rPr>
              <w:t xml:space="preserve">接 </w:t>
            </w:r>
            <w:r>
              <w:rPr>
                <w:sz w:val="16"/>
              </w:rPr>
              <w:t>受服务时，由医务人员负责为其建立居民健康档案，并根据其主要健康问题和服务提供情况填写相应记录，同 时为服务对象填写并发放居民健康档案信息卡。建立电子健康档案的地区，逐步为服务对象制作发放居民健康 卡，替代居民健康档案信息卡，作为电子健康档案进行身份识别和调阅更新的凭证。2.通过入户服务（调查</w:t>
            </w:r>
            <w:r>
              <w:rPr>
                <w:spacing w:val="-11"/>
                <w:sz w:val="16"/>
              </w:rPr>
              <w:t>）</w:t>
            </w:r>
          </w:p>
          <w:p>
            <w:pPr>
              <w:pStyle w:val="7"/>
              <w:spacing w:line="235" w:lineRule="auto"/>
              <w:ind w:left="32" w:right="105"/>
              <w:rPr>
                <w:sz w:val="16"/>
              </w:rPr>
            </w:pPr>
            <w:r>
              <w:rPr>
                <w:sz w:val="16"/>
              </w:rPr>
              <w:t>、疾病筛查、健康体检等多种方式，由乡镇卫生院、村卫生室、社区卫生服务中心（站）</w:t>
            </w:r>
            <w:r>
              <w:rPr>
                <w:spacing w:val="-2"/>
                <w:sz w:val="16"/>
              </w:rPr>
              <w:t xml:space="preserve">组织医务人员为居民 </w:t>
            </w:r>
            <w:r>
              <w:rPr>
                <w:sz w:val="16"/>
              </w:rPr>
              <w:t>建立健康档案，并根据其主要健康问题和服务提供情况。</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1"/>
              <w:rPr>
                <w:sz w:val="21"/>
              </w:rPr>
            </w:pPr>
          </w:p>
          <w:p>
            <w:pPr>
              <w:pStyle w:val="7"/>
              <w:ind w:left="236" w:right="210"/>
              <w:jc w:val="center"/>
              <w:rPr>
                <w:rFonts w:ascii="Times New Roman"/>
                <w:sz w:val="16"/>
              </w:rPr>
            </w:pPr>
            <w:r>
              <w:rPr>
                <w:rFonts w:ascii="Times New Roman"/>
                <w:sz w:val="16"/>
              </w:rPr>
              <w:t>14</w:t>
            </w:r>
          </w:p>
        </w:tc>
        <w:tc>
          <w:tcPr>
            <w:tcW w:w="950" w:type="dxa"/>
          </w:tcPr>
          <w:p>
            <w:pPr>
              <w:pStyle w:val="7"/>
              <w:spacing w:before="7"/>
              <w:rPr>
                <w:sz w:val="14"/>
              </w:rPr>
            </w:pPr>
          </w:p>
          <w:p>
            <w:pPr>
              <w:pStyle w:val="7"/>
              <w:spacing w:line="235" w:lineRule="auto"/>
              <w:ind w:left="31" w:right="85"/>
              <w:rPr>
                <w:sz w:val="16"/>
              </w:rPr>
            </w:pPr>
            <w:r>
              <w:rPr>
                <w:sz w:val="16"/>
              </w:rPr>
              <w:t>老年人健康管理</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rFonts w:hint="eastAsia" w:eastAsia="宋体"/>
                <w:sz w:val="16"/>
                <w:lang w:eastAsia="zh-CN"/>
              </w:rPr>
            </w:pPr>
            <w:r>
              <w:rPr>
                <w:rFonts w:hint="eastAsia"/>
                <w:sz w:val="16"/>
                <w:lang w:val="en-US" w:eastAsia="zh-CN"/>
              </w:rPr>
              <w:t>华溪镇大新寨村委会</w:t>
            </w:r>
          </w:p>
        </w:tc>
        <w:tc>
          <w:tcPr>
            <w:tcW w:w="7989" w:type="dxa"/>
          </w:tcPr>
          <w:p>
            <w:pPr>
              <w:pStyle w:val="7"/>
              <w:spacing w:before="81"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老年人健康管理服务规范 一、服务对象：辖区内65岁及以上常住居民。二、服务内容：每年为老年人提供1</w:t>
            </w:r>
            <w:r>
              <w:rPr>
                <w:spacing w:val="-14"/>
                <w:sz w:val="16"/>
              </w:rPr>
              <w:t>次</w:t>
            </w:r>
            <w:r>
              <w:rPr>
                <w:sz w:val="16"/>
              </w:rPr>
              <w:t>健康管理服务，包括生活方式和健康状况评估、体格检查、辅助检查和健康指导。</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6" w:right="210"/>
              <w:jc w:val="center"/>
              <w:rPr>
                <w:rFonts w:ascii="Times New Roman"/>
                <w:sz w:val="16"/>
              </w:rPr>
            </w:pPr>
            <w:r>
              <w:rPr>
                <w:rFonts w:ascii="Times New Roman"/>
                <w:sz w:val="16"/>
              </w:rPr>
              <w:t>15</w:t>
            </w:r>
          </w:p>
        </w:tc>
        <w:tc>
          <w:tcPr>
            <w:tcW w:w="950" w:type="dxa"/>
          </w:tcPr>
          <w:p>
            <w:pPr>
              <w:pStyle w:val="7"/>
              <w:rPr>
                <w:sz w:val="16"/>
              </w:rPr>
            </w:pPr>
          </w:p>
          <w:p>
            <w:pPr>
              <w:pStyle w:val="7"/>
              <w:spacing w:before="7"/>
              <w:rPr>
                <w:sz w:val="21"/>
              </w:rPr>
            </w:pPr>
          </w:p>
          <w:p>
            <w:pPr>
              <w:pStyle w:val="7"/>
              <w:spacing w:line="235" w:lineRule="auto"/>
              <w:ind w:left="31" w:right="85"/>
              <w:rPr>
                <w:sz w:val="16"/>
              </w:rPr>
            </w:pPr>
            <w:r>
              <w:rPr>
                <w:sz w:val="16"/>
              </w:rPr>
              <w:t>慢性病患者管理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2"/>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华溪镇大新寨村委会</w:t>
            </w:r>
          </w:p>
        </w:tc>
        <w:tc>
          <w:tcPr>
            <w:tcW w:w="7989" w:type="dxa"/>
          </w:tcPr>
          <w:p>
            <w:pPr>
              <w:pStyle w:val="7"/>
              <w:spacing w:before="73" w:line="203" w:lineRule="exact"/>
              <w:ind w:left="32"/>
              <w:rPr>
                <w:sz w:val="16"/>
              </w:rPr>
            </w:pPr>
            <w:r>
              <w:rPr>
                <w:sz w:val="16"/>
              </w:rPr>
              <w:t>《国家卫生计生委关于印发〈国家基本公共卫生服务规范（第三版）〉的通知》（国卫基层发〔2017〕13号）</w:t>
            </w:r>
          </w:p>
          <w:p>
            <w:pPr>
              <w:pStyle w:val="7"/>
              <w:spacing w:line="237" w:lineRule="auto"/>
              <w:ind w:left="32" w:right="103"/>
              <w:rPr>
                <w:sz w:val="16"/>
              </w:rPr>
            </w:pPr>
            <w:r>
              <w:rPr>
                <w:sz w:val="16"/>
              </w:rPr>
              <w:t>《高血压患者健康管理服务规范》对辖区内35岁及以上常住居民，每年为其免费测量一次血压（</w:t>
            </w:r>
            <w:r>
              <w:rPr>
                <w:spacing w:val="-3"/>
                <w:sz w:val="16"/>
              </w:rPr>
              <w:t xml:space="preserve">非同日三次测 </w:t>
            </w:r>
            <w:r>
              <w:rPr>
                <w:sz w:val="16"/>
              </w:rPr>
              <w:t>量）。对原发性高血压患者，每年要提供至少4次面对面的随访。《2</w:t>
            </w:r>
            <w:r>
              <w:rPr>
                <w:spacing w:val="-1"/>
                <w:sz w:val="16"/>
              </w:rPr>
              <w:t xml:space="preserve">型糖尿病患者健康管理服务规范》对工作 </w:t>
            </w:r>
            <w:r>
              <w:rPr>
                <w:sz w:val="16"/>
              </w:rPr>
              <w:t>中发现的2型糖尿病高危人群进行有针对性的健康教育，建议其每年型糖尿病高危人群进行有针对性的健康教 育，建议其每年至少测量1次空腹血糖，并接受医务人员的健康指导。对确诊的2</w:t>
            </w:r>
            <w:r>
              <w:rPr>
                <w:spacing w:val="-2"/>
                <w:sz w:val="16"/>
              </w:rPr>
              <w:t xml:space="preserve">型糖尿病患者，每年提供型糖 </w:t>
            </w:r>
            <w:r>
              <w:rPr>
                <w:sz w:val="16"/>
              </w:rPr>
              <w:t>尿病患者，每年提供4次免费空腹血糖检测，至少进行次免费空腹血糖检测，至少进行4次。</w:t>
            </w:r>
          </w:p>
        </w:tc>
        <w:tc>
          <w:tcPr>
            <w:tcW w:w="868" w:type="dxa"/>
          </w:tcPr>
          <w:p>
            <w:pPr>
              <w:pStyle w:val="7"/>
              <w:rPr>
                <w:sz w:val="16"/>
              </w:rPr>
            </w:pPr>
          </w:p>
          <w:p>
            <w:pPr>
              <w:pStyle w:val="7"/>
              <w:rPr>
                <w:sz w:val="16"/>
              </w:rPr>
            </w:pPr>
          </w:p>
          <w:p>
            <w:pPr>
              <w:pStyle w:val="7"/>
              <w:spacing w:before="2"/>
              <w:rPr>
                <w:sz w:val="13"/>
              </w:rPr>
            </w:pPr>
          </w:p>
          <w:p>
            <w:pPr>
              <w:pStyle w:val="7"/>
              <w:ind w:left="33"/>
              <w:rPr>
                <w:sz w:val="16"/>
              </w:rPr>
            </w:pPr>
            <w:r>
              <w:rPr>
                <w:sz w:val="16"/>
              </w:rPr>
              <w:t>村（社区）</w:t>
            </w:r>
          </w:p>
        </w:tc>
      </w:tr>
      <w:bookmarkEnd w:id="0"/>
    </w:tbl>
    <w:p/>
    <w:sectPr>
      <w:pgSz w:w="16840" w:h="11910" w:orient="landscape"/>
      <w:pgMar w:top="240" w:right="178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5560"/>
    <w:rsid w:val="08342F4A"/>
    <w:rsid w:val="2490773C"/>
    <w:rsid w:val="3B906CBE"/>
    <w:rsid w:val="4AFC6EBE"/>
    <w:rsid w:val="4F8E1227"/>
    <w:rsid w:val="586F6A17"/>
    <w:rsid w:val="666B2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55"/>
      <w:ind w:left="4472"/>
    </w:pPr>
    <w:rPr>
      <w:rFonts w:ascii="宋体" w:hAnsi="宋体" w:eastAsia="宋体" w:cs="宋体"/>
      <w:sz w:val="33"/>
      <w:szCs w:val="33"/>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2021-11-30T05:55:00Z</dcterms:created>
  <dc:creator>Administrator</dc:creator>
  <cp:lastModifiedBy>Administrator</cp:lastModifiedBy>
  <dcterms:modified xsi:type="dcterms:W3CDTF">2021-11-30T08:53:45Z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