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县级部门服务群众服务基层服务企业“三服务”清单</w:t>
      </w:r>
    </w:p>
    <w:bookmarkEnd w:id="0"/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（县人大常委会机关党支部）</w:t>
      </w:r>
    </w:p>
    <w:p>
      <w:pPr>
        <w:ind w:firstLine="320" w:firstLineChars="1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填报单位：华宁县人大常委会办公室              填表联系人及电话：18288905816</w:t>
      </w:r>
    </w:p>
    <w:tbl>
      <w:tblPr>
        <w:tblStyle w:val="4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77"/>
        <w:gridCol w:w="1800"/>
        <w:gridCol w:w="822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服务事项</w:t>
            </w:r>
          </w:p>
        </w:tc>
        <w:tc>
          <w:tcPr>
            <w:tcW w:w="822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服务对象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77" w:hRule="exac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3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3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val="en-US" w:eastAsia="zh-CN"/>
              </w:rPr>
              <w:t>以“两化”监督服务服务好“四个主体”</w:t>
            </w:r>
          </w:p>
        </w:tc>
        <w:tc>
          <w:tcPr>
            <w:tcW w:w="8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val="en-US" w:eastAsia="zh-CN"/>
              </w:rPr>
              <w:t>重点加强对国民经济和社会发展计划、财政预决算、国有资产、政府债务、民生实事、部门履职的监督和规范性文件备案审查；专题调研农业产业化发展、基层医疗队伍建设、生态建设、环境状况和环境保护目标完</w:t>
            </w: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val="en-US" w:eastAsia="zh-CN"/>
              </w:rPr>
              <w:t>形成一系列高质量的调研报告，为县委科学决策提供准确依据；组织开展《中华人民共和国预防未成年人犯罪法》执法检查，推动织密全县未成年人保护法网。</w:t>
            </w: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pacing w:val="-23"/>
                <w:w w:val="9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-23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val="en-US" w:eastAsia="zh-CN"/>
              </w:rPr>
              <w:t>1.服务全县国有企业、民营企业等经济发展主体；2.服务全县医疗、环保等行政事业主体；3.服务农业农村等乡村振兴主体；4.全县未成年人主体。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47" w:hRule="exac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3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sz w:val="28"/>
                <w:szCs w:val="28"/>
                <w:lang w:val="en-US" w:eastAsia="zh-CN"/>
              </w:rPr>
              <w:t>以“两权”行使服务中心大局</w:t>
            </w:r>
          </w:p>
        </w:tc>
        <w:tc>
          <w:tcPr>
            <w:tcW w:w="8220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依法听取和审议“一府一委两院”专项工作报告；2.依法行使重大事项决定权，依法作出决议、决定、审议意见，强化执行监督，服务全县发展；3.依法行使人事任免权，坚持党管干部与人大依法任免相统一，组织任前法律考试及宪法宣誓，引导任职人员树牢民主意识、法治意识、责任意识和人大意识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2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聚焦大局服务发展；</w:t>
            </w:r>
          </w:p>
          <w:p>
            <w:pPr>
              <w:pStyle w:val="2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依法用权力，服务“一府一委两院”。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82" w:hRule="exac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w w:val="9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kern w:val="2"/>
                <w:sz w:val="30"/>
                <w:szCs w:val="30"/>
                <w:lang w:val="en-US" w:eastAsia="zh-CN" w:bidi="ar-SA"/>
              </w:rPr>
              <w:t>以议案、建议“两个督办”服务民生服务群众</w:t>
            </w:r>
          </w:p>
        </w:tc>
        <w:tc>
          <w:tcPr>
            <w:tcW w:w="8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做细做实人代会会议期间和闭会期间代表建议“提、交、办、督、评”各环节的服务保障；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2.做好县十八届人大二次会议期间代表提出的1件议案、83件建议及闭会期间代表提出的1件建议的督办工作，推动代表建议办理工作由“答复满意”向“结果满意”转变，力所能及助推问题解决。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1.服务基层民生大事要事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3"/>
                <w:w w:val="90"/>
                <w:kern w:val="2"/>
                <w:sz w:val="28"/>
                <w:szCs w:val="28"/>
                <w:lang w:val="en-US" w:eastAsia="zh-CN" w:bidi="ar-SA"/>
              </w:rPr>
              <w:t>2.服务基层群众生产生活</w:t>
            </w:r>
          </w:p>
        </w:tc>
      </w:tr>
    </w:tbl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AE76"/>
    <w:multiLevelType w:val="singleLevel"/>
    <w:tmpl w:val="911BAE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2E8FD67"/>
    <w:multiLevelType w:val="singleLevel"/>
    <w:tmpl w:val="F2E8FD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D2701"/>
    <w:rsid w:val="33A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方正仿宋_GBK" w:cs="Times New Roman"/>
      <w:kern w:val="2"/>
      <w:sz w:val="18"/>
      <w:szCs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2023-08-07T00:49:00Z</dcterms:created>
  <dc:creator>DELL</dc:creator>
  <cp:lastModifiedBy>DELL</cp:lastModifiedBy>
  <dcterms:modified xsi:type="dcterms:W3CDTF">2023-08-07T01:19:08Z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