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eastAsia"/>
          <w:b/>
          <w:color w:val="FF0000"/>
          <w:spacing w:val="-28"/>
          <w:w w:val="90"/>
          <w:sz w:val="32"/>
          <w:szCs w:val="32"/>
        </w:rPr>
      </w:pPr>
      <w:r>
        <w:rPr>
          <w:rFonts w:hint="eastAsia" w:ascii="方正仿宋_GBK" w:hAnsi="方正仿宋_GBK" w:eastAsia="方正仿宋_GBK" w:cs="方正仿宋_GBK"/>
          <w:sz w:val="32"/>
          <w:szCs w:val="32"/>
          <w:lang w:val="en-US" w:eastAsia="zh-CN"/>
        </w:rPr>
        <w:t>华财农〔2023〕159号</w:t>
      </w:r>
    </w:p>
    <w:p>
      <w:pPr>
        <w:keepNext w:val="0"/>
        <w:keepLines w:val="0"/>
        <w:pageBreakBefore w:val="0"/>
        <w:widowControl w:val="0"/>
        <w:kinsoku/>
        <w:wordWrap/>
        <w:overflowPunct/>
        <w:topLinePunct w:val="0"/>
        <w:autoSpaceDE/>
        <w:autoSpaceDN/>
        <w:bidi w:val="0"/>
        <w:adjustRightInd/>
        <w:spacing w:before="0" w:beforeLines="0" w:after="0" w:afterLines="0" w:line="590" w:lineRule="exact"/>
        <w:ind w:left="0" w:leftChars="0" w:right="0" w:rightChars="0"/>
        <w:textAlignment w:val="auto"/>
        <w:outlineLvl w:val="9"/>
        <w:rPr>
          <w:rFonts w:hint="eastAsia" w:ascii="仿宋_GB2312" w:eastAsia="仿宋_GB2312"/>
          <w:color w:val="000000"/>
          <w:spacing w:val="-2"/>
          <w:w w:val="90"/>
          <w:sz w:val="32"/>
          <w:szCs w:val="32"/>
        </w:rPr>
      </w:pPr>
      <w:bookmarkStart w:id="0" w:name="OLE_LINK1"/>
      <w:bookmarkStart w:id="1" w:name="OLE_LINK7"/>
      <w:bookmarkStart w:id="2" w:name="OLE_LINK6"/>
      <w:bookmarkStart w:id="3" w:name="OLE_LINK2"/>
      <w:bookmarkStart w:id="4" w:name="OLE_LINK5"/>
      <w:bookmarkStart w:id="5" w:name="OLE_LINK4"/>
    </w:p>
    <w:bookmarkEnd w:id="0"/>
    <w:bookmarkEnd w:id="1"/>
    <w:bookmarkEnd w:id="2"/>
    <w:bookmarkEnd w:id="3"/>
    <w:p>
      <w:pPr>
        <w:spacing w:line="590" w:lineRule="exact"/>
        <w:jc w:val="center"/>
        <w:outlineLvl w:val="0"/>
        <w:rPr>
          <w:rFonts w:hint="eastAsia" w:ascii="方正小标宋_GBK" w:hAnsi="方正小标宋_GBK" w:eastAsia="方正小标宋_GBK" w:cs="方正小标宋_GBK"/>
          <w:b/>
          <w:spacing w:val="14"/>
          <w:sz w:val="44"/>
          <w:szCs w:val="44"/>
        </w:rPr>
      </w:pPr>
      <w:bookmarkStart w:id="6" w:name="_GoBack"/>
      <w:r>
        <w:rPr>
          <w:rFonts w:hint="eastAsia" w:ascii="方正小标宋_GBK" w:hAnsi="方正小标宋_GBK" w:eastAsia="方正小标宋_GBK" w:cs="方正小标宋_GBK"/>
          <w:sz w:val="44"/>
          <w:szCs w:val="44"/>
          <w:lang w:val="en-US" w:eastAsia="zh-CN"/>
        </w:rPr>
        <w:t>华宁县</w:t>
      </w:r>
      <w:r>
        <w:rPr>
          <w:rFonts w:hint="eastAsia" w:ascii="方正小标宋_GBK" w:hAnsi="方正小标宋_GBK" w:eastAsia="方正小标宋_GBK" w:cs="方正小标宋_GBK"/>
          <w:sz w:val="44"/>
          <w:szCs w:val="44"/>
        </w:rPr>
        <w:t>财政局关于下达</w:t>
      </w:r>
      <w:r>
        <w:rPr>
          <w:rFonts w:hint="eastAsia" w:ascii="方正小标宋_GBK" w:hAnsi="方正小标宋_GBK" w:eastAsia="方正小标宋_GBK" w:cs="方正小标宋_GBK"/>
          <w:sz w:val="44"/>
          <w:szCs w:val="44"/>
          <w:lang w:eastAsia="zh-CN"/>
        </w:rPr>
        <w:t>2023年省级财政衔接推进乡村振兴补助资金</w:t>
      </w:r>
      <w:r>
        <w:rPr>
          <w:rFonts w:hint="eastAsia" w:ascii="方正小标宋_GBK" w:hAnsi="方正小标宋_GBK" w:eastAsia="方正小标宋_GBK" w:cs="方正小标宋_GBK"/>
          <w:sz w:val="44"/>
          <w:szCs w:val="44"/>
        </w:rPr>
        <w:t>的通知</w:t>
      </w:r>
      <w:bookmarkEnd w:id="4"/>
      <w:bookmarkEnd w:id="5"/>
    </w:p>
    <w:bookmarkEnd w:id="6"/>
    <w:p>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snapToGrid/>
        <w:spacing w:line="590" w:lineRule="exact"/>
        <w:textAlignment w:val="auto"/>
        <w:rPr>
          <w:rFonts w:ascii="Times New Roman" w:hAnsi="Times New Roman" w:eastAsia="方正仿宋_GBK"/>
          <w:color w:val="FF0000"/>
          <w:sz w:val="32"/>
          <w:szCs w:val="32"/>
        </w:rPr>
      </w:pPr>
      <w:r>
        <w:rPr>
          <w:rFonts w:hint="eastAsia" w:ascii="方正仿宋_GBK" w:hAnsi="方正仿宋_GBK" w:eastAsia="方正仿宋_GBK" w:cs="方正仿宋_GBK"/>
          <w:sz w:val="32"/>
          <w:szCs w:val="32"/>
          <w:lang w:eastAsia="zh-CN"/>
        </w:rPr>
        <w:t>华宁县乡村振兴局</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snapToGrid/>
        <w:spacing w:line="590" w:lineRule="exact"/>
        <w:ind w:firstLine="614" w:firstLineChars="200"/>
        <w:textAlignment w:val="auto"/>
        <w:rPr>
          <w:rFonts w:ascii="Times New Roman" w:hAnsi="Times New Roman" w:eastAsia="方正仿宋_GBK"/>
          <w:sz w:val="32"/>
          <w:szCs w:val="32"/>
        </w:rPr>
      </w:pPr>
      <w:r>
        <w:rPr>
          <w:rFonts w:ascii="Times New Roman" w:hAnsi="Times New Roman" w:eastAsia="方正仿宋_GBK"/>
          <w:sz w:val="32"/>
          <w:szCs w:val="32"/>
          <w:lang w:bidi="ar"/>
        </w:rPr>
        <w:t>根据</w:t>
      </w:r>
      <w:r>
        <w:rPr>
          <w:rFonts w:hint="eastAsia" w:ascii="Times New Roman" w:hAnsi="Times New Roman" w:eastAsia="方正仿宋_GBK"/>
          <w:sz w:val="32"/>
          <w:szCs w:val="32"/>
          <w:lang w:eastAsia="zh-CN" w:bidi="ar"/>
        </w:rPr>
        <w:t>《玉溪市财政局关于下达2023年省级财政衔接推进乡村振兴补助资金（巩固拓展脱贫攻坚成果和乡村振兴任务）的通知》（玉财农〔</w:t>
      </w:r>
      <w:r>
        <w:rPr>
          <w:rFonts w:hint="eastAsia" w:ascii="Times New Roman" w:hAnsi="Times New Roman" w:eastAsia="方正仿宋_GBK"/>
          <w:sz w:val="32"/>
          <w:szCs w:val="32"/>
          <w:lang w:val="en-US" w:eastAsia="zh-CN" w:bidi="ar"/>
        </w:rPr>
        <w:t>2023</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87号</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w:t>
      </w:r>
      <w:r>
        <w:rPr>
          <w:rFonts w:hint="eastAsia" w:ascii="Times New Roman" w:hAnsi="Times New Roman" w:eastAsia="方正仿宋_GBK"/>
          <w:sz w:val="32"/>
          <w:szCs w:val="32"/>
          <w:lang w:bidi="ar"/>
        </w:rPr>
        <w:t>《华宁县人民政府关于对 2023 年省级第二批财政衔接推进乡村振兴补助资金 2023 年高素质培训输送比亚迪就业补助项目资金调整使用的批复</w:t>
      </w:r>
      <w:r>
        <w:rPr>
          <w:rFonts w:hint="eastAsia" w:ascii="Times New Roman" w:hAnsi="Times New Roman" w:eastAsia="方正仿宋_GBK"/>
          <w:sz w:val="32"/>
          <w:szCs w:val="32"/>
          <w:lang w:val="en-US" w:eastAsia="zh-CN" w:bidi="ar"/>
        </w:rPr>
        <w:t>》(华政复〔2023〕178号)</w:t>
      </w:r>
      <w:r>
        <w:rPr>
          <w:rFonts w:hint="eastAsia" w:ascii="Times New Roman" w:hAnsi="Times New Roman" w:eastAsia="方正仿宋_GBK"/>
          <w:sz w:val="32"/>
          <w:szCs w:val="32"/>
          <w:lang w:eastAsia="zh-CN" w:bidi="ar"/>
        </w:rPr>
        <w:t>文件要求</w:t>
      </w:r>
      <w:r>
        <w:rPr>
          <w:rFonts w:ascii="Times New Roman" w:hAnsi="Times New Roman" w:eastAsia="方正仿宋_GBK"/>
          <w:sz w:val="32"/>
          <w:szCs w:val="32"/>
          <w:lang w:bidi="ar"/>
        </w:rPr>
        <w:t>，现下达你</w:t>
      </w:r>
      <w:r>
        <w:rPr>
          <w:rFonts w:hint="eastAsia" w:ascii="Times New Roman" w:hAnsi="Times New Roman" w:eastAsia="方正仿宋_GBK"/>
          <w:sz w:val="32"/>
          <w:szCs w:val="32"/>
          <w:lang w:bidi="ar"/>
        </w:rPr>
        <w:t>单位</w:t>
      </w:r>
      <w:r>
        <w:rPr>
          <w:rFonts w:hint="eastAsia" w:ascii="Times New Roman" w:hAnsi="Times New Roman" w:eastAsia="方正仿宋_GBK"/>
          <w:sz w:val="32"/>
          <w:szCs w:val="32"/>
          <w:lang w:eastAsia="zh-CN" w:bidi="ar"/>
        </w:rPr>
        <w:t>202</w:t>
      </w:r>
      <w:r>
        <w:rPr>
          <w:rFonts w:hint="eastAsia" w:ascii="Times New Roman" w:hAnsi="Times New Roman" w:eastAsia="方正仿宋_GBK"/>
          <w:sz w:val="32"/>
          <w:szCs w:val="32"/>
          <w:lang w:val="en-US" w:eastAsia="zh-CN" w:bidi="ar"/>
        </w:rPr>
        <w:t>3</w:t>
      </w:r>
      <w:r>
        <w:rPr>
          <w:rFonts w:hint="eastAsia" w:ascii="Times New Roman" w:hAnsi="Times New Roman" w:eastAsia="方正仿宋_GBK"/>
          <w:sz w:val="32"/>
          <w:szCs w:val="32"/>
          <w:lang w:eastAsia="zh-CN" w:bidi="ar"/>
        </w:rPr>
        <w:t>年</w:t>
      </w:r>
      <w:r>
        <w:rPr>
          <w:rFonts w:hint="eastAsia" w:ascii="Times New Roman" w:hAnsi="Times New Roman" w:eastAsia="方正仿宋_GBK"/>
          <w:sz w:val="32"/>
          <w:szCs w:val="32"/>
          <w:lang w:val="en-US" w:eastAsia="zh-CN" w:bidi="ar"/>
        </w:rPr>
        <w:t>中央财政衔接推进乡村振兴补助资金（第三批次省外务工交通补助）1.38</w:t>
      </w:r>
      <w:r>
        <w:rPr>
          <w:rFonts w:ascii="Times New Roman" w:hAnsi="Times New Roman" w:eastAsia="方正仿宋_GBK"/>
          <w:sz w:val="32"/>
          <w:szCs w:val="32"/>
          <w:lang w:bidi="ar"/>
        </w:rPr>
        <w:t>万元（具体预算单位、金额、科目名称、预算项目详见附表）。</w:t>
      </w:r>
      <w:r>
        <w:rPr>
          <w:rFonts w:hint="eastAsia" w:ascii="Times New Roman" w:hAnsi="Times New Roman" w:eastAsia="方正仿宋_GBK"/>
          <w:sz w:val="32"/>
          <w:szCs w:val="32"/>
          <w:lang w:bidi="ar"/>
        </w:rPr>
        <w:t>并将有关事项通知如下：</w:t>
      </w:r>
    </w:p>
    <w:p>
      <w:pPr>
        <w:keepNext w:val="0"/>
        <w:keepLines w:val="0"/>
        <w:pageBreakBefore w:val="0"/>
        <w:widowControl w:val="0"/>
        <w:kinsoku/>
        <w:wordWrap/>
        <w:overflowPunct/>
        <w:topLinePunct w:val="0"/>
        <w:autoSpaceDE/>
        <w:autoSpaceDN/>
        <w:bidi w:val="0"/>
        <w:snapToGrid/>
        <w:spacing w:line="590" w:lineRule="exact"/>
        <w:ind w:firstLine="614" w:firstLineChars="200"/>
        <w:textAlignment w:val="auto"/>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一、要强化资金项目管理，认真贯彻落实党中央、国务院和省委、省政府关于巩固拓展脱贫攻坚成果同乡村振兴有效衔接的规定和决策部署，严格按照《中央财政衔接推进乡村振兴补助资金管理办法》（财农〔2021〕19号）和《云南省财政衔接推进乡村振兴补助资金管理办法》（云财农〔2021〕140号）规定安排使用资金，加强资金项目管理，优先选择前期工作到位的项目，将资金尽快落到具体项目，加强项目实施的跟踪调度，加快资金支出。持续强化资金监管，切实管好用好资金，充分发挥资金使用效益。</w:t>
      </w:r>
    </w:p>
    <w:p>
      <w:pPr>
        <w:keepNext w:val="0"/>
        <w:keepLines w:val="0"/>
        <w:pageBreakBefore w:val="0"/>
        <w:widowControl w:val="0"/>
        <w:kinsoku/>
        <w:wordWrap/>
        <w:overflowPunct/>
        <w:topLinePunct w:val="0"/>
        <w:autoSpaceDE/>
        <w:autoSpaceDN/>
        <w:bidi w:val="0"/>
        <w:snapToGrid/>
        <w:spacing w:line="590" w:lineRule="exact"/>
        <w:ind w:firstLine="614" w:firstLineChars="200"/>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sz w:val="32"/>
          <w:szCs w:val="32"/>
          <w:lang w:eastAsia="zh-CN" w:bidi="ar"/>
        </w:rPr>
        <w:t>二、严格执行项目备案和公告公示制度</w:t>
      </w:r>
    </w:p>
    <w:p>
      <w:pPr>
        <w:keepNext w:val="0"/>
        <w:keepLines w:val="0"/>
        <w:pageBreakBefore w:val="0"/>
        <w:widowControl w:val="0"/>
        <w:kinsoku/>
        <w:wordWrap/>
        <w:overflowPunct/>
        <w:topLinePunct w:val="0"/>
        <w:autoSpaceDE/>
        <w:autoSpaceDN/>
        <w:bidi w:val="0"/>
        <w:snapToGrid/>
        <w:spacing w:line="590" w:lineRule="exact"/>
        <w:ind w:firstLine="614" w:firstLineChars="200"/>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sz w:val="32"/>
          <w:szCs w:val="32"/>
          <w:lang w:eastAsia="zh-CN" w:bidi="ar"/>
        </w:rPr>
        <w:t>项目审批下达后，县</w:t>
      </w:r>
      <w:r>
        <w:rPr>
          <w:rFonts w:hint="default" w:ascii="Times New Roman" w:hAnsi="Times New Roman" w:eastAsia="方正仿宋_GBK"/>
          <w:sz w:val="32"/>
          <w:szCs w:val="32"/>
          <w:lang w:eastAsia="zh-CN" w:bidi="ar"/>
        </w:rPr>
        <w:t>乡村振兴局</w:t>
      </w:r>
      <w:r>
        <w:rPr>
          <w:rFonts w:hint="eastAsia" w:ascii="Times New Roman" w:hAnsi="Times New Roman" w:eastAsia="方正仿宋_GBK"/>
          <w:sz w:val="32"/>
          <w:szCs w:val="32"/>
          <w:lang w:eastAsia="zh-CN" w:bidi="ar"/>
        </w:rPr>
        <w:t>、县财政局应在审批通过的5个工作日内通过“OA电子政务系统”向市</w:t>
      </w:r>
      <w:r>
        <w:rPr>
          <w:rFonts w:hint="default" w:ascii="Times New Roman" w:hAnsi="Times New Roman" w:eastAsia="方正仿宋_GBK"/>
          <w:sz w:val="32"/>
          <w:szCs w:val="32"/>
          <w:lang w:eastAsia="zh-CN" w:bidi="ar"/>
        </w:rPr>
        <w:t>乡村振兴局</w:t>
      </w:r>
      <w:r>
        <w:rPr>
          <w:rFonts w:hint="eastAsia" w:ascii="Times New Roman" w:hAnsi="Times New Roman" w:eastAsia="方正仿宋_GBK"/>
          <w:sz w:val="32"/>
          <w:szCs w:val="32"/>
          <w:lang w:eastAsia="zh-CN" w:bidi="ar"/>
        </w:rPr>
        <w:t>、市财政局备案，并报同级纪检监察部门备案。备案情况将作为市对县工作检查、考核的重要依据。严格按照相关规定在本级政府门户网站和主管部门政府信息公开网站、乡镇、村委会公开资金分配结果、安排使用情况、脱贫攻坚规划、年度扶贫资金项目计划安排情况和完成情况、项目实施情况、受理方式和办理结果等有关信息内容，广泛接受社会和群众监督，提高资金使用效益和透明度，实现阳光化运作、常态化公开。</w:t>
      </w:r>
    </w:p>
    <w:p>
      <w:pPr>
        <w:pStyle w:val="2"/>
        <w:rPr>
          <w:rFonts w:hint="eastAsia"/>
          <w:lang w:eastAsia="zh-CN"/>
        </w:rPr>
      </w:pPr>
    </w:p>
    <w:p>
      <w:pPr>
        <w:keepNext w:val="0"/>
        <w:keepLines w:val="0"/>
        <w:pageBreakBefore w:val="0"/>
        <w:widowControl w:val="0"/>
        <w:kinsoku/>
        <w:wordWrap/>
        <w:overflowPunct/>
        <w:topLinePunct w:val="0"/>
        <w:autoSpaceDE/>
        <w:autoSpaceDN/>
        <w:bidi w:val="0"/>
        <w:snapToGrid/>
        <w:spacing w:line="590" w:lineRule="exact"/>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b/>
          <w:bCs/>
          <w:sz w:val="32"/>
          <w:szCs w:val="32"/>
          <w:lang w:eastAsia="zh-CN" w:bidi="ar"/>
        </w:rPr>
        <w:t>附件：</w:t>
      </w:r>
      <w:r>
        <w:rPr>
          <w:rFonts w:hint="eastAsia" w:ascii="Times New Roman" w:hAnsi="Times New Roman" w:eastAsia="方正仿宋_GBK"/>
          <w:sz w:val="32"/>
          <w:szCs w:val="32"/>
          <w:lang w:val="en-US" w:eastAsia="zh-CN" w:bidi="ar"/>
        </w:rPr>
        <w:t>1、2023年省级财政衔接推进乡村振兴补助资金预算表　</w:t>
      </w:r>
    </w:p>
    <w:p>
      <w:pPr>
        <w:keepNext w:val="0"/>
        <w:keepLines w:val="0"/>
        <w:pageBreakBefore w:val="0"/>
        <w:widowControl w:val="0"/>
        <w:kinsoku/>
        <w:wordWrap/>
        <w:overflowPunct/>
        <w:topLinePunct w:val="0"/>
        <w:autoSpaceDE/>
        <w:autoSpaceDN/>
        <w:bidi w:val="0"/>
        <w:snapToGrid/>
        <w:spacing w:line="590" w:lineRule="exact"/>
        <w:jc w:val="left"/>
        <w:textAlignment w:val="auto"/>
        <w:rPr>
          <w:rFonts w:ascii="Times New Roman" w:hAnsi="Times New Roman" w:eastAsia="方正仿宋_GBK"/>
          <w:color w:val="FF0000"/>
          <w:sz w:val="32"/>
          <w:szCs w:val="32"/>
        </w:rPr>
      </w:pPr>
    </w:p>
    <w:p/>
    <w:p>
      <w:pPr>
        <w:pStyle w:val="2"/>
      </w:pPr>
    </w:p>
    <w:p>
      <w:pPr>
        <w:pStyle w:val="3"/>
      </w:pPr>
    </w:p>
    <w:p/>
    <w:p>
      <w:pPr>
        <w:sectPr>
          <w:pgSz w:w="11906" w:h="16838"/>
          <w:pgMar w:top="2041" w:right="1474" w:bottom="1304" w:left="1587" w:header="1361" w:footer="1191" w:gutter="0"/>
          <w:cols w:space="0" w:num="1"/>
          <w:rtlGutter w:val="0"/>
          <w:docGrid w:type="linesAndChars" w:linePitch="586" w:charSpace="-2754"/>
        </w:sectPr>
      </w:pPr>
      <w:r>
        <w:br w:type="page"/>
      </w:r>
    </w:p>
    <w:p>
      <w:pPr>
        <w:spacing w:line="560" w:lineRule="exact"/>
        <w:rPr>
          <w:rFonts w:hint="eastAsia" w:ascii="方正黑体_GBK" w:hAnsi="方正小标宋_GBK" w:eastAsia="方正黑体_GBK" w:cs="方正小标宋_GBK"/>
          <w:sz w:val="28"/>
          <w:szCs w:val="28"/>
          <w:lang w:val="en-US" w:eastAsia="zh-CN"/>
        </w:rPr>
      </w:pPr>
      <w:r>
        <w:rPr>
          <w:rFonts w:hint="eastAsia" w:ascii="方正黑体_GBK" w:hAnsi="方正小标宋_GBK" w:eastAsia="方正黑体_GBK" w:cs="方正小标宋_GBK"/>
          <w:sz w:val="28"/>
          <w:szCs w:val="28"/>
        </w:rPr>
        <w:t>附件</w:t>
      </w:r>
      <w:r>
        <w:rPr>
          <w:rFonts w:hint="eastAsia" w:ascii="方正黑体_GBK" w:hAnsi="方正小标宋_GBK" w:eastAsia="方正黑体_GBK" w:cs="方正小标宋_GBK"/>
          <w:sz w:val="28"/>
          <w:szCs w:val="28"/>
          <w:lang w:val="en-US" w:eastAsia="zh-CN"/>
        </w:rPr>
        <w:t>1</w:t>
      </w:r>
    </w:p>
    <w:p>
      <w:pPr>
        <w:spacing w:line="560" w:lineRule="exact"/>
        <w:jc w:val="center"/>
        <w:rPr>
          <w:rFonts w:ascii="Times New Roman" w:hAnsi="Times New Roman" w:eastAsia="黑体"/>
          <w:sz w:val="32"/>
          <w:szCs w:val="32"/>
        </w:rPr>
      </w:pPr>
      <w:r>
        <w:rPr>
          <w:rFonts w:hint="eastAsia" w:ascii="方正小标宋_GBK" w:hAnsi="方正小标宋_GBK" w:eastAsia="方正小标宋_GBK" w:cs="方正小标宋_GBK"/>
          <w:sz w:val="40"/>
          <w:szCs w:val="40"/>
          <w:lang w:val="en-US" w:eastAsia="zh-CN"/>
        </w:rPr>
        <w:t>2023年省级财政衔接推进乡村振兴补助资金预算</w:t>
      </w:r>
      <w:r>
        <w:rPr>
          <w:rFonts w:hint="eastAsia" w:ascii="方正小标宋_GBK" w:hAnsi="方正小标宋_GBK" w:eastAsia="方正小标宋_GBK" w:cs="方正小标宋_GBK"/>
          <w:sz w:val="40"/>
          <w:szCs w:val="40"/>
        </w:rPr>
        <w:t>表</w:t>
      </w:r>
    </w:p>
    <w:tbl>
      <w:tblPr>
        <w:tblStyle w:val="5"/>
        <w:tblpPr w:leftFromText="180" w:rightFromText="180" w:vertAnchor="text" w:horzAnchor="margin" w:tblpY="48"/>
        <w:tblOverlap w:val="never"/>
        <w:tblW w:w="12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478"/>
        <w:gridCol w:w="1920"/>
        <w:gridCol w:w="1585"/>
        <w:gridCol w:w="2123"/>
        <w:gridCol w:w="2023"/>
        <w:gridCol w:w="1176"/>
        <w:gridCol w:w="8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570"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预算单位</w:t>
            </w:r>
          </w:p>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（县区）</w:t>
            </w:r>
          </w:p>
        </w:tc>
        <w:tc>
          <w:tcPr>
            <w:tcW w:w="1478"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功能科目</w:t>
            </w:r>
          </w:p>
        </w:tc>
        <w:tc>
          <w:tcPr>
            <w:tcW w:w="1920"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政府经济科目</w:t>
            </w:r>
          </w:p>
        </w:tc>
        <w:tc>
          <w:tcPr>
            <w:tcW w:w="1585"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项目分类</w:t>
            </w:r>
          </w:p>
        </w:tc>
        <w:tc>
          <w:tcPr>
            <w:tcW w:w="2123"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预算项目</w:t>
            </w:r>
          </w:p>
        </w:tc>
        <w:tc>
          <w:tcPr>
            <w:tcW w:w="2023"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指标</w:t>
            </w:r>
            <w:r>
              <w:rPr>
                <w:rFonts w:ascii="Times New Roman" w:hAnsi="Times New Roman" w:eastAsia="方正仿宋_GBK"/>
                <w:b/>
                <w:color w:val="000000"/>
                <w:sz w:val="22"/>
              </w:rPr>
              <w:t>用途摘要</w:t>
            </w:r>
          </w:p>
        </w:tc>
        <w:tc>
          <w:tcPr>
            <w:tcW w:w="1176"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下达金额</w:t>
            </w:r>
            <w:r>
              <w:rPr>
                <w:rFonts w:hint="eastAsia" w:ascii="Times New Roman" w:hAnsi="Times New Roman" w:eastAsia="方正仿宋_GBK"/>
                <w:b/>
                <w:color w:val="000000"/>
                <w:sz w:val="22"/>
              </w:rPr>
              <w:t>（元）</w:t>
            </w:r>
          </w:p>
        </w:tc>
        <w:tc>
          <w:tcPr>
            <w:tcW w:w="876"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pPr>
            <w:r>
              <w:rPr>
                <w:rFonts w:hint="eastAsia"/>
              </w:rPr>
              <w:t>285001 华宁县乡村振兴局</w:t>
            </w:r>
          </w:p>
        </w:tc>
        <w:tc>
          <w:tcPr>
            <w:tcW w:w="1478" w:type="dxa"/>
            <w:vAlign w:val="center"/>
          </w:tcPr>
          <w:p>
            <w:pPr>
              <w:spacing w:line="300" w:lineRule="exact"/>
              <w:jc w:val="center"/>
            </w:pPr>
            <w:r>
              <w:rPr>
                <w:rFonts w:hint="eastAsia"/>
              </w:rPr>
              <w:t>2130599 其他巩固脱贫攻坚成果衔接乡村振兴支出</w:t>
            </w:r>
          </w:p>
        </w:tc>
        <w:tc>
          <w:tcPr>
            <w:tcW w:w="1920" w:type="dxa"/>
            <w:vAlign w:val="center"/>
          </w:tcPr>
          <w:p>
            <w:pPr>
              <w:spacing w:line="300" w:lineRule="exact"/>
              <w:jc w:val="center"/>
              <w:rPr>
                <w:rFonts w:hint="eastAsia" w:eastAsia="宋体"/>
                <w:lang w:eastAsia="zh-CN"/>
              </w:rPr>
            </w:pPr>
            <w:r>
              <w:rPr>
                <w:rFonts w:hint="eastAsia"/>
              </w:rPr>
              <w:t>5020</w:t>
            </w:r>
            <w:r>
              <w:rPr>
                <w:rFonts w:hint="eastAsia"/>
                <w:lang w:val="en-US" w:eastAsia="zh-CN"/>
              </w:rPr>
              <w:t>5</w:t>
            </w:r>
            <w:r>
              <w:rPr>
                <w:rFonts w:hint="eastAsia"/>
              </w:rPr>
              <w:t xml:space="preserve"> </w:t>
            </w:r>
            <w:r>
              <w:rPr>
                <w:rFonts w:hint="eastAsia"/>
                <w:lang w:eastAsia="zh-CN"/>
              </w:rPr>
              <w:t>委托业务费</w:t>
            </w:r>
          </w:p>
        </w:tc>
        <w:tc>
          <w:tcPr>
            <w:tcW w:w="1585" w:type="dxa"/>
            <w:vAlign w:val="center"/>
          </w:tcPr>
          <w:p>
            <w:pPr>
              <w:spacing w:line="300" w:lineRule="exact"/>
              <w:jc w:val="center"/>
            </w:pPr>
            <w:r>
              <w:rPr>
                <w:rFonts w:hint="eastAsia"/>
              </w:rPr>
              <w:t>312民生类</w:t>
            </w:r>
          </w:p>
        </w:tc>
        <w:tc>
          <w:tcPr>
            <w:tcW w:w="2123" w:type="dxa"/>
            <w:vAlign w:val="center"/>
          </w:tcPr>
          <w:p>
            <w:pPr>
              <w:spacing w:line="300" w:lineRule="exact"/>
              <w:jc w:val="center"/>
            </w:pPr>
            <w:r>
              <w:rPr>
                <w:rFonts w:hint="eastAsia" w:ascii="宋体" w:hAnsi="宋体" w:eastAsia="宋体" w:cs="宋体"/>
                <w:sz w:val="21"/>
                <w:szCs w:val="21"/>
              </w:rPr>
              <w:t>2023年省级财政衔接推进乡村振兴补助资金</w:t>
            </w:r>
            <w:r>
              <w:rPr>
                <w:rFonts w:hint="eastAsia" w:ascii="宋体" w:hAnsi="宋体" w:eastAsia="宋体" w:cs="宋体"/>
                <w:sz w:val="21"/>
                <w:szCs w:val="21"/>
                <w:lang w:val="en-US" w:eastAsia="zh-CN" w:bidi="ar"/>
              </w:rPr>
              <w:t>（第三批次省外务工交通补助）</w:t>
            </w:r>
          </w:p>
        </w:tc>
        <w:tc>
          <w:tcPr>
            <w:tcW w:w="2023" w:type="dxa"/>
            <w:vAlign w:val="center"/>
          </w:tcPr>
          <w:p>
            <w:pPr>
              <w:spacing w:line="300" w:lineRule="exact"/>
              <w:jc w:val="center"/>
            </w:pPr>
            <w:r>
              <w:rPr>
                <w:rFonts w:hint="eastAsia" w:ascii="宋体" w:hAnsi="宋体" w:eastAsia="宋体" w:cs="宋体"/>
                <w:sz w:val="21"/>
                <w:szCs w:val="21"/>
              </w:rPr>
              <w:t>2023年省级财政衔接推进乡村振兴补助资金</w:t>
            </w:r>
            <w:r>
              <w:rPr>
                <w:rFonts w:hint="eastAsia" w:ascii="宋体" w:hAnsi="宋体" w:eastAsia="宋体" w:cs="宋体"/>
                <w:sz w:val="21"/>
                <w:szCs w:val="21"/>
                <w:lang w:val="en-US" w:eastAsia="zh-CN" w:bidi="ar"/>
              </w:rPr>
              <w:t>（第三批次省外务工交通补助）</w:t>
            </w:r>
          </w:p>
        </w:tc>
        <w:tc>
          <w:tcPr>
            <w:tcW w:w="1176" w:type="dxa"/>
            <w:vAlign w:val="center"/>
          </w:tcPr>
          <w:p>
            <w:pPr>
              <w:spacing w:line="300" w:lineRule="exact"/>
              <w:jc w:val="center"/>
              <w:rPr>
                <w:rFonts w:hint="default" w:eastAsia="宋体"/>
                <w:lang w:val="en-US" w:eastAsia="zh-CN"/>
              </w:rPr>
            </w:pPr>
            <w:r>
              <w:rPr>
                <w:rFonts w:hint="eastAsia"/>
                <w:lang w:val="en-US" w:eastAsia="zh-CN"/>
              </w:rPr>
              <w:t>138</w:t>
            </w:r>
            <w:r>
              <w:rPr>
                <w:rFonts w:hint="eastAsia"/>
              </w:rPr>
              <w:t>00</w:t>
            </w:r>
            <w:r>
              <w:rPr>
                <w:rFonts w:hint="eastAsia"/>
                <w:lang w:val="en-US" w:eastAsia="zh-CN"/>
              </w:rPr>
              <w:t>.00</w:t>
            </w:r>
          </w:p>
        </w:tc>
        <w:tc>
          <w:tcPr>
            <w:tcW w:w="876"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0699" w:type="dxa"/>
            <w:gridSpan w:val="6"/>
            <w:vAlign w:val="center"/>
          </w:tcPr>
          <w:p>
            <w:pPr>
              <w:spacing w:line="300" w:lineRule="exact"/>
              <w:jc w:val="center"/>
              <w:rPr>
                <w:rFonts w:hint="eastAsia" w:eastAsia="宋体"/>
                <w:lang w:eastAsia="zh-CN"/>
              </w:rPr>
            </w:pPr>
            <w:r>
              <w:rPr>
                <w:rFonts w:hint="eastAsia"/>
                <w:lang w:eastAsia="zh-CN"/>
              </w:rPr>
              <w:t>合计</w:t>
            </w:r>
          </w:p>
        </w:tc>
        <w:tc>
          <w:tcPr>
            <w:tcW w:w="1176" w:type="dxa"/>
            <w:vAlign w:val="center"/>
          </w:tcPr>
          <w:p>
            <w:pPr>
              <w:spacing w:line="300" w:lineRule="exact"/>
              <w:jc w:val="center"/>
              <w:rPr>
                <w:rFonts w:hint="default"/>
                <w:lang w:val="en-US"/>
              </w:rPr>
            </w:pPr>
            <w:r>
              <w:rPr>
                <w:rFonts w:hint="eastAsia"/>
                <w:lang w:val="en-US" w:eastAsia="zh-CN"/>
              </w:rPr>
              <w:t>138</w:t>
            </w:r>
            <w:r>
              <w:rPr>
                <w:rFonts w:hint="eastAsia"/>
              </w:rPr>
              <w:t>00</w:t>
            </w:r>
            <w:r>
              <w:rPr>
                <w:rFonts w:hint="eastAsia"/>
                <w:lang w:val="en-US" w:eastAsia="zh-CN"/>
              </w:rPr>
              <w:t>.00</w:t>
            </w:r>
          </w:p>
        </w:tc>
        <w:tc>
          <w:tcPr>
            <w:tcW w:w="876" w:type="dxa"/>
            <w:vAlign w:val="center"/>
          </w:tcPr>
          <w:p>
            <w:pPr>
              <w:spacing w:line="300" w:lineRule="exact"/>
              <w:jc w:val="center"/>
              <w:rPr>
                <w:rFonts w:hint="eastAsia" w:ascii="方正仿宋_GBK" w:hAnsi="方正仿宋_GBK" w:eastAsia="方正仿宋_GBK" w:cs="方正仿宋_GBK"/>
                <w:color w:val="000000"/>
                <w:sz w:val="21"/>
                <w:szCs w:val="21"/>
              </w:rPr>
            </w:pPr>
          </w:p>
        </w:tc>
      </w:tr>
    </w:tbl>
    <w:p>
      <w:pPr>
        <w:spacing w:line="300" w:lineRule="exact"/>
        <w:jc w:val="left"/>
        <w:rPr>
          <w:rFonts w:ascii="Times New Roman" w:hAnsi="Times New Roman" w:eastAsia="仿宋_GB2312"/>
          <w:sz w:val="28"/>
          <w:szCs w:val="28"/>
        </w:rPr>
      </w:pPr>
    </w:p>
    <w:p/>
    <w:sectPr>
      <w:pgSz w:w="16838" w:h="11906" w:orient="landscape"/>
      <w:pgMar w:top="1587" w:right="2041" w:bottom="1474" w:left="1304" w:header="1361" w:footer="1191" w:gutter="0"/>
      <w:cols w:space="0" w:num="1"/>
      <w:rtlGutter w:val="0"/>
      <w:docGrid w:type="linesAndChars" w:linePitch="586" w:charSpace="-27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B7AA4"/>
    <w:rsid w:val="003A16C6"/>
    <w:rsid w:val="0077565F"/>
    <w:rsid w:val="05CB0516"/>
    <w:rsid w:val="0D1C1262"/>
    <w:rsid w:val="11AB62DF"/>
    <w:rsid w:val="13062282"/>
    <w:rsid w:val="23DC4D55"/>
    <w:rsid w:val="3A9240BD"/>
    <w:rsid w:val="3D011854"/>
    <w:rsid w:val="3D8B7AA4"/>
    <w:rsid w:val="407B0C80"/>
    <w:rsid w:val="44817819"/>
    <w:rsid w:val="452412D8"/>
    <w:rsid w:val="45E7563F"/>
    <w:rsid w:val="47B53CBB"/>
    <w:rsid w:val="4A661AC7"/>
    <w:rsid w:val="58C9057E"/>
    <w:rsid w:val="58F47601"/>
    <w:rsid w:val="5AB87070"/>
    <w:rsid w:val="611041AA"/>
    <w:rsid w:val="6A516E66"/>
    <w:rsid w:val="6A9E24DB"/>
    <w:rsid w:val="6BDA0E07"/>
    <w:rsid w:val="733C0EE5"/>
    <w:rsid w:val="748862C4"/>
    <w:rsid w:val="75B438ED"/>
    <w:rsid w:val="78187232"/>
    <w:rsid w:val="7CBE1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3"/>
    <w:qFormat/>
    <w:uiPriority w:val="0"/>
    <w:pPr>
      <w:keepNext/>
      <w:keepLines/>
      <w:widowControl w:val="0"/>
      <w:spacing w:before="260" w:after="260" w:line="415" w:lineRule="auto"/>
      <w:outlineLvl w:val="1"/>
    </w:pPr>
    <w:rPr>
      <w:rFonts w:ascii="Arial" w:hAnsi="Arial" w:eastAsia="方正仿宋_GBK"/>
      <w:b/>
      <w:sz w:val="36"/>
    </w:rPr>
  </w:style>
  <w:style w:type="paragraph" w:styleId="3">
    <w:name w:val="heading 3"/>
    <w:basedOn w:val="1"/>
    <w:next w:val="1"/>
    <w:qFormat/>
    <w:uiPriority w:val="0"/>
    <w:pPr>
      <w:keepNext/>
      <w:keepLines/>
      <w:widowControl w:val="0"/>
      <w:spacing w:before="260" w:after="260" w:line="415" w:lineRule="auto"/>
      <w:outlineLvl w:val="2"/>
    </w:pPr>
    <w:rPr>
      <w:rFonts w:ascii="Times New Roman" w:hAnsi="Times New Roman" w:eastAsia="宋体" w:cs="Times New Roman"/>
      <w:b/>
      <w:sz w:val="20"/>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玉溪市华宁县党政机关单位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2023-11-23T09:26:00Z</dcterms:created>
  <dc:creator>Administrator</dc:creator>
  <cp:lastModifiedBy>Administrator</cp:lastModifiedBy>
  <dcterms:modified xsi:type="dcterms:W3CDTF">2023-11-23T09:28:48Z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C641C7A880D44090B2B0119BC244EFC7</vt:lpwstr>
  </property>
</Properties>
</file>