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华宁县2023年一季度排污单位执法监测开展情况</w:t>
      </w:r>
    </w:p>
    <w:tbl>
      <w:tblPr>
        <w:tblW w:w="13745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789"/>
        <w:gridCol w:w="1512"/>
        <w:gridCol w:w="1408"/>
        <w:gridCol w:w="1292"/>
        <w:gridCol w:w="1269"/>
        <w:gridCol w:w="2735"/>
        <w:gridCol w:w="1061"/>
        <w:gridCol w:w="3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排污许可管理类别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名录类别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排放标准名称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排放浓度是否达标，超标指标/超标倍数（排放浓度/排放标准）（单位：mg/L、mg/m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总排放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hAnsi="Times New Roman" w:eastAsia="方正仿宋_GBK"/>
                <w:lang w:val="en-US" w:eastAsia="zh-CN" w:bidi="ar"/>
              </w:rPr>
              <w:t>城镇污水处理厂污染物排放标准（GB 18918-2002</w:t>
            </w:r>
            <w:r>
              <w:rPr>
                <w:rStyle w:val="6"/>
                <w:rFonts w:ascii="Times New Roman" w:hAnsi="Times New Roman" w:eastAsia="方正仿宋_GBK"/>
                <w:lang w:val="en-US" w:eastAsia="zh-CN" w:bidi="ar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2023-1-3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总排放口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hAnsi="Times New Roman" w:eastAsia="方正仿宋_GBK"/>
                <w:lang w:val="en-US" w:eastAsia="zh-CN" w:bidi="ar"/>
              </w:rPr>
              <w:t>城镇污水处理厂污染物排放标准（GB 18918-2003</w:t>
            </w:r>
            <w:r>
              <w:rPr>
                <w:rStyle w:val="6"/>
                <w:rFonts w:ascii="Times New Roman" w:hAnsi="Times New Roman" w:eastAsia="方正仿宋_GBK"/>
                <w:lang w:val="en-US" w:eastAsia="zh-CN" w:bidi="ar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2023-2-1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总排放口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5"/>
                <w:rFonts w:ascii="Times New Roman" w:hAnsi="Times New Roman" w:eastAsia="方正仿宋_GBK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城镇污水处理厂污染物排放标准（GB 18918-2004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2023-3-1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BA0C31"/>
          <w:spacing w:val="0"/>
          <w:sz w:val="36"/>
          <w:szCs w:val="36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284C"/>
    <w:rsid w:val="16F52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2023-11-23T08:00:00Z</dcterms:created>
  <dc:creator>Administrator</dc:creator>
  <cp:lastModifiedBy>Administrator</cp:lastModifiedBy>
  <dcterms:modified xsi:type="dcterms:W3CDTF">2023-11-23T08:17:51Z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