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062" w:tblpY="26"/>
        <w:tblOverlap w:val="never"/>
        <w:tblW w:w="14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655"/>
        <w:gridCol w:w="655"/>
        <w:gridCol w:w="3094"/>
        <w:gridCol w:w="2458"/>
        <w:gridCol w:w="1602"/>
        <w:gridCol w:w="1175"/>
        <w:gridCol w:w="1921"/>
        <w:gridCol w:w="655"/>
        <w:gridCol w:w="655"/>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4637" w:type="dxa"/>
            <w:gridSpan w:val="11"/>
            <w:vAlign w:val="top"/>
          </w:tcPr>
          <w:p>
            <w:pPr>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30"/>
                <w:szCs w:val="30"/>
                <w:vertAlign w:val="baseline"/>
                <w:lang w:eastAsia="zh-CN"/>
              </w:rPr>
              <w:t>华宁县华溪镇人民政府信息公开基本目录（</w:t>
            </w:r>
            <w:r>
              <w:rPr>
                <w:rFonts w:hint="eastAsia" w:ascii="方正黑体_GBK" w:hAnsi="方正黑体_GBK" w:eastAsia="方正黑体_GBK" w:cs="方正黑体_GBK"/>
                <w:sz w:val="30"/>
                <w:szCs w:val="30"/>
                <w:vertAlign w:val="baseline"/>
                <w:lang w:val="en-US" w:eastAsia="zh-CN"/>
              </w:rPr>
              <w:t>2023年度</w:t>
            </w:r>
            <w:r>
              <w:rPr>
                <w:rFonts w:hint="eastAsia" w:ascii="方正黑体_GBK" w:hAnsi="方正黑体_GBK" w:eastAsia="方正黑体_GBK" w:cs="方正黑体_GBK"/>
                <w:sz w:val="30"/>
                <w:szCs w:val="30"/>
                <w:vertAlign w:val="baseli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660" w:type="dxa"/>
            <w:vMerge w:val="restart"/>
            <w:tcBorders>
              <w:bottom w:val="nil"/>
            </w:tcBorders>
            <w:vAlign w:val="top"/>
          </w:tcPr>
          <w:p>
            <w:pPr>
              <w:spacing w:before="107" w:line="207" w:lineRule="exact"/>
              <w:ind w:left="172"/>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序号</w:t>
            </w:r>
          </w:p>
        </w:tc>
        <w:tc>
          <w:tcPr>
            <w:tcW w:w="1310" w:type="dxa"/>
            <w:gridSpan w:val="2"/>
            <w:vAlign w:val="top"/>
          </w:tcPr>
          <w:p>
            <w:pPr>
              <w:spacing w:before="3" w:line="224" w:lineRule="auto"/>
              <w:ind w:left="337"/>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公开事项</w:t>
            </w:r>
          </w:p>
        </w:tc>
        <w:tc>
          <w:tcPr>
            <w:tcW w:w="3094" w:type="dxa"/>
            <w:vMerge w:val="restart"/>
            <w:tcBorders>
              <w:bottom w:val="nil"/>
            </w:tcBorders>
            <w:vAlign w:val="top"/>
          </w:tcPr>
          <w:p>
            <w:pPr>
              <w:spacing w:before="107" w:line="206" w:lineRule="exact"/>
              <w:ind w:left="1231"/>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公开内容</w:t>
            </w:r>
          </w:p>
        </w:tc>
        <w:tc>
          <w:tcPr>
            <w:tcW w:w="2458" w:type="dxa"/>
            <w:vMerge w:val="restart"/>
            <w:tcBorders>
              <w:bottom w:val="nil"/>
            </w:tcBorders>
            <w:vAlign w:val="top"/>
          </w:tcPr>
          <w:p>
            <w:pPr>
              <w:spacing w:before="107" w:line="205" w:lineRule="exact"/>
              <w:ind w:left="914"/>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公开依据</w:t>
            </w:r>
          </w:p>
        </w:tc>
        <w:tc>
          <w:tcPr>
            <w:tcW w:w="1602" w:type="dxa"/>
            <w:vMerge w:val="restart"/>
            <w:tcBorders>
              <w:bottom w:val="nil"/>
            </w:tcBorders>
            <w:vAlign w:val="top"/>
          </w:tcPr>
          <w:p>
            <w:pPr>
              <w:spacing w:before="107" w:line="208" w:lineRule="exact"/>
              <w:ind w:left="489"/>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公开时限</w:t>
            </w:r>
          </w:p>
        </w:tc>
        <w:tc>
          <w:tcPr>
            <w:tcW w:w="1175" w:type="dxa"/>
            <w:vMerge w:val="restart"/>
            <w:tcBorders>
              <w:bottom w:val="nil"/>
            </w:tcBorders>
            <w:vAlign w:val="top"/>
          </w:tcPr>
          <w:p>
            <w:pPr>
              <w:spacing w:before="107" w:line="208" w:lineRule="exact"/>
              <w:ind w:left="274"/>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公开主体</w:t>
            </w:r>
          </w:p>
        </w:tc>
        <w:tc>
          <w:tcPr>
            <w:tcW w:w="1921" w:type="dxa"/>
            <w:vMerge w:val="restart"/>
            <w:tcBorders>
              <w:bottom w:val="nil"/>
            </w:tcBorders>
            <w:vAlign w:val="top"/>
          </w:tcPr>
          <w:p>
            <w:pPr>
              <w:spacing w:before="107" w:line="206" w:lineRule="exact"/>
              <w:ind w:left="649"/>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公开渠道</w:t>
            </w:r>
          </w:p>
        </w:tc>
        <w:tc>
          <w:tcPr>
            <w:tcW w:w="655" w:type="dxa"/>
            <w:vMerge w:val="restart"/>
            <w:tcBorders>
              <w:bottom w:val="nil"/>
            </w:tcBorders>
            <w:vAlign w:val="top"/>
          </w:tcPr>
          <w:p>
            <w:pPr>
              <w:spacing w:before="11" w:line="234" w:lineRule="auto"/>
              <w:ind w:left="261" w:right="76" w:hanging="165"/>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公开对 象</w:t>
            </w:r>
          </w:p>
        </w:tc>
        <w:tc>
          <w:tcPr>
            <w:tcW w:w="655" w:type="dxa"/>
            <w:vMerge w:val="restart"/>
            <w:tcBorders>
              <w:bottom w:val="nil"/>
            </w:tcBorders>
            <w:vAlign w:val="top"/>
          </w:tcPr>
          <w:p>
            <w:pPr>
              <w:spacing w:before="11" w:line="234" w:lineRule="auto"/>
              <w:ind w:left="259" w:right="75" w:hanging="163"/>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公开方 式</w:t>
            </w:r>
          </w:p>
        </w:tc>
        <w:tc>
          <w:tcPr>
            <w:tcW w:w="1107" w:type="dxa"/>
            <w:vMerge w:val="restart"/>
            <w:tcBorders>
              <w:bottom w:val="nil"/>
            </w:tcBorders>
            <w:vAlign w:val="top"/>
          </w:tcPr>
          <w:p>
            <w:pPr>
              <w:spacing w:before="11" w:line="234" w:lineRule="auto"/>
              <w:ind w:left="481" w:right="66" w:hanging="393"/>
              <w:rPr>
                <w:rFonts w:hint="eastAsia" w:ascii="方正黑体_GBK" w:hAnsi="方正黑体_GBK" w:eastAsia="方正黑体_GBK" w:cs="方正黑体_GBK"/>
                <w:snapToGrid/>
                <w:color w:val="000000"/>
                <w:spacing w:val="-6"/>
                <w:kern w:val="2"/>
                <w:sz w:val="21"/>
                <w:szCs w:val="21"/>
                <w:lang w:val="en-US" w:eastAsia="zh-CN" w:bidi="ar-SA"/>
              </w:rPr>
            </w:pPr>
            <w:r>
              <w:rPr>
                <w:rFonts w:hint="eastAsia" w:ascii="方正黑体_GBK" w:hAnsi="方正黑体_GBK" w:eastAsia="方正黑体_GBK" w:cs="方正黑体_GBK"/>
                <w:snapToGrid/>
                <w:color w:val="000000"/>
                <w:spacing w:val="-6"/>
                <w:kern w:val="2"/>
                <w:sz w:val="21"/>
                <w:szCs w:val="21"/>
                <w:lang w:val="en-US" w:eastAsia="zh-CN" w:bidi="ar-SA"/>
              </w:rPr>
              <w:t>咨询及监督电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Merge w:val="continue"/>
            <w:tcBorders>
              <w:top w:val="nil"/>
            </w:tcBorders>
            <w:vAlign w:val="top"/>
          </w:tcPr>
          <w:p>
            <w:pPr>
              <w:rPr>
                <w:rFonts w:ascii="Arial"/>
                <w:sz w:val="21"/>
              </w:rPr>
            </w:pPr>
          </w:p>
        </w:tc>
        <w:tc>
          <w:tcPr>
            <w:tcW w:w="655" w:type="dxa"/>
            <w:vAlign w:val="top"/>
          </w:tcPr>
          <w:p>
            <w:pPr>
              <w:spacing w:before="3" w:line="224" w:lineRule="auto"/>
              <w:ind w:left="175"/>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3"/>
                <w:sz w:val="21"/>
                <w:szCs w:val="21"/>
              </w:rPr>
              <w:t>类别</w:t>
            </w:r>
          </w:p>
        </w:tc>
        <w:tc>
          <w:tcPr>
            <w:tcW w:w="655" w:type="dxa"/>
            <w:vAlign w:val="top"/>
          </w:tcPr>
          <w:p>
            <w:pPr>
              <w:spacing w:before="3" w:line="224" w:lineRule="auto"/>
              <w:ind w:left="173"/>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4"/>
                <w:sz w:val="21"/>
                <w:szCs w:val="21"/>
              </w:rPr>
              <w:t>事项</w:t>
            </w:r>
          </w:p>
        </w:tc>
        <w:tc>
          <w:tcPr>
            <w:tcW w:w="3094" w:type="dxa"/>
            <w:vMerge w:val="continue"/>
            <w:tcBorders>
              <w:top w:val="nil"/>
            </w:tcBorders>
            <w:vAlign w:val="top"/>
          </w:tcPr>
          <w:p>
            <w:pPr>
              <w:rPr>
                <w:rFonts w:ascii="Arial"/>
                <w:sz w:val="21"/>
              </w:rPr>
            </w:pPr>
          </w:p>
        </w:tc>
        <w:tc>
          <w:tcPr>
            <w:tcW w:w="2458"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175" w:type="dxa"/>
            <w:vMerge w:val="continue"/>
            <w:tcBorders>
              <w:top w:val="nil"/>
            </w:tcBorders>
            <w:vAlign w:val="top"/>
          </w:tcPr>
          <w:p>
            <w:pPr>
              <w:rPr>
                <w:rFonts w:ascii="Arial"/>
                <w:sz w:val="21"/>
              </w:rPr>
            </w:pPr>
          </w:p>
        </w:tc>
        <w:tc>
          <w:tcPr>
            <w:tcW w:w="1921"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660" w:type="dxa"/>
            <w:vMerge w:val="restart"/>
            <w:tcBorders>
              <w:bottom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1</w:t>
            </w:r>
          </w:p>
        </w:tc>
        <w:tc>
          <w:tcPr>
            <w:tcW w:w="655" w:type="dxa"/>
            <w:vMerge w:val="restart"/>
            <w:tcBorders>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政策文 件</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政策文 件</w:t>
            </w:r>
          </w:p>
        </w:tc>
        <w:tc>
          <w:tcPr>
            <w:tcW w:w="3094" w:type="dxa"/>
            <w:vAlign w:val="top"/>
          </w:tcPr>
          <w:p>
            <w:pPr>
              <w:jc w:val="left"/>
              <w:rPr>
                <w:rFonts w:hint="default"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w:t>
            </w:r>
            <w:r>
              <w:rPr>
                <w:rFonts w:hint="default" w:ascii="Times New Roman" w:hAnsi="Times New Roman" w:eastAsia="方正仿宋_GBK" w:cs="Times New Roman"/>
                <w:snapToGrid/>
                <w:kern w:val="2"/>
                <w:sz w:val="21"/>
                <w:szCs w:val="21"/>
                <w:shd w:val="clear" w:color="auto" w:fill="FFFFFF"/>
                <w:lang w:val="en-US" w:eastAsia="zh-CN"/>
              </w:rPr>
              <w:t>镇人民政府依据法律政策文件、法规、 规章制定的</w:t>
            </w:r>
            <w:r>
              <w:rPr>
                <w:rFonts w:hint="eastAsia" w:ascii="Times New Roman" w:hAnsi="Times New Roman" w:eastAsia="方正仿宋_GBK" w:cs="Times New Roman"/>
                <w:snapToGrid/>
                <w:kern w:val="2"/>
                <w:sz w:val="21"/>
                <w:szCs w:val="21"/>
                <w:shd w:val="clear" w:color="auto" w:fill="FFFFFF"/>
                <w:lang w:val="en-US" w:eastAsia="zh-CN"/>
              </w:rPr>
              <w:t>，</w:t>
            </w:r>
            <w:r>
              <w:rPr>
                <w:rFonts w:hint="default" w:ascii="Times New Roman" w:hAnsi="Times New Roman" w:eastAsia="方正仿宋_GBK" w:cs="Times New Roman"/>
                <w:snapToGrid/>
                <w:kern w:val="2"/>
                <w:sz w:val="21"/>
                <w:szCs w:val="21"/>
                <w:shd w:val="clear" w:color="auto" w:fill="FFFFFF"/>
                <w:lang w:val="en-US" w:eastAsia="zh-CN"/>
              </w:rPr>
              <w:t>涉及公民、法人和其他组织切身利益的、需广泛知晓的重要政策性文件</w:t>
            </w:r>
          </w:p>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default"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自信息形成（变更）3个工作日内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default"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60" w:type="dxa"/>
            <w:vMerge w:val="continue"/>
            <w:tcBorders>
              <w:top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Merge w:val="continue"/>
            <w:tcBorders>
              <w:top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政策解 读</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对规范性文件、政策性文件进行解读</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w:t>
            </w:r>
            <w:bookmarkStart w:id="0" w:name="_GoBack"/>
            <w:bookmarkEnd w:id="0"/>
            <w:r>
              <w:rPr>
                <w:rFonts w:hint="eastAsia" w:ascii="Times New Roman" w:hAnsi="Times New Roman" w:eastAsia="方正仿宋_GBK" w:cs="Times New Roman"/>
                <w:snapToGrid/>
                <w:kern w:val="2"/>
                <w:sz w:val="21"/>
                <w:szCs w:val="21"/>
                <w:shd w:val="clear" w:color="auto" w:fill="FFFFFF"/>
                <w:lang w:val="en-US" w:eastAsia="zh-CN"/>
              </w:rPr>
              <w:t>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自信息形成（变更）3个工作日内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2</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领导信 息</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政府领 导相关信息</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华溪镇人民政府领导及分工情况</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0" w:type="dxa"/>
            <w:vMerge w:val="restart"/>
            <w:tcBorders>
              <w:bottom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3</w:t>
            </w:r>
          </w:p>
        </w:tc>
        <w:tc>
          <w:tcPr>
            <w:tcW w:w="655" w:type="dxa"/>
            <w:vMerge w:val="restart"/>
            <w:tcBorders>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政府信 息公开 制度、 指南、</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目录</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政府信息公开制度</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汇集公开国家、省、市、县政府信息公开制 度文件</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60" w:type="dxa"/>
            <w:vMerge w:val="continue"/>
            <w:tcBorders>
              <w:top w:val="nil"/>
              <w:bottom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Merge w:val="continue"/>
            <w:tcBorders>
              <w:top w:val="nil"/>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政府信息公开指南</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华溪镇人民政府信息公开指南 ，包含政 府信息获取方式、政府信息公开机构信息（包含名称、办公地址、办公时间、联系电 话、传真号码等）</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0" w:type="dxa"/>
            <w:vMerge w:val="continue"/>
            <w:tcBorders>
              <w:top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Merge w:val="continue"/>
            <w:tcBorders>
              <w:top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政府信息公开目录</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华溪镇人民政府信息公开目录</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660" w:type="dxa"/>
            <w:vMerge w:val="restart"/>
            <w:tcBorders>
              <w:bottom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4</w:t>
            </w:r>
          </w:p>
        </w:tc>
        <w:tc>
          <w:tcPr>
            <w:tcW w:w="655" w:type="dxa"/>
            <w:vMerge w:val="restart"/>
            <w:tcBorders>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法定主</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动公开</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内容</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组织机构</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依据“ 三定” 方案及职责调整情况确定的法 定职能。华溪镇人民政府机构职能、办公地 址、办公时间、办公联系方式等信息</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0" w:type="dxa"/>
            <w:vMerge w:val="continue"/>
            <w:tcBorders>
              <w:top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Merge w:val="continue"/>
            <w:tcBorders>
              <w:top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规划信 息</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国民经济和社会发展规划、专项规划及相关政策</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60" w:type="dxa"/>
            <w:vMerge w:val="restart"/>
            <w:tcBorders>
              <w:bottom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5</w:t>
            </w:r>
          </w:p>
        </w:tc>
        <w:tc>
          <w:tcPr>
            <w:tcW w:w="655" w:type="dxa"/>
            <w:vMerge w:val="restart"/>
            <w:tcBorders>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财政预 算决算</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财政预 决算</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华溪镇人民政府财政预算、决算相关信息</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《中华人民共和国政府信息公开条例》(国务院令711号)、《财政部关于印发&lt;地方预决算公开操作规程&gt;的通知》（财预〔2016〕144  号）等法律法规和文件规定</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60" w:type="dxa"/>
            <w:vMerge w:val="continue"/>
            <w:tcBorders>
              <w:top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Merge w:val="continue"/>
            <w:tcBorders>
              <w:top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财政预 算决算 报告</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华溪镇人民政府财政预算执行情况、政府债务等信息</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 例》(国务院令711号) 、《财政部关于印发&lt;地方预决算公开操作规程&gt; 的通知》（财预〔2016〕</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144号）等法律法规和文件规定</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0" w:type="dxa"/>
            <w:vMerge w:val="restart"/>
            <w:tcBorders>
              <w:bottom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6</w:t>
            </w:r>
          </w:p>
        </w:tc>
        <w:tc>
          <w:tcPr>
            <w:tcW w:w="655" w:type="dxa"/>
            <w:vMerge w:val="restart"/>
            <w:tcBorders>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权责清 单</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行政许 可</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办理行政许可和其他对外管理服务事项的依据、条件、程序、及办理结果</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0" w:type="dxa"/>
            <w:vMerge w:val="continue"/>
            <w:tcBorders>
              <w:top w:val="nil"/>
            </w:tcBorders>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Merge w:val="continue"/>
            <w:tcBorders>
              <w:top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行政处 罚</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实施行政处罚、行政强制的依据、条件、程 序</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 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60"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基层政 务公开</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基层政 务公开 标准目</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重点领域基层政务公开标准目录</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60" w:type="dxa"/>
            <w:vAlign w:val="top"/>
          </w:tcPr>
          <w:p>
            <w:pPr>
              <w:jc w:val="center"/>
              <w:rPr>
                <w:rFonts w:hint="default"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7</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标准化 规范化 工作</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乡镇基层政务公开标准目录</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华溪镇人民政府基层政务公开标准目录 ；各村（社区）村务公开目录清单、办事服务清单</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60" w:type="dxa"/>
            <w:vAlign w:val="top"/>
          </w:tcPr>
          <w:p>
            <w:pPr>
              <w:jc w:val="center"/>
              <w:rPr>
                <w:rFonts w:hint="default"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8</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重点领 域信息 公开</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重点领域信息公开</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生态环境、乡村振兴、医疗卫生、安全生产、减税降费、民生保障等领域政策、措施及其实施情况</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自信息形成（变更）20个工作日内</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660" w:type="dxa"/>
            <w:tcBorders>
              <w:bottom w:val="nil"/>
            </w:tcBorders>
            <w:vAlign w:val="top"/>
          </w:tcPr>
          <w:p>
            <w:pPr>
              <w:jc w:val="center"/>
              <w:rPr>
                <w:rFonts w:hint="default"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9</w:t>
            </w:r>
          </w:p>
        </w:tc>
        <w:tc>
          <w:tcPr>
            <w:tcW w:w="655" w:type="dxa"/>
            <w:tcBorders>
              <w:bottom w:val="nil"/>
            </w:tcBorders>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政府信</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息公开</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年度报</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告</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政府信</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息公开</w:t>
            </w:r>
          </w:p>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年度报告</w:t>
            </w:r>
          </w:p>
        </w:tc>
        <w:tc>
          <w:tcPr>
            <w:tcW w:w="3094"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汇集公开全镇各站所政府信息公开年度报告 、包含年度政府信息公开总体情况、收到和 处理政府信息公开申请情况、政府信息公开、行政复议行政诉讼等内容</w:t>
            </w:r>
          </w:p>
        </w:tc>
        <w:tc>
          <w:tcPr>
            <w:tcW w:w="2458"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《中华人民共和国政府信息公开条例》(国务院令711号)</w:t>
            </w:r>
          </w:p>
        </w:tc>
        <w:tc>
          <w:tcPr>
            <w:tcW w:w="1602"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每年1月31日前向本级人民政府信息公开主管部门提交上一年度政府信息公开年度 报告并向社会公布</w:t>
            </w:r>
          </w:p>
        </w:tc>
        <w:tc>
          <w:tcPr>
            <w:tcW w:w="117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华溪镇综合管理办公室</w:t>
            </w:r>
          </w:p>
        </w:tc>
        <w:tc>
          <w:tcPr>
            <w:tcW w:w="1921"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■政府网站□政务微博□ 政务微信□信息公告栏□ 其他</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社会</w:t>
            </w:r>
          </w:p>
        </w:tc>
        <w:tc>
          <w:tcPr>
            <w:tcW w:w="655" w:type="dxa"/>
            <w:vAlign w:val="top"/>
          </w:tcPr>
          <w:p>
            <w:pPr>
              <w:jc w:val="left"/>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主动</w:t>
            </w:r>
          </w:p>
        </w:tc>
        <w:tc>
          <w:tcPr>
            <w:tcW w:w="1107" w:type="dxa"/>
            <w:vAlign w:val="top"/>
          </w:tcPr>
          <w:p>
            <w:pPr>
              <w:jc w:val="center"/>
              <w:rPr>
                <w:rFonts w:hint="eastAsia" w:ascii="Times New Roman" w:hAnsi="Times New Roman" w:eastAsia="方正仿宋_GBK" w:cs="Times New Roman"/>
                <w:snapToGrid/>
                <w:kern w:val="2"/>
                <w:sz w:val="21"/>
                <w:szCs w:val="21"/>
                <w:shd w:val="clear" w:color="auto" w:fill="FFFFFF"/>
                <w:lang w:val="en-US" w:eastAsia="zh-CN"/>
              </w:rPr>
            </w:pPr>
            <w:r>
              <w:rPr>
                <w:rFonts w:hint="eastAsia" w:ascii="Times New Roman" w:hAnsi="Times New Roman" w:eastAsia="方正仿宋_GBK" w:cs="Times New Roman"/>
                <w:snapToGrid/>
                <w:kern w:val="2"/>
                <w:sz w:val="21"/>
                <w:szCs w:val="21"/>
                <w:shd w:val="clear" w:color="auto" w:fill="FFFFFF"/>
                <w:lang w:val="en-US" w:eastAsia="zh-CN"/>
              </w:rPr>
              <w:t>0877-5081001</w:t>
            </w:r>
          </w:p>
        </w:tc>
      </w:tr>
    </w:tbl>
    <w:p>
      <w:pPr>
        <w:spacing w:before="18"/>
        <w:jc w:val="left"/>
      </w:pPr>
      <w:r>
        <w:rPr>
          <w:rFonts w:hint="eastAsia" w:ascii="Times New Roman" w:hAnsi="Times New Roman" w:eastAsia="方正仿宋_GBK" w:cs="Times New Roman"/>
          <w:snapToGrid/>
          <w:kern w:val="2"/>
          <w:sz w:val="21"/>
          <w:szCs w:val="21"/>
          <w:shd w:val="clear" w:color="auto" w:fill="FFFFFF"/>
          <w:lang w:val="en-US" w:eastAsia="zh-CN"/>
        </w:rPr>
        <mc:AlternateContent>
          <mc:Choice Requires="wps">
            <w:drawing>
              <wp:anchor distT="0" distB="0" distL="114300" distR="114300" simplePos="0" relativeHeight="251662336" behindDoc="0" locked="0" layoutInCell="1" allowOverlap="1">
                <wp:simplePos x="0" y="0"/>
                <wp:positionH relativeFrom="rightMargin">
                  <wp:posOffset>-1097280</wp:posOffset>
                </wp:positionH>
                <wp:positionV relativeFrom="topMargin">
                  <wp:posOffset>60960</wp:posOffset>
                </wp:positionV>
                <wp:extent cx="642620" cy="197485"/>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642620" cy="197485"/>
                        </a:xfrm>
                        <a:prstGeom prst="rect">
                          <a:avLst/>
                        </a:prstGeom>
                        <a:noFill/>
                        <a:ln>
                          <a:noFill/>
                        </a:ln>
                      </wps:spPr>
                      <wps:txbx>
                        <w:txbxContent>
                          <w:p>
                            <w:pPr>
                              <w:pStyle w:val="7"/>
                              <w:spacing w:before="20" w:line="166" w:lineRule="auto"/>
                              <w:ind w:left="20"/>
                            </w:pPr>
                          </w:p>
                        </w:txbxContent>
                      </wps:txbx>
                      <wps:bodyPr lIns="0" tIns="0" rIns="0" bIns="0" upright="true"/>
                    </wps:wsp>
                  </a:graphicData>
                </a:graphic>
              </wp:anchor>
            </w:drawing>
          </mc:Choice>
          <mc:Fallback>
            <w:pict>
              <v:shape id="文本框 5" o:spid="_x0000_s1026" o:spt="202" type="#_x0000_t202" style="position:absolute;left:0pt;margin-left:681.75pt;margin-top:4.8pt;height:15.55pt;width:50.6pt;mso-position-horizontal-relative:page;mso-position-vertical-relative:page;z-index:251662336;mso-width-relative:page;mso-height-relative:page;" filled="f" stroked="f" coordsize="21600,21600" o:gfxdata="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OhdfotgAAAAJAQAADwAAAAAAAAABACAAAAA4AAAAZHJzL2Rvd25yZXYueG1sUEsBAhQAFAAA&#10;AAgAh07iQCC9mIigAQAAKQMAAA4AAAAAAAAAAQAgAAAAPQEAAGRycy9lMm9Eb2MueG1sUEsFBgAA&#10;AAAGAAYAWQEAAE8FAAAAAA==&#10;">
                <v:fill on="f" focussize="0,0"/>
                <v:stroke on="f"/>
                <v:imagedata o:title=""/>
                <o:lock v:ext="edit" aspectratio="f"/>
                <v:textbox inset="0mm,0mm,0mm,0mm">
                  <w:txbxContent>
                    <w:p>
                      <w:pPr>
                        <w:pStyle w:val="7"/>
                        <w:spacing w:before="20" w:line="166" w:lineRule="auto"/>
                        <w:ind w:left="20"/>
                      </w:pPr>
                    </w:p>
                  </w:txbxContent>
                </v:textbox>
              </v:shape>
            </w:pict>
          </mc:Fallback>
        </mc:AlternateContent>
      </w:r>
      <w:r>
        <w:pict>
          <v:shape id="_x0000_s1026" o:spid="_x0000_s1026" o:spt="202" type="#_x0000_t202" style="position:absolute;left:0pt;margin-left:132.1pt;margin-top:494.35pt;height:13.5pt;width:9.2pt;mso-position-horizontal-relative:page;mso-position-vertical-relative:page;z-index:-251658240;mso-width-relative:page;mso-height-relative:page;" filled="f" stroked="f" coordsize="21600,21600" o:allowincell="f">
            <v:path/>
            <v:fill on="f" focussize="0,0"/>
            <v:stroke on="f"/>
            <v:imagedata o:title=""/>
            <o:lock v:ext="edit" aspectratio="f"/>
            <v:textbox inset="0mm,0mm,0mm,0mm">
              <w:txbxContent>
                <w:p>
                  <w:pPr>
                    <w:spacing w:before="20" w:line="214" w:lineRule="auto"/>
                    <w:rPr>
                      <w:rFonts w:ascii="Microsoft YaHei" w:hAnsi="Microsoft YaHei" w:eastAsia="Microsoft YaHei" w:cs="Microsoft YaHei"/>
                      <w:sz w:val="15"/>
                      <w:szCs w:val="15"/>
                    </w:rPr>
                  </w:pPr>
                </w:p>
              </w:txbxContent>
            </v:textbox>
          </v:shape>
        </w:pict>
      </w:r>
    </w:p>
    <w:p>
      <w:pPr>
        <w:spacing w:before="18"/>
        <w:jc w:val="left"/>
      </w:pPr>
      <w:r>
        <w:rPr>
          <w:rFonts w:hint="eastAsia" w:ascii="Times New Roman" w:hAnsi="Times New Roman" w:eastAsia="方正仿宋_GBK" w:cs="Times New Roman"/>
          <w:snapToGrid/>
          <w:kern w:val="2"/>
          <w:sz w:val="21"/>
          <w:szCs w:val="21"/>
          <w:shd w:val="clear" w:color="auto" w:fill="FFFFFF"/>
          <w:lang w:val="en-US" w:eastAsia="zh-CN"/>
        </w:rPr>
        <w:pict>
          <v:shape id="_x0000_s1028" o:spid="_x0000_s1028" o:spt="202" type="#_x0000_t202" style="position:absolute;left:0pt;margin-left:309.4pt;margin-top:23.5pt;height:11.5pt;width:25.0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pStyle w:val="7"/>
                    <w:spacing w:before="19" w:line="177" w:lineRule="auto"/>
                  </w:pPr>
                </w:p>
              </w:txbxContent>
            </v:textbox>
          </v:shape>
        </w:pict>
      </w:r>
    </w:p>
    <w:p>
      <w:pPr>
        <w:rPr>
          <w:rFonts w:ascii="Arial"/>
          <w:sz w:val="21"/>
        </w:rPr>
      </w:pPr>
    </w:p>
    <w:sectPr>
      <w:headerReference r:id="rId5" w:type="default"/>
      <w:pgSz w:w="16837" w:h="11905"/>
      <w:pgMar w:top="2041" w:right="1474" w:bottom="130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Microsoft YaHei">
    <w:altName w:val="黑体"/>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9BA76A"/>
    <w:rsid w:val="2FEFE758"/>
    <w:rsid w:val="37BE8602"/>
    <w:rsid w:val="5E82BF47"/>
    <w:rsid w:val="6BFF4A32"/>
    <w:rsid w:val="6D65B8C0"/>
    <w:rsid w:val="6F9F2F70"/>
    <w:rsid w:val="7F7ED9C1"/>
    <w:rsid w:val="E37B1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widowControl w:val="0"/>
      <w:spacing w:before="260" w:after="260" w:line="415" w:lineRule="auto"/>
      <w:ind w:left="0" w:right="0"/>
      <w:jc w:val="both"/>
      <w:outlineLvl w:val="2"/>
    </w:pPr>
    <w:rPr>
      <w:rFonts w:ascii="Calibri" w:hAnsi="Calibri" w:eastAsia="宋体" w:cs="Times New Roman"/>
      <w:b/>
      <w:bCs/>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Microsoft YaHei" w:hAnsi="Microsoft YaHei" w:eastAsia="Microsoft YaHei" w:cs="Microsoft YaHei"/>
      <w:sz w:val="15"/>
      <w:szCs w:val="1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2022-12-08T06:49:00Z</dcterms:created>
  <dc:creator>Administrator</dc:creator>
  <cp:lastModifiedBy>user</cp:lastModifiedBy>
  <dcterms:modified xsi:type="dcterms:W3CDTF">2023-11-29T11:52:41Z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2023-11-15T14:53:00Z</vt:filetime>
  </property>
  <property fmtid="{D5CDD505-2E9C-101B-9397-08002B2CF9AE}" pid="4" name="KSOProductBuildVer">
    <vt:lpwstr>2052-11.8.2.10251</vt:lpwstr>
  </property>
</Properties>
</file>