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因修建铁路、机场、供电、水利、通信等建设工程需要占用、挖掘公路、公路用地或者使公路改线许可（县级权限）</w:t>
      </w:r>
    </w:p>
    <w:bookmarkEnd w:id="0"/>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【000118207015】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cs="Times New Roman"/>
          <w:b w:val="0"/>
          <w:bCs w:val="0"/>
          <w:strike w:val="0"/>
          <w:dstrike w:val="0"/>
          <w:color w:val="auto"/>
          <w:sz w:val="28"/>
          <w:szCs w:val="28"/>
        </w:rPr>
      </w:pPr>
      <w:r>
        <w:rPr>
          <w:rFonts w:hint="eastAsia"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涉路施工许可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00011820700Y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因修建铁路、机场、供电、水利、通信等建设工程需要占用、挖掘公路、公路用地或者使公路改线许可（县级权限）【000118207015】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1.因修建铁路、机场、供电、水利、通信等建设工程需要占用、挖掘公路、公路用地或者使公路改线许可（县级权限）(00011820701501)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（1）《中华人民共和国公路法》第四十四条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（2）《公路安全保护条例》第二十七条、第二十八条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（1）《路政管理规定》（交通运输部令2016年第81号）第八条、第九条、第十八条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（1）《中华人民共和国公路法》第七十六条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（2）《公路安全保护条例》第六十二条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（3）《路政管理规定》（交通运输部令2016年第81号）第二十三条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县交通运输</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占用、挖掘公路、公路用地或者使公路改线审批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4.影响交通安全的，应当征得公安机关交通管理部门的同意；涉及经营性公路的，应当征求公路经营企业的意见。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eastAsia" w:ascii="方正仿宋_GBK" w:hAnsi="方正仿宋_GBK"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w:t>
      </w:r>
      <w:r>
        <w:rPr>
          <w:rFonts w:hint="default" w:ascii="方正仿宋_GBK" w:hAnsi="方正仿宋_GBK"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1.建设单位应当按照许可的设计和施工方案进行施工作业，履行安全生产主体责任，落实保障公路、公路附属设施和安全的防护措施。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3.许可机关应当建立涉路施工行政许可监督检查工作制度，明确监督检查事项、检查要求、检查频率和相关责任，监督检查应当做好检查记录。</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3.现场勘验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（1）《交通行政许可实施程序规定》（交通部令2004年第10号）第十三条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实施机关受理交通行政许可申请后，应当对申请人提交的申请材料进行审查。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申请人提交的申请材料齐全、符合法定形式，实施机关能够当场作出决定的，应当当场作出交通行政许可决定，并向申请人出具《交通行政许可（当场）决定书》（见附件5〔略〕）。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依照法律、法规和规章的规定，需要对申请材料的实质内容进行核实的，应当审查申请材料反映的情况是否与法定的行政许可条件相一致。</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依照法律、行政法规规定，实施交通行政许可应当通过招标、拍卖等公平竞争的方式作出决定的，从其规定。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 xml:space="preserve">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（2）《交通行政许可实施程序规定》（交通部令2004年第10号）第十五条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8</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同施工期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涉路施工活动所处地域范围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6A557B3C"/>
    <w:rsid w:val="6A557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2023-11-21T03:27:00Z</dcterms:created>
  <dc:creator>彭钰惠</dc:creator>
  <cp:lastModifiedBy>彭钰惠</cp:lastModifiedBy>
  <dcterms:modified xsi:type="dcterms:W3CDTF">2023-11-21T03:28:41Z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4B7A5576429943F6926877FFDF7D7EA5_11</vt:lpwstr>
  </property>
</Properties>
</file>