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eastAsia="zh-CN"/>
        </w:rPr>
        <w:t>乡道更新采伐护路林审批</w:t>
      </w:r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val="en-US" w:eastAsia="zh-CN"/>
        </w:rPr>
        <w:t>【000118209003】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一、基本要素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/>
        </w:rPr>
        <w:t>行政许可事项名称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及编码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/>
        </w:rPr>
        <w:t>更新采伐护路林审批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【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/>
        </w:rPr>
        <w:t>00011820900Y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行政许可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事项子项名称及编码</w:t>
      </w:r>
    </w:p>
    <w:p>
      <w:pPr>
        <w:spacing w:line="360" w:lineRule="auto"/>
        <w:ind w:firstLine="560" w:firstLineChars="200"/>
        <w:rPr>
          <w:rFonts w:hint="default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/>
        </w:rPr>
        <w:t>乡道更新采伐护路林审批【000118209003】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3.行政许可事项业务办理项名称及编码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1.乡道更新采伐护路林审批(00011820900301)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（1）《中华人民共和国公路法》第四十二条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（1）《公路安全保护条例》第二十六条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（2）《路政管理规定》（交通运输部令2016年第81号）第八条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、第十七条、第十八条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6.监管依据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（1）《公路安全保护条例》第六十一条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实施机关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县交通运输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局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审批层级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9.行使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是否由审批机关受理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受理层级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是否存在初审环节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highlight w:val="yellow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初审层级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对应政务服务事项国家级基本目录名称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更新采伐护路林审批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15.要素统一情况：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全部要素全国统一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二、行政许可事项类型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条件型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三、行政许可条件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1.准予行政许可的条件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（1）事先向交通主管部门或者其设置的公路管理机构提交申请书。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（2）依照《中华人民共和国森林法》的规定办理审批手续，并完成更新补种任务。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（3）不能及时补种的，应当交纳补种所需费用，由公路管理机构代为补种。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规定行政许可条件的依据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（1）《中华人民共和国公路法》第四十二条  公路绿化工作，由公路管理机构按照公路工程技术标准组织实施。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公路用地上的树木，不得任意砍伐；需要更新砍伐的，应当经县级以上地方人民政府交通主管部门同意后，依照《中华人民共和国森林法》的规定办理审批手续，并完成更新补种任务。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行政许可服务对象类型</w:t>
      </w: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与改革举措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1.服务对象类型：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企业法人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事业单位法人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行政机关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2.是否为涉企许可事项：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3.涉企经营许可事项名称：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4.许可证件名称：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5.改革方式：减时限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6.具体改革举措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将承诺审批时限由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20个工作日压减至8个工作日。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7.加强事中事后监管措施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1.健全完善更新采伐护路林工作机制，制定更新采伐护路林监管工作计划，明确检查频次、时段和内容，并充分利用现代信息技术实施对更新采伐护路林的监管，不断提高更新采伐护路林审批监管的现代化水平。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2.加强公路日常巡查，重点检查更新采伐护路林是否有审批、是否按照规定对护路林进行更新采伐，及时发现和查处未经批准更新采伐护路林的行为。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3.强化与生态环境部门沟通协调，确保申请人及时依照《中华人民共和国森林法》的规定办理了审批手续。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4.加强对更新采伐护路林作业区的监督检查，重点检查施工路段是否按照交通组织方案设置作业区、是否符合相关技标准、规范的要求，并及时组织开展突发事件下应急处置。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5.加强对更新砍伐护路林监管人员业务培训，定期开展法律法规和技术标准、规范的学习，提高更新砍伐护路林监管人员的业务能力和管理水平。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五、申请材料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1.申请材料名称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更新砍伐公路用地上树木的申请书（主要内容包括：主要理由、地点、树木的种类和数量、安全保障措施、时间、补种措施等）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规定申请材料的依据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（1）《路政管理规定》（交通运输部令2016年第81号）第十七条  更新砍伐公路用地上的树木，应当依照《公路法》第四十二条第二款的规定，事先向交通主管部门或者其设置的公路管理机构提交申请书。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本条前款规定的申请书包括以下主要内容：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（一）主要理由；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（二）地点（公路名称、桩号）；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（三）树木的种类和数量；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（四）安全保障措施；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（五）时间；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（六）补种措施。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六、中介服务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1.有无法定中介服务事项：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设定中介服务事项的依据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提供中介服务的机构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中介服务事项的收费性质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七、审批程序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1.办理行政许可的程序环节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1.受理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2.审查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3.现场勘验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4.作出许可决定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2.规定行政许可程序的依据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（1）《交通行政许可实施程序规定》（交通部令2004年第10号）第十三条：实施机关受理交通行政许可申请后，应当对申请人提交的申请材料进行审查。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申请人提交的申请材料齐全、符合法定形式，实施机关能够当场作出决定的，应当当场作出交通行政许可决定，并向申请人出具《交通行政许可（当场）决定书》（见附件5〔略〕）。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依照法律、法规和规章的规定，需要对申请材料的实质内容进行核实的，应当审查申请材料反映的情况是否与法定的行政许可条件相一致。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实施实质审查，应当指派2名以上工作人员进行。可以采用以下方式：（一）当面询问申请人及申请材料内容有关的相关人员；（二）根据申请人提交的材料之间的内容相互进行印证；（三）根据行政机关掌握的有关信息与申请材料进行印证；（四）请求其他行政机关协助审查申请材料的真实性；（五）调取查阅有关材料，核实申请材料的真实性；（六）对有关设备、设施、工具、场地进行实地核查；（七）依法进行检验、勘验、监测；（八）听取利害关系人意见；（九）举行听证；（十）召开专家评审会议审查申请材料的真实性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依照法律、行政法规规定，实施交通行政许可应当通过招标、拍卖等公平竞争的方式作出决定的，从其规定。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第十九条：实施机关作出准予交通行政许可决定的，应当在作出决定之日起10日内，向申请人颁发加盖实施机关印章的下列行政许可证件：（一）交通行政许可批准文件或者证明文件；（二）许可证、执照或者其他许可证书；（三）资格证、资质证或者其他合格证书；（四）法律、法规、规章规定的其他行政许可证件。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是否需要现场勘验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是否需要组织听证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是否需要招标、拍卖、挂牌交易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是否需要检验、检测、检疫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是否需要鉴定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是否需要专家评审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是否需要向社会公示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是否实行告知承诺办理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11.审批机关是否委托服务机构开展技术性服务：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八、受理和审批时限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1.承诺受理时限：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2.法定审批时限：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20个工作日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3.规定法定审批时限依据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GB2312" w:cs="Times New Roman"/>
          <w:sz w:val="32"/>
          <w:szCs w:val="32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交通行政许可实施程序规定》（交通部令2004年第10号）第十五条：除当场作出交通行政许可决定外，实施机关应当自受理申请之日起20日内作出交通行政许可决定。20日内不能作出决定的，经实施机关负责人批准，可以延长10日，并应当向申请人送达《延长交通行政许可期限通知书》（见附件7〔略〕），将延长期限的理由告知申请人。但是，法律、法规另有规定的，从其规定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实施机关作出行政许可决定，依照法律、法规和规章的规定需要听证、招标、拍卖、检验、检测、检疫、鉴定和专家评审的，所需时间不计算在本条规定的期限内。实施机关应当向申请人送达《交通行政许可期限法定除外时间通知书》（见附件8〔略〕），将所需时间书面告知申请人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GB2312" w:cs="Times New Roman"/>
          <w:sz w:val="32"/>
          <w:szCs w:val="32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路政管理规定》（交通运输部令2016年第81号）第十九条第十九条：交通主管部门或者其设置的公路管理机构自接到申请书之日起15日内应当作出决定。作出批准或者同意的决定的，应当签发相应的许可证；作出不批准或者不同意的决定的，应当书面告知，并说明理由。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4.承诺审批时限：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九、收费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1.办理行政许可是否收费：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十、行政许可证件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1.审批结果类型：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证照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2.审批结果名称：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3.审批结果的有效期限：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同更新采伐期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4.规定审批结果有效期限的依据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5.是否需要办理审批结果变更手续：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6.办理审批结果变更手续的要求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7.是否需要办理审批结果延续手续：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8.办理审批结果延续手续的要求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9.审批结果的有效地域范围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更新采伐活动所处地域范围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10.规定审批结果有效地域范围的依据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十一、行政许可数量限制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1.有无行政许可数量限制：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2.公布数量限制的方式：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3.公布数量限制的周期：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4.在数量限制条件下实施行政许可的方式：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5.规定在数量限制条件下实施行政许可方式的依据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十二、行政许可后年检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1.有无年检要求：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2.设定年检要求的依据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3.年检周期：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4.年检是否要求报送材料：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5.年检报送材料名称：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6.年检是否收费：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7.年检收费项目的名称、年检收费项目的标准、设定年检收费项目的依据、规定年检项目收费标准的依据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8.通过年检的证明或者标志：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十三、行政许可后年报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有无年报要求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年报报送材料名称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设定年报要求的依据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年报周期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十四、监管主体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十五、备注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GIyNGEzNzUwMWQ4NmNhZWVkYmIzY2I2NDAyNGQifQ=="/>
  </w:docVars>
  <w:rsids>
    <w:rsidRoot w:val="6D9570DA"/>
    <w:rsid w:val="6D957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2023-11-21T07:25:00Z</dcterms:created>
  <dc:creator>彭钰惠</dc:creator>
  <cp:lastModifiedBy>彭钰惠</cp:lastModifiedBy>
  <dcterms:modified xsi:type="dcterms:W3CDTF">2023-11-21T07:25:21Z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E34F55857F364888A47A53721BD8C024_11</vt:lpwstr>
  </property>
</Properties>
</file>