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华财农〔2024〕6号</w:t>
      </w:r>
    </w:p>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年中央财政衔接推进乡村振兴补助资金</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宁州街道办事处机关、盘溪镇政府：</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《玉溪市财政局关于提前下达202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年中央财政衔接推进乡村振兴补助资金的通知》（玉财农〔</w:t>
      </w:r>
      <w:r>
        <w:rPr>
          <w:rFonts w:hint="eastAsia" w:ascii="Times New Roman" w:hAnsi="Times New Roman" w:eastAsia="方正仿宋_GBK"/>
          <w:sz w:val="32"/>
          <w:szCs w:val="32"/>
          <w:lang w:val="en-US" w:eastAsia="zh-CN" w:bidi="ar"/>
        </w:rPr>
        <w:t>2023</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212号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《华宁县人民政府关于2024 年度中央和省级财政扶持新型农村集体经济发展项目实施的批复</w:t>
      </w:r>
      <w:r>
        <w:rPr>
          <w:rFonts w:hint="eastAsia" w:ascii="Times New Roman" w:hAnsi="Times New Roman" w:eastAsia="方正仿宋_GBK"/>
          <w:sz w:val="32"/>
          <w:szCs w:val="32"/>
          <w:lang w:val="en-US" w:eastAsia="zh-CN" w:bidi="ar"/>
        </w:rPr>
        <w:t>》(华政复〔2023〕189号)、</w:t>
      </w:r>
      <w:r>
        <w:rPr>
          <w:rFonts w:hint="eastAsia" w:ascii="Times New Roman" w:hAnsi="Times New Roman" w:eastAsia="方正仿宋_GBK"/>
          <w:sz w:val="32"/>
          <w:szCs w:val="32"/>
          <w:lang w:bidi="ar"/>
        </w:rPr>
        <w:t>《华宁县人民政府关于2024 年度新型农村集体经济发展项目实施的批复</w:t>
      </w:r>
      <w:r>
        <w:rPr>
          <w:rFonts w:hint="eastAsia" w:ascii="Times New Roman" w:hAnsi="Times New Roman" w:eastAsia="方正仿宋_GBK"/>
          <w:sz w:val="32"/>
          <w:szCs w:val="32"/>
          <w:lang w:val="en-US" w:eastAsia="zh-CN" w:bidi="ar"/>
        </w:rPr>
        <w:t>》(华政复〔2023〕190号)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4</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中央财政衔接推进乡村振兴补助资金</w:t>
      </w:r>
      <w:r>
        <w:rPr>
          <w:rFonts w:hint="eastAsia" w:ascii="Times New Roman" w:hAnsi="Times New Roman" w:eastAsia="方正仿宋_GBK"/>
          <w:sz w:val="32"/>
          <w:szCs w:val="32"/>
          <w:lang w:eastAsia="zh-CN" w:bidi="ar"/>
        </w:rPr>
        <w:t>（发展新型农村集体经济）</w:t>
      </w:r>
      <w:r>
        <w:rPr>
          <w:rFonts w:hint="eastAsia" w:ascii="Times New Roman" w:hAnsi="Times New Roman" w:eastAsia="方正仿宋_GBK"/>
          <w:sz w:val="32"/>
          <w:szCs w:val="32"/>
          <w:lang w:val="en-US" w:eastAsia="zh-CN" w:bidi="ar"/>
        </w:rPr>
        <w:t>280</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pStyle w:val="2"/>
        <w:numPr>
          <w:ilvl w:val="0"/>
          <w:numId w:val="1"/>
        </w:numPr>
        <w:ind w:firstLine="614"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切实管好用好衔接资金。认真贯彻落实党中央、国务院和省委、省政府关于巩固拓展脱贫攻坚成果同乡村振兴有效衔接的决策部署，严格按照《中央财政衔接推进乡村振兴补助资金管理办法》（财农〔2021〕19号）、《财政部 农业农村部 国家乡村振兴局 国家发展改革委 国家民委 国家林草局关于加强中央财政衔接推进乡村振兴补助资金使用管理的指导意见》（财农〔2022〕14号）和《云南省财政厅等6部门关于加强中央和省级财政衔接推进乡村振兴补助资金使用管理的实施意见》（云财规〔2022〕23号）等规定安排使用资金，督促指导各地加强资金项目管理，优先选择前期工作到位的项目，将资金尽快落到具体项目，加强项目实施的跟踪调度，加快资金支出。持续强化资金监管，切实管好用好资金，充分发挥资金使用效益。</w:t>
      </w:r>
    </w:p>
    <w:p>
      <w:pPr>
        <w:pStyle w:val="2"/>
        <w:numPr>
          <w:ilvl w:val="0"/>
          <w:numId w:val="0"/>
        </w:numPr>
        <w:ind w:firstLine="614" w:firstLineChars="200"/>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2024年用于产业发展的中央衔接资金占比原则上不得低于下达你地区资金总规模的65%，且不得低于2023年的资金占比，进一步巩固拓展脱贫攻坚成果，增强脱贫地区和脱贫群众内生发展动力。</w:t>
      </w:r>
    </w:p>
    <w:p>
      <w:pPr>
        <w:pStyle w:val="2"/>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　　三、落实直达资金管理要求。此次下达的中央衔接资金列入直达资金管理，直达资金标识贯穿资金分配、拨付、使用等整个环节，财政部和省财政厅对直达资金实行动态监控。各级财政部门在向下级下达资金时，应单独下达预算指标文件，保持中央直达资金标识不变。同时，在指标管理系统中及时登录有关指标和直达资金标识，并导入直达资金监控系统，确保数据真实、账目清晰、流向明确。对于资金来源既包含中央直达资金又包含地方对应资金的项目，应在预算指标文件、指标管理系统中按资金明细来源分别列示和登录指标。</w:t>
      </w:r>
    </w:p>
    <w:p>
      <w:pPr>
        <w:pStyle w:val="2"/>
        <w:rPr>
          <w:rFonts w:hint="eastAsia"/>
          <w:lang w:eastAsia="zh-CN"/>
        </w:rPr>
      </w:pPr>
      <w:r>
        <w:rPr>
          <w:rFonts w:hint="eastAsia" w:ascii="Times New Roman" w:hAnsi="Times New Roman" w:eastAsia="方正仿宋_GBK"/>
          <w:sz w:val="32"/>
          <w:szCs w:val="32"/>
          <w:lang w:val="en-US" w:eastAsia="zh-CN" w:bidi="ar"/>
        </w:rPr>
        <w:t>　　　　　</w:t>
      </w: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1、2024年中央财政衔接推进乡村振兴补助资金预算表　</w:t>
      </w:r>
    </w:p>
    <w:p>
      <w:pPr>
        <w:numPr>
          <w:ilvl w:val="0"/>
          <w:numId w:val="2"/>
        </w:numPr>
        <w:rPr>
          <w:rFonts w:hint="eastAsia" w:ascii="方正仿宋_GBK" w:hAnsi="方正仿宋_GBK" w:eastAsia="方正仿宋_GBK" w:cs="方正仿宋_GBK"/>
          <w:b w:val="0"/>
          <w:bCs/>
          <w:i w:val="0"/>
          <w:color w:val="000000"/>
          <w:kern w:val="0"/>
          <w:sz w:val="32"/>
          <w:szCs w:val="32"/>
          <w:u w:val="none"/>
          <w:lang w:val="en-US" w:eastAsia="zh-CN" w:bidi="ar"/>
        </w:rPr>
      </w:pP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财政衔接推进乡村振兴资金绩效目标申报表</w:t>
      </w:r>
    </w:p>
    <w:p>
      <w:pPr>
        <w:pStyle w:val="2"/>
        <w:numPr>
          <w:numId w:val="0"/>
        </w:numPr>
      </w:pPr>
    </w:p>
    <w:p>
      <w:pPr>
        <w:pStyle w:val="2"/>
        <w:numPr>
          <w:numId w:val="0"/>
        </w:numPr>
        <w:sectPr>
          <w:pgSz w:w="11906" w:h="16838"/>
          <w:pgMar w:top="2041" w:right="1474" w:bottom="1304" w:left="1587" w:header="1361" w:footer="1191" w:gutter="0"/>
          <w:cols w:space="0" w:num="1"/>
          <w:rtlGutter w:val="0"/>
          <w:docGrid w:type="linesAndChars" w:linePitch="586" w:charSpace="-2754"/>
        </w:sectPr>
      </w:pP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2024年中央财政衔接推进乡村振兴补助资金预算</w:t>
      </w:r>
      <w:r>
        <w:rPr>
          <w:rFonts w:hint="eastAsia" w:ascii="方正小标宋_GBK" w:hAnsi="方正小标宋_GBK" w:eastAsia="方正小标宋_GBK" w:cs="方正小标宋_GBK"/>
          <w:sz w:val="40"/>
          <w:szCs w:val="40"/>
        </w:rPr>
        <w:t>表</w:t>
      </w:r>
    </w:p>
    <w:tbl>
      <w:tblPr>
        <w:tblStyle w:val="4"/>
        <w:tblpPr w:leftFromText="180" w:rightFromText="180" w:vertAnchor="text" w:horzAnchor="margin"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8"/>
        <w:gridCol w:w="1869"/>
        <w:gridCol w:w="1856"/>
        <w:gridCol w:w="1935"/>
        <w:gridCol w:w="1551"/>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478"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85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193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551"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8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100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551001 宁州街道办事处机关</w:t>
            </w:r>
          </w:p>
        </w:tc>
        <w:tc>
          <w:tcPr>
            <w:tcW w:w="1478"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2130505 生产发展</w:t>
            </w:r>
          </w:p>
        </w:tc>
        <w:tc>
          <w:tcPr>
            <w:tcW w:w="1869"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50302 基础设施建设</w:t>
            </w:r>
          </w:p>
        </w:tc>
        <w:tc>
          <w:tcPr>
            <w:tcW w:w="1856" w:type="dxa"/>
            <w:vAlign w:val="center"/>
          </w:tcPr>
          <w:p>
            <w:pPr>
              <w:spacing w:line="300" w:lineRule="exact"/>
              <w:jc w:val="center"/>
              <w:rPr>
                <w:rFonts w:hint="eastAsia" w:ascii="方正仿宋_GBK" w:hAnsi="方正仿宋_GBK" w:eastAsia="方正仿宋_GBK" w:cs="方正仿宋_GBK"/>
                <w:color w:val="FF0000"/>
                <w:sz w:val="21"/>
                <w:szCs w:val="21"/>
              </w:rPr>
            </w:pPr>
            <w:r>
              <w:rPr>
                <w:rFonts w:hint="eastAsia"/>
              </w:rPr>
              <w:t>31</w:t>
            </w:r>
            <w:r>
              <w:rPr>
                <w:rFonts w:hint="eastAsia"/>
                <w:lang w:val="en-US" w:eastAsia="zh-CN"/>
              </w:rPr>
              <w:t>3</w:t>
            </w:r>
            <w:r>
              <w:rPr>
                <w:rFonts w:hint="eastAsia"/>
                <w:lang w:eastAsia="zh-CN"/>
              </w:rPr>
              <w:t>事业发展</w:t>
            </w:r>
            <w:r>
              <w:rPr>
                <w:rFonts w:hint="eastAsia"/>
              </w:rPr>
              <w:t>类</w:t>
            </w:r>
          </w:p>
        </w:tc>
        <w:tc>
          <w:tcPr>
            <w:tcW w:w="1935" w:type="dxa"/>
            <w:vAlign w:val="center"/>
          </w:tcPr>
          <w:p>
            <w:pPr>
              <w:spacing w:line="300" w:lineRule="exact"/>
              <w:jc w:val="left"/>
              <w:rPr>
                <w:rFonts w:hint="eastAsia" w:ascii="方正仿宋_GBK" w:hAnsi="方正仿宋_GBK" w:eastAsia="宋体" w:cs="方正仿宋_GBK"/>
                <w:color w:val="000000"/>
                <w:sz w:val="21"/>
                <w:szCs w:val="21"/>
                <w:lang w:eastAsia="zh-CN"/>
              </w:rPr>
            </w:pPr>
            <w:r>
              <w:rPr>
                <w:rFonts w:hint="eastAsia" w:ascii="宋体" w:hAnsi="宋体" w:eastAsia="宋体" w:cs="宋体"/>
              </w:rPr>
              <w:t>2024年宁州街道平地社区等3个村冷链储藏中心建设项目项目资金</w:t>
            </w:r>
          </w:p>
        </w:tc>
        <w:tc>
          <w:tcPr>
            <w:tcW w:w="1551"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485" w:type="dxa"/>
            <w:vAlign w:val="center"/>
          </w:tcPr>
          <w:p>
            <w:pPr>
              <w:spacing w:line="300" w:lineRule="exact"/>
              <w:jc w:val="center"/>
              <w:rPr>
                <w:rFonts w:hint="eastAsia" w:ascii="方正仿宋_GBK" w:hAnsi="方正仿宋_GBK" w:eastAsia="方正仿宋_GBK" w:cs="方正仿宋_GBK"/>
                <w:color w:val="000000"/>
                <w:sz w:val="21"/>
                <w:szCs w:val="21"/>
              </w:rPr>
            </w:pPr>
            <w:r>
              <w:rPr>
                <w:rFonts w:hint="eastAsia"/>
                <w:lang w:val="en-US" w:eastAsia="zh-CN"/>
              </w:rPr>
              <w:t>2</w:t>
            </w:r>
            <w:r>
              <w:t>,</w:t>
            </w:r>
            <w:r>
              <w:rPr>
                <w:rFonts w:hint="eastAsia"/>
                <w:lang w:val="en-US" w:eastAsia="zh-CN"/>
              </w:rPr>
              <w:t>100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572001 盘溪镇政府</w:t>
            </w:r>
          </w:p>
        </w:tc>
        <w:tc>
          <w:tcPr>
            <w:tcW w:w="1478" w:type="dxa"/>
            <w:vAlign w:val="center"/>
          </w:tcPr>
          <w:p>
            <w:pPr>
              <w:spacing w:line="300" w:lineRule="exact"/>
              <w:jc w:val="center"/>
            </w:pPr>
            <w:r>
              <w:rPr>
                <w:rFonts w:hint="eastAsia"/>
              </w:rPr>
              <w:t>2130505 生产发展</w:t>
            </w:r>
          </w:p>
        </w:tc>
        <w:tc>
          <w:tcPr>
            <w:tcW w:w="1869" w:type="dxa"/>
            <w:vAlign w:val="center"/>
          </w:tcPr>
          <w:p>
            <w:pPr>
              <w:spacing w:line="300" w:lineRule="exact"/>
              <w:jc w:val="center"/>
            </w:pPr>
            <w:r>
              <w:rPr>
                <w:rFonts w:hint="eastAsia"/>
              </w:rPr>
              <w:t>50302 基础设施建设</w:t>
            </w:r>
          </w:p>
        </w:tc>
        <w:tc>
          <w:tcPr>
            <w:tcW w:w="1856" w:type="dxa"/>
            <w:vAlign w:val="center"/>
          </w:tcPr>
          <w:p>
            <w:pPr>
              <w:spacing w:line="300" w:lineRule="exact"/>
              <w:jc w:val="center"/>
            </w:pPr>
            <w:r>
              <w:rPr>
                <w:rFonts w:hint="eastAsia"/>
              </w:rPr>
              <w:t>31</w:t>
            </w:r>
            <w:r>
              <w:rPr>
                <w:rFonts w:hint="eastAsia"/>
                <w:lang w:val="en-US" w:eastAsia="zh-CN"/>
              </w:rPr>
              <w:t>3</w:t>
            </w:r>
            <w:r>
              <w:rPr>
                <w:rFonts w:hint="eastAsia"/>
                <w:lang w:eastAsia="zh-CN"/>
              </w:rPr>
              <w:t>事业发展</w:t>
            </w:r>
            <w:r>
              <w:rPr>
                <w:rFonts w:hint="eastAsia"/>
              </w:rPr>
              <w:t>类</w:t>
            </w:r>
          </w:p>
        </w:tc>
        <w:tc>
          <w:tcPr>
            <w:tcW w:w="1935" w:type="dxa"/>
            <w:vAlign w:val="center"/>
          </w:tcPr>
          <w:p>
            <w:pPr>
              <w:spacing w:line="300" w:lineRule="exact"/>
              <w:jc w:val="left"/>
            </w:pPr>
            <w:r>
              <w:rPr>
                <w:rFonts w:hint="eastAsia"/>
              </w:rPr>
              <w:t>2024年盘溪镇磨沙塘村</w:t>
            </w:r>
            <w:r>
              <w:rPr>
                <w:rFonts w:hint="eastAsia" w:ascii="宋体" w:hAnsi="宋体" w:eastAsia="宋体" w:cs="宋体"/>
              </w:rPr>
              <w:t>等</w:t>
            </w:r>
            <w:r>
              <w:rPr>
                <w:rFonts w:hint="eastAsia"/>
              </w:rPr>
              <w:t>3个村果蔬综合服务中心建设项目资金</w:t>
            </w:r>
          </w:p>
        </w:tc>
        <w:tc>
          <w:tcPr>
            <w:tcW w:w="1551" w:type="dxa"/>
            <w:vAlign w:val="center"/>
          </w:tcPr>
          <w:p>
            <w:pPr>
              <w:spacing w:line="300" w:lineRule="exact"/>
              <w:jc w:val="center"/>
            </w:pPr>
            <w:r>
              <w:rPr>
                <w:rFonts w:hint="eastAsia"/>
                <w:lang w:eastAsia="zh-CN"/>
              </w:rPr>
              <w:t>202</w:t>
            </w:r>
            <w:r>
              <w:rPr>
                <w:rFonts w:hint="eastAsia"/>
                <w:lang w:val="en-US" w:eastAsia="zh-CN"/>
              </w:rPr>
              <w:t>4</w:t>
            </w:r>
            <w:r>
              <w:rPr>
                <w:rFonts w:hint="eastAsia"/>
                <w:lang w:eastAsia="zh-CN"/>
              </w:rPr>
              <w:t>年中央财政衔接推进乡村振兴补助资金</w:t>
            </w:r>
          </w:p>
        </w:tc>
        <w:tc>
          <w:tcPr>
            <w:tcW w:w="1485" w:type="dxa"/>
            <w:vAlign w:val="center"/>
          </w:tcPr>
          <w:p>
            <w:pPr>
              <w:spacing w:line="300" w:lineRule="exact"/>
              <w:jc w:val="center"/>
            </w:pPr>
            <w:r>
              <w:rPr>
                <w:rFonts w:hint="eastAsia"/>
                <w:lang w:val="en-US" w:eastAsia="zh-CN"/>
              </w:rPr>
              <w:t>700</w:t>
            </w:r>
            <w:r>
              <w:t>,</w:t>
            </w:r>
            <w:r>
              <w:rPr>
                <w:rFonts w:hint="eastAsia"/>
                <w:lang w:val="en-US" w:eastAsia="zh-CN"/>
              </w:rPr>
              <w:t>000</w:t>
            </w:r>
            <w:r>
              <w:t>.00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0259" w:type="dxa"/>
            <w:gridSpan w:val="6"/>
            <w:vAlign w:val="center"/>
          </w:tcPr>
          <w:p>
            <w:pPr>
              <w:spacing w:line="300" w:lineRule="exact"/>
              <w:jc w:val="center"/>
              <w:rPr>
                <w:rFonts w:hint="eastAsia" w:eastAsia="宋体"/>
                <w:lang w:eastAsia="zh-CN"/>
              </w:rPr>
            </w:pPr>
            <w:r>
              <w:rPr>
                <w:rFonts w:hint="eastAsia"/>
                <w:lang w:eastAsia="zh-CN"/>
              </w:rPr>
              <w:t>合计</w:t>
            </w:r>
          </w:p>
        </w:tc>
        <w:tc>
          <w:tcPr>
            <w:tcW w:w="1485" w:type="dxa"/>
            <w:vAlign w:val="center"/>
          </w:tcPr>
          <w:p>
            <w:pPr>
              <w:spacing w:line="300" w:lineRule="exact"/>
              <w:jc w:val="center"/>
            </w:pPr>
            <w:r>
              <w:rPr>
                <w:rFonts w:hint="eastAsia"/>
                <w:lang w:val="en-US" w:eastAsia="zh-CN"/>
              </w:rPr>
              <w:t>2</w:t>
            </w:r>
            <w:r>
              <w:t>,</w:t>
            </w:r>
            <w:r>
              <w:rPr>
                <w:rFonts w:hint="eastAsia"/>
                <w:lang w:val="en-US" w:eastAsia="zh-CN"/>
              </w:rPr>
              <w:t>800</w:t>
            </w:r>
            <w:r>
              <w:t>,</w:t>
            </w:r>
            <w:r>
              <w:rPr>
                <w:rFonts w:hint="eastAsia"/>
                <w:lang w:val="en-US" w:eastAsia="zh-CN"/>
              </w:rPr>
              <w:t>0</w:t>
            </w:r>
            <w:r>
              <w:t>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bl>
    <w:p>
      <w:pPr>
        <w:pStyle w:val="2"/>
        <w:numPr>
          <w:numId w:val="0"/>
        </w:numPr>
        <w:sectPr>
          <w:pgSz w:w="16838" w:h="11906" w:orient="landscape"/>
          <w:pgMar w:top="1587" w:right="2041" w:bottom="1474" w:left="1304" w:header="1361" w:footer="1191" w:gutter="0"/>
          <w:cols w:space="0" w:num="1"/>
          <w:rtlGutter w:val="0"/>
          <w:docGrid w:type="linesAndChars" w:linePitch="586" w:charSpace="-2754"/>
        </w:sectPr>
      </w:pPr>
    </w:p>
    <w:tbl>
      <w:tblPr>
        <w:tblStyle w:val="4"/>
        <w:tblW w:w="93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2"/>
        <w:gridCol w:w="1545"/>
        <w:gridCol w:w="2218"/>
        <w:gridCol w:w="1322"/>
        <w:gridCol w:w="1260"/>
        <w:gridCol w:w="585"/>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347"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 w:hRule="atLeast"/>
        </w:trPr>
        <w:tc>
          <w:tcPr>
            <w:tcW w:w="9347"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2" w:hRule="atLeast"/>
        </w:trPr>
        <w:tc>
          <w:tcPr>
            <w:tcW w:w="934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 年度中央和省级财政扶持新型农村集体经济发展项目（宁州街道平地社区等 3 个村冷链储藏中心建设项目）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杨梦娟 18214180574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0" w:hRule="atLeast"/>
        </w:trPr>
        <w:tc>
          <w:tcPr>
            <w:tcW w:w="21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0" w:hRule="atLeast"/>
        </w:trPr>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4" w:hRule="atLeast"/>
        </w:trPr>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6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4"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6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7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通过投入中央衔财政衔接资金210万元及其他资金70万元，场地硬化 1200平方米、建钢结构小型仓储厂房 600 立方米、安装冷库 3 座、安装制冷设备 3 套、安装变压器及变压器设备 1 套，项目建成后通过输入种植技术、产品代销、保护价收购等多种方式辐射带动种植，增加务工性收入或直接经营收入。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545"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场地硬化</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钢结构小型仓储厂房建设</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安装冷库</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7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安装制冷设备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安装变压器设备 </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产业设施</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场地建设</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≥600平方米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4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1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6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项目产生利润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≥1213户3706人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1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项目使用年限</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2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316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w:t>
            </w:r>
          </w:p>
        </w:tc>
      </w:tr>
    </w:tbl>
    <w:p>
      <w:pPr>
        <w:spacing w:line="300" w:lineRule="exact"/>
        <w:jc w:val="left"/>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tbl>
      <w:tblPr>
        <w:tblStyle w:val="4"/>
        <w:tblW w:w="93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
        <w:gridCol w:w="1110"/>
        <w:gridCol w:w="1410"/>
        <w:gridCol w:w="714"/>
        <w:gridCol w:w="662"/>
        <w:gridCol w:w="679"/>
        <w:gridCol w:w="1500"/>
        <w:gridCol w:w="545"/>
        <w:gridCol w:w="737"/>
        <w:gridCol w:w="524"/>
        <w:gridCol w:w="66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383"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9" w:hRule="atLeast"/>
        </w:trPr>
        <w:tc>
          <w:tcPr>
            <w:tcW w:w="9383"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4" w:hRule="atLeast"/>
        </w:trPr>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项目名称</w:t>
            </w:r>
          </w:p>
        </w:tc>
        <w:tc>
          <w:tcPr>
            <w:tcW w:w="34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盘溪镇磨沙塘村等3个村果蔬综合服务中心建设项目</w:t>
            </w:r>
          </w:p>
        </w:tc>
        <w:tc>
          <w:tcPr>
            <w:tcW w:w="20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项目负责人及电话</w:t>
            </w:r>
          </w:p>
        </w:tc>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孙宁彬15126091792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主管部门</w:t>
            </w:r>
          </w:p>
        </w:tc>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华宁县乡村振兴局</w:t>
            </w:r>
          </w:p>
        </w:tc>
        <w:tc>
          <w:tcPr>
            <w:tcW w:w="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项目实施单位</w:t>
            </w:r>
          </w:p>
        </w:tc>
        <w:tc>
          <w:tcPr>
            <w:tcW w:w="45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华宁县盘溪镇人民政府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3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项目资金</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（万元）</w:t>
            </w: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年初预算数</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全年预算数</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执行数</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分值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年度资金总额</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70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#DIV/0!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其中：当年财政拨款</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70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70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上年结转资金</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3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1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其他资金</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2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年度总体目标</w:t>
            </w:r>
          </w:p>
        </w:tc>
        <w:tc>
          <w:tcPr>
            <w:tcW w:w="66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预期目标</w:t>
            </w:r>
          </w:p>
        </w:tc>
        <w:tc>
          <w:tcPr>
            <w:tcW w:w="25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14" w:hRule="atLeast"/>
        </w:trPr>
        <w:tc>
          <w:tcPr>
            <w:tcW w:w="2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662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的建成，将加快补齐县域内预冷、清洗加工、分拣包装、仓储保鲜、物流配送等设施短板，建成以产地冷链集配中心和产地仓储保鲜设施为支撑的冷链物流节点设施网络；另一方面，以“强村带弱村”为契合点，立足新村村委会资源优势、柑桔产业以及相关果蔬冷链分选产业基础，破解产业发展难等问题，通过盘活闲置场地资源和产业配套设施建设，实现村级集体经济增收。建设内容：（1）新建分选厂房；（2）附属设施，①排污设施：；②污水收集池；③雨水口；④排水沟（3）场地硬化。</w:t>
            </w:r>
          </w:p>
        </w:tc>
        <w:tc>
          <w:tcPr>
            <w:tcW w:w="250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4" w:hRule="atLeast"/>
        </w:trPr>
        <w:tc>
          <w:tcPr>
            <w:tcW w:w="2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绩</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效</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指</w:t>
            </w:r>
            <w:r>
              <w:rPr>
                <w:rFonts w:hint="default" w:ascii="方正仿宋_GB2312" w:hAnsi="方正仿宋_GB2312" w:eastAsia="方正仿宋_GB2312" w:cs="方正仿宋_GB2312"/>
                <w:i w:val="0"/>
                <w:color w:val="000000"/>
                <w:kern w:val="0"/>
                <w:sz w:val="18"/>
                <w:szCs w:val="18"/>
                <w:u w:val="none"/>
                <w:lang w:val="en-US" w:eastAsia="zh-CN" w:bidi="ar"/>
              </w:rPr>
              <w:br w:type="textWrapping"/>
            </w:r>
            <w:r>
              <w:rPr>
                <w:rFonts w:hint="default" w:ascii="方正仿宋_GB2312" w:hAnsi="方正仿宋_GB2312" w:eastAsia="方正仿宋_GB2312" w:cs="方正仿宋_GB2312"/>
                <w:i w:val="0"/>
                <w:color w:val="000000"/>
                <w:kern w:val="0"/>
                <w:sz w:val="18"/>
                <w:szCs w:val="18"/>
                <w:u w:val="none"/>
                <w:lang w:val="en-US" w:eastAsia="zh-CN" w:bidi="ar"/>
              </w:rPr>
              <w:t>标</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一级指标</w:t>
            </w:r>
          </w:p>
        </w:tc>
        <w:tc>
          <w:tcPr>
            <w:tcW w:w="14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二级指标</w:t>
            </w:r>
          </w:p>
        </w:tc>
        <w:tc>
          <w:tcPr>
            <w:tcW w:w="205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三级指标</w:t>
            </w:r>
          </w:p>
        </w:tc>
        <w:tc>
          <w:tcPr>
            <w:tcW w:w="1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年度指标值</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分值</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实际完成值</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得分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主体修缮工程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1项</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附属设施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1项</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质量指标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项目（工程）合格率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≥100%</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时效指标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计划开工时间时间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2024年1月20日</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计划完工时间</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2024年12月30日</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项目（工程）完成及时率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≥100%</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成本指标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主体建设工程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≤60万元</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外围场地整修及消防设施</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≤10万元</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7"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效益指标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经济效益指标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每年集体经济增收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≥14.4万元</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7"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社会效益指标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覆盖受益群众</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≥9455人</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覆盖受益脱贫人口</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≥330人</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生态效益指标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区域治理度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≥100%</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5"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可持续影响指标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结构设计使用年限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≥20年</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满意度指标</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服务对象满意度指标</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受益脱贫人口满意度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≥98%</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2312" w:hAnsi="方正仿宋_GB2312" w:eastAsia="方正仿宋_GB2312" w:cs="方正仿宋_GB2312"/>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受益群众满意度</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≥98%</w:t>
            </w:r>
          </w:p>
        </w:tc>
        <w:tc>
          <w:tcPr>
            <w:tcW w:w="5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27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其他需要说明的事项</w:t>
            </w: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方正仿宋_GB2312" w:hAnsi="方正仿宋_GB2312" w:eastAsia="方正仿宋_GB2312" w:cs="方正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614"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18"/>
                <w:szCs w:val="18"/>
                <w:u w:val="none"/>
              </w:rPr>
            </w:pPr>
            <w:r>
              <w:rPr>
                <w:rFonts w:hint="default" w:ascii="方正仿宋_GB2312" w:hAnsi="方正仿宋_GB2312" w:eastAsia="方正仿宋_GB2312" w:cs="方正仿宋_GB2312"/>
                <w:i w:val="0"/>
                <w:color w:val="000000"/>
                <w:kern w:val="0"/>
                <w:sz w:val="18"/>
                <w:szCs w:val="18"/>
                <w:u w:val="none"/>
                <w:lang w:val="en-US" w:eastAsia="zh-CN" w:bidi="ar"/>
              </w:rPr>
              <w:t>注：分值设置一般为预算执行率10%、产出指标50%、效益指标30%、受益对象满意度指标10%。</w:t>
            </w:r>
          </w:p>
        </w:tc>
        <w:tc>
          <w:tcPr>
            <w:tcW w:w="524" w:type="dxa"/>
            <w:tcBorders>
              <w:top w:val="nil"/>
              <w:left w:val="nil"/>
              <w:bottom w:val="nil"/>
              <w:right w:val="nil"/>
            </w:tcBorders>
            <w:shd w:val="clear" w:color="auto" w:fill="auto"/>
            <w:noWrap/>
            <w:tcMar>
              <w:top w:w="15" w:type="dxa"/>
              <w:left w:w="15" w:type="dxa"/>
              <w:right w:w="15" w:type="dxa"/>
            </w:tcMar>
            <w:vAlign w:val="center"/>
          </w:tcPr>
          <w:p>
            <w:pPr>
              <w:jc w:val="left"/>
              <w:rPr>
                <w:rFonts w:hint="default" w:ascii="方正仿宋_GB2312" w:hAnsi="方正仿宋_GB2312" w:eastAsia="方正仿宋_GB2312" w:cs="方正仿宋_GB2312"/>
                <w:i w:val="0"/>
                <w:color w:val="000000"/>
                <w:sz w:val="18"/>
                <w:szCs w:val="18"/>
                <w:u w:val="none"/>
              </w:rPr>
            </w:pPr>
          </w:p>
        </w:tc>
        <w:tc>
          <w:tcPr>
            <w:tcW w:w="6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pStyle w:val="2"/>
        <w:numPr>
          <w:numId w:val="0"/>
        </w:numPr>
      </w:pPr>
      <w:bookmarkStart w:id="0" w:name="_GoBack"/>
      <w:bookmarkEnd w:id="0"/>
    </w:p>
    <w:sectPr>
      <w:pgSz w:w="11906" w:h="16838"/>
      <w:pgMar w:top="2041" w:right="1474" w:bottom="1304" w:left="1587" w:header="1361" w:footer="1191" w:gutter="0"/>
      <w:cols w:space="0" w:num="1"/>
      <w:rtlGutter w:val="0"/>
      <w:docGrid w:type="linesAndChars" w:linePitch="586"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D6E168"/>
    <w:multiLevelType w:val="singleLevel"/>
    <w:tmpl w:val="CED6E168"/>
    <w:lvl w:ilvl="0" w:tentative="0">
      <w:start w:val="2"/>
      <w:numFmt w:val="decimal"/>
      <w:suff w:val="nothing"/>
      <w:lvlText w:val="%1、"/>
      <w:lvlJc w:val="left"/>
    </w:lvl>
  </w:abstractNum>
  <w:abstractNum w:abstractNumId="1">
    <w:nsid w:val="6B4E6A53"/>
    <w:multiLevelType w:val="singleLevel"/>
    <w:tmpl w:val="6B4E6A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D0B92"/>
    <w:rsid w:val="003A16C6"/>
    <w:rsid w:val="0077565F"/>
    <w:rsid w:val="05CB0516"/>
    <w:rsid w:val="0D1C1262"/>
    <w:rsid w:val="11AB62DF"/>
    <w:rsid w:val="13062282"/>
    <w:rsid w:val="23DC4D55"/>
    <w:rsid w:val="327425E5"/>
    <w:rsid w:val="3A9240BD"/>
    <w:rsid w:val="3D011854"/>
    <w:rsid w:val="407B0C80"/>
    <w:rsid w:val="44817819"/>
    <w:rsid w:val="452412D8"/>
    <w:rsid w:val="45E7563F"/>
    <w:rsid w:val="47B53CBB"/>
    <w:rsid w:val="4A661AC7"/>
    <w:rsid w:val="58C9057E"/>
    <w:rsid w:val="58F47601"/>
    <w:rsid w:val="5AB87070"/>
    <w:rsid w:val="5F3D0B92"/>
    <w:rsid w:val="611041AA"/>
    <w:rsid w:val="6A516E66"/>
    <w:rsid w:val="6A9E24DB"/>
    <w:rsid w:val="6BDA0E07"/>
    <w:rsid w:val="733C0EE5"/>
    <w:rsid w:val="748862C4"/>
    <w:rsid w:val="75B438ED"/>
    <w:rsid w:val="78187232"/>
    <w:rsid w:val="7CB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2024-01-19T08:29:00Z</dcterms:created>
  <dc:creator>Administrator</dc:creator>
  <cp:lastModifiedBy>Administrator</cp:lastModifiedBy>
  <dcterms:modified xsi:type="dcterms:W3CDTF">2024-01-19T08:31:29Z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C641C7A880D44090B2B0119BC244EFC7</vt:lpwstr>
  </property>
</Properties>
</file>