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</w:pP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  <w:t>玉溪市生态环境局华宁分局202</w:t>
      </w:r>
      <w:r>
        <w:rPr>
          <w:rFonts w:hint="eastAsia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  <w:lang w:eastAsia="zh-CN"/>
        </w:rPr>
        <w:t>第</w:t>
      </w:r>
      <w:r>
        <w:rPr>
          <w:rFonts w:hint="eastAsia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  <w:t>季度政府信息公开目录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一、编制说明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（一）编制目的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为了方便公民、法人和其他组织查询本机关主动公开的政府信息，编制本目录。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（二）入编范围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本目录所收信息系本机关截至202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月31日之前发布的，根据《条例》应当向社会主动公开的所有政府信息。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（三）数据项释义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1．序号：政府公开信息的序号；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2．信息名称：反映信息主要内容的标题；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3．文件编号：文件的发文字号或统编号；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4．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发布机构：发布信息的部门；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5．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公开属性：发布信息是否涉密；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6．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公开形式：信息公开的载体。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（四）目录层次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（五）其他说明事项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二、目录数据项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（一）机构概况</w:t>
      </w:r>
    </w:p>
    <w:tbl>
      <w:tblPr>
        <w:tblStyle w:val="4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2666"/>
        <w:gridCol w:w="1881"/>
        <w:gridCol w:w="1809"/>
        <w:gridCol w:w="3285"/>
        <w:gridCol w:w="1476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3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4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8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 xml:space="preserve">中共玉溪市生态环境局华宁分局党组  关于调整玉溪市生态环境局华宁分局班子成员分工的通知   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 xml:space="preserve">2024-03-12 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5"/>
                <w:szCs w:val="25"/>
              </w:rPr>
              <w:t>华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5"/>
                <w:szCs w:val="25"/>
              </w:rPr>
              <w:t>环党组〔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5"/>
                <w:szCs w:val="2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5"/>
                <w:szCs w:val="25"/>
              </w:rPr>
              <w:t>24〕7号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（二）政策法规</w:t>
      </w:r>
    </w:p>
    <w:tbl>
      <w:tblPr>
        <w:tblStyle w:val="4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309"/>
        <w:gridCol w:w="2238"/>
        <w:gridCol w:w="2238"/>
        <w:gridCol w:w="1928"/>
        <w:gridCol w:w="1571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3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225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192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57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2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业务工作</w:t>
      </w:r>
    </w:p>
    <w:tbl>
      <w:tblPr>
        <w:tblStyle w:val="4"/>
        <w:tblpPr w:leftFromText="180" w:rightFromText="180" w:vertAnchor="text" w:horzAnchor="page" w:tblpX="1767" w:tblpY="263"/>
        <w:tblOverlap w:val="never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3"/>
        <w:gridCol w:w="4960"/>
        <w:gridCol w:w="1473"/>
        <w:gridCol w:w="1569"/>
        <w:gridCol w:w="2411"/>
        <w:gridCol w:w="1344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玉溪市生态环境局华宁分局2024年预算公开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目录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05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玉溪市生态环境局华宁分局关于2023年1月10日建设项目环境影响评价文件 拟审批情况的公示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2023-0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0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玉溪市生态环境局华宁分局关于2024年1月24日建设项目环境影响评价文件  受理情况的公示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2024-01-24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玉溪市生态环境局华宁分局关于2024年1月24日建设项目环境影响评价文件  拟审批情况的公示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1B82CB"/>
                <w:spacing w:val="15"/>
                <w:sz w:val="22"/>
                <w:szCs w:val="22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2024-01-24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玉溪市生态环境局华宁分局关于2024年2月5日建设项目环境影响评价文件受理情况的公示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1B82CB"/>
                <w:spacing w:val="15"/>
                <w:sz w:val="22"/>
                <w:szCs w:val="22"/>
                <w:shd w:val="clear" w:fill="FFFFFF"/>
              </w:rPr>
            </w:pPr>
          </w:p>
          <w:p>
            <w:pPr>
              <w:bidi w:val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04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玉溪市生态环境局华宁分局关于2024年3月11日建设项目环境影响评价文件  拟审批情况的公示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1B82CB"/>
                <w:spacing w:val="1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4-03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年产100吨高纯金属铷、金属铯与新材料研发、生产基地建设项目（一期）环境影响评价公众参与第一次信息公示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1B82CB"/>
                <w:spacing w:val="1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玉溪市生态环境局华宁分局关于2024年3月21日建设项目环境影响评价文件受理情况的公示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</w:pPr>
          </w:p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19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玉溪市生态环境局华宁分局关于2024年3月21日建设项目环境影响评价文件 拟审批情况的公示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eastAsia="zh-CN"/>
              </w:rPr>
              <w:tab/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 xml:space="preserve">玉溪市生态环境局  行政处罚决定书 玉环罚〔2024〕5-01号   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2024-02-05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 xml:space="preserve">玉溪市生态环境局 行政处罚决定书 玉环罚〔2024〕5-02号   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2024-02-05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 xml:space="preserve">玉溪市生态环境局华宁分局2023年政府信息公开工作年度报告   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2024-01-04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（四）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动态信息</w:t>
      </w:r>
    </w:p>
    <w:tbl>
      <w:tblPr>
        <w:tblStyle w:val="4"/>
        <w:tblpPr w:leftFromText="180" w:rightFromText="180" w:vertAnchor="text" w:horzAnchor="page" w:tblpX="1760" w:tblpY="196"/>
        <w:tblOverlap w:val="never"/>
        <w:tblW w:w="14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4609"/>
        <w:gridCol w:w="1440"/>
        <w:gridCol w:w="1575"/>
        <w:gridCol w:w="2550"/>
        <w:gridCol w:w="1635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6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1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ab/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（五）依申请公开政府信息</w:t>
      </w:r>
    </w:p>
    <w:tbl>
      <w:tblPr>
        <w:tblStyle w:val="4"/>
        <w:tblW w:w="1420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3329"/>
        <w:gridCol w:w="1818"/>
        <w:gridCol w:w="1818"/>
        <w:gridCol w:w="2833"/>
        <w:gridCol w:w="1204"/>
        <w:gridCol w:w="1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32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8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8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8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20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9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无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val="en-US" w:eastAsia="zh-CN"/>
        </w:rPr>
        <w:t>（六）其他信息</w:t>
      </w:r>
    </w:p>
    <w:tbl>
      <w:tblPr>
        <w:tblStyle w:val="4"/>
        <w:tblW w:w="1423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3329"/>
        <w:gridCol w:w="1818"/>
        <w:gridCol w:w="1818"/>
        <w:gridCol w:w="2833"/>
        <w:gridCol w:w="1204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0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5" w:leftChars="0" w:right="0" w:rightChars="0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B19E4"/>
    <w:rsid w:val="004316D9"/>
    <w:rsid w:val="015701E7"/>
    <w:rsid w:val="069606AA"/>
    <w:rsid w:val="07BD322B"/>
    <w:rsid w:val="0B0B093D"/>
    <w:rsid w:val="12E55AC4"/>
    <w:rsid w:val="1373022F"/>
    <w:rsid w:val="158628B6"/>
    <w:rsid w:val="17A87980"/>
    <w:rsid w:val="19FC633F"/>
    <w:rsid w:val="1AAA5124"/>
    <w:rsid w:val="1C0F7264"/>
    <w:rsid w:val="1F43325E"/>
    <w:rsid w:val="20B50EAC"/>
    <w:rsid w:val="216211DC"/>
    <w:rsid w:val="21F61E74"/>
    <w:rsid w:val="237304DB"/>
    <w:rsid w:val="23DC7C51"/>
    <w:rsid w:val="23EF14EB"/>
    <w:rsid w:val="28447F72"/>
    <w:rsid w:val="29B019DD"/>
    <w:rsid w:val="29DD5A04"/>
    <w:rsid w:val="2A4325A4"/>
    <w:rsid w:val="2AA20653"/>
    <w:rsid w:val="2AC81E8A"/>
    <w:rsid w:val="2D120570"/>
    <w:rsid w:val="2D5016D9"/>
    <w:rsid w:val="2E2E3520"/>
    <w:rsid w:val="2ED31776"/>
    <w:rsid w:val="31BA69CF"/>
    <w:rsid w:val="32C042E4"/>
    <w:rsid w:val="33A064F0"/>
    <w:rsid w:val="33DE4F92"/>
    <w:rsid w:val="358218AE"/>
    <w:rsid w:val="377C13B0"/>
    <w:rsid w:val="383978EE"/>
    <w:rsid w:val="398F462D"/>
    <w:rsid w:val="3A221F4F"/>
    <w:rsid w:val="3A72042F"/>
    <w:rsid w:val="3ABA2425"/>
    <w:rsid w:val="3BF308B4"/>
    <w:rsid w:val="3CDC6060"/>
    <w:rsid w:val="3DF829CA"/>
    <w:rsid w:val="3EBB465A"/>
    <w:rsid w:val="3F80785C"/>
    <w:rsid w:val="431E1EBD"/>
    <w:rsid w:val="43283065"/>
    <w:rsid w:val="4460090E"/>
    <w:rsid w:val="45462F19"/>
    <w:rsid w:val="46060CBC"/>
    <w:rsid w:val="48CF2269"/>
    <w:rsid w:val="4A041FB4"/>
    <w:rsid w:val="4A2B642E"/>
    <w:rsid w:val="4B995B99"/>
    <w:rsid w:val="4BDA08CE"/>
    <w:rsid w:val="4D4B19E4"/>
    <w:rsid w:val="4DE825C0"/>
    <w:rsid w:val="509954F4"/>
    <w:rsid w:val="52CB275E"/>
    <w:rsid w:val="53941307"/>
    <w:rsid w:val="546B6158"/>
    <w:rsid w:val="54792864"/>
    <w:rsid w:val="55321932"/>
    <w:rsid w:val="5DC01A40"/>
    <w:rsid w:val="5F6A696A"/>
    <w:rsid w:val="600F2EFE"/>
    <w:rsid w:val="6055194B"/>
    <w:rsid w:val="60F93276"/>
    <w:rsid w:val="61D70A13"/>
    <w:rsid w:val="61FE3431"/>
    <w:rsid w:val="629760C6"/>
    <w:rsid w:val="630855F6"/>
    <w:rsid w:val="635770C9"/>
    <w:rsid w:val="6747172F"/>
    <w:rsid w:val="69796D9F"/>
    <w:rsid w:val="6A011D6A"/>
    <w:rsid w:val="6A78388A"/>
    <w:rsid w:val="6EA60949"/>
    <w:rsid w:val="6EF94710"/>
    <w:rsid w:val="7209169B"/>
    <w:rsid w:val="722E4792"/>
    <w:rsid w:val="771E09FA"/>
    <w:rsid w:val="77CF419E"/>
    <w:rsid w:val="78DA1F4B"/>
    <w:rsid w:val="7AAC2F87"/>
    <w:rsid w:val="7B146B06"/>
    <w:rsid w:val="7B3232D4"/>
    <w:rsid w:val="7E0B5CD6"/>
    <w:rsid w:val="7F7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/>
    </w:pPr>
    <w:rPr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OAHeading"/>
    <w:basedOn w:val="1"/>
    <w:next w:val="1"/>
    <w:qFormat/>
    <w:uiPriority w:val="0"/>
    <w:pPr>
      <w:spacing w:before="12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7">
    <w:name w:val="NormalCharacter"/>
    <w:link w:val="8"/>
    <w:semiHidden/>
    <w:qFormat/>
    <w:uiPriority w:val="0"/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8">
    <w:name w:val="UserStyle_1"/>
    <w:basedOn w:val="1"/>
    <w:link w:val="7"/>
    <w:qFormat/>
    <w:uiPriority w:val="0"/>
    <w:pPr>
      <w:tabs>
        <w:tab w:val="left" w:pos="360"/>
      </w:tabs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2021-10-25T08:47:00Z</dcterms:created>
  <dc:creator></dc:creator>
  <cp:lastModifiedBy>玉溪市生态环境局华宁分局</cp:lastModifiedBy>
  <dcterms:modified xsi:type="dcterms:W3CDTF">2024-07-12T02:28:28Z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