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1FDE9">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color w:val="FF0000"/>
          <w:spacing w:val="-14"/>
          <w:w w:val="90"/>
          <w:sz w:val="122"/>
          <w:szCs w:val="122"/>
        </w:rPr>
      </w:pPr>
      <w:bookmarkStart w:id="6" w:name="_GoBack"/>
      <w:bookmarkEnd w:id="6"/>
    </w:p>
    <w:p w14:paraId="33090F90">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pacing w:val="-2"/>
          <w:w w:val="90"/>
          <w:sz w:val="112"/>
          <w:szCs w:val="112"/>
        </w:rPr>
      </w:pPr>
      <w:r>
        <w:rPr>
          <w:rFonts w:hint="eastAsia" w:ascii="方正小标宋_GBK" w:hAnsi="方正小标宋_GBK" w:eastAsia="方正小标宋_GBK" w:cs="方正小标宋_GBK"/>
          <w:b w:val="0"/>
          <w:bCs w:val="0"/>
          <w:color w:val="FF0000"/>
          <w:spacing w:val="-14"/>
          <w:w w:val="90"/>
          <w:sz w:val="112"/>
          <w:szCs w:val="112"/>
          <w:lang w:val="en-US" w:eastAsia="zh-CN"/>
        </w:rPr>
        <w:t>华宁县</w:t>
      </w:r>
      <w:r>
        <w:rPr>
          <w:rFonts w:hint="eastAsia" w:ascii="方正小标宋_GBK" w:hAnsi="方正小标宋_GBK" w:eastAsia="方正小标宋_GBK" w:cs="方正小标宋_GBK"/>
          <w:b w:val="0"/>
          <w:bCs w:val="0"/>
          <w:color w:val="FF0000"/>
          <w:spacing w:val="-14"/>
          <w:w w:val="90"/>
          <w:sz w:val="112"/>
          <w:szCs w:val="112"/>
        </w:rPr>
        <w:t>财政局文件</w:t>
      </w:r>
    </w:p>
    <w:p w14:paraId="48DA1DEE">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14:paraId="179D6A08">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华财农〔2025〕3号</w:t>
      </w:r>
    </w:p>
    <w:p w14:paraId="5AA016D5">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ascii="仿宋_GB2312" w:eastAsia="仿宋_GB2312"/>
          <w:color w:val="000000"/>
          <w:spacing w:val="-2"/>
          <w:w w:val="90"/>
          <w:sz w:val="32"/>
          <w:szCs w:val="32"/>
        </w:rPr>
      </w:pPr>
      <w:r>
        <w:rPr>
          <w:rFonts w:hint="eastAsia"/>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C5zB2QAAAAgBAAAPAAAAAAAAAAEAIAAAACIAAABkcnMvZG93bnJldi54&#10;bWxQSwECFAAUAAAACACHTuJAb72GbvkBAADnAwAADgAAAAAAAAABACAAAAAoAQAAZHJzL2Uyb0Rv&#10;Yy54bWxQSwUGAAAAAAYABgBZAQAAkwUAAAAA&#10;">
                <v:fill on="f" focussize="0,0"/>
                <v:stroke weight="2.5pt" color="#FF0000" joinstyle="round"/>
                <v:imagedata o:title=""/>
                <o:lock v:ext="edit" aspectratio="f"/>
              </v:line>
            </w:pict>
          </mc:Fallback>
        </mc:AlternateContent>
      </w:r>
      <w:r>
        <w:rPr>
          <w:b/>
          <w:color w:val="FF0000"/>
          <w:spacing w:val="-28"/>
          <w:w w:val="90"/>
          <w:sz w:val="32"/>
          <w:szCs w:val="32"/>
        </w:rPr>
        <w:tab/>
      </w:r>
      <w:r>
        <w:rPr>
          <w:b/>
          <w:color w:val="FF0000"/>
          <w:spacing w:val="-28"/>
          <w:w w:val="90"/>
          <w:sz w:val="32"/>
          <w:szCs w:val="32"/>
        </w:rPr>
        <w:tab/>
      </w:r>
      <w:bookmarkStart w:id="0" w:name="OLE_LINK7"/>
      <w:bookmarkStart w:id="1" w:name="OLE_LINK1"/>
      <w:bookmarkStart w:id="2" w:name="OLE_LINK2"/>
      <w:bookmarkStart w:id="3" w:name="OLE_LINK6"/>
      <w:bookmarkStart w:id="4" w:name="OLE_LINK5"/>
      <w:bookmarkStart w:id="5" w:name="OLE_LINK4"/>
    </w:p>
    <w:bookmarkEnd w:id="0"/>
    <w:bookmarkEnd w:id="1"/>
    <w:bookmarkEnd w:id="2"/>
    <w:bookmarkEnd w:id="3"/>
    <w:p w14:paraId="7EA61A69">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default" w:ascii="Times New Roman" w:hAnsi="Times New Roman" w:eastAsia="方正小标宋_GBK" w:cs="Times New Roman"/>
          <w:b w:val="0"/>
          <w:bCs w:val="0"/>
          <w:sz w:val="44"/>
          <w:szCs w:val="44"/>
          <w:lang w:eastAsia="zh-CN"/>
        </w:rPr>
        <w:t>202</w:t>
      </w:r>
      <w:r>
        <w:rPr>
          <w:rFonts w:hint="default" w:ascii="Times New Roman" w:hAnsi="Times New Roman" w:eastAsia="方正小标宋_GBK" w:cs="Times New Roman"/>
          <w:b w:val="0"/>
          <w:bCs w:val="0"/>
          <w:sz w:val="44"/>
          <w:szCs w:val="44"/>
          <w:lang w:val="en-US" w:eastAsia="zh-CN"/>
        </w:rPr>
        <w:t>5</w:t>
      </w:r>
      <w:r>
        <w:rPr>
          <w:rFonts w:hint="eastAsia" w:ascii="方正小标宋_GBK" w:hAnsi="方正小标宋_GBK" w:eastAsia="方正小标宋_GBK" w:cs="方正小标宋_GBK"/>
          <w:sz w:val="44"/>
          <w:szCs w:val="44"/>
          <w:lang w:eastAsia="zh-CN"/>
        </w:rPr>
        <w:t>年中央财政衔接推进乡村振兴补助资金</w:t>
      </w:r>
      <w:r>
        <w:rPr>
          <w:rFonts w:hint="eastAsia" w:ascii="方正小标宋_GBK" w:hAnsi="方正小标宋_GBK" w:eastAsia="方正小标宋_GBK" w:cs="方正小标宋_GBK"/>
          <w:sz w:val="44"/>
          <w:szCs w:val="44"/>
        </w:rPr>
        <w:t>的通知</w:t>
      </w:r>
      <w:bookmarkEnd w:id="4"/>
      <w:bookmarkEnd w:id="5"/>
    </w:p>
    <w:p w14:paraId="5162B11E">
      <w:pPr>
        <w:keepNext w:val="0"/>
        <w:keepLines w:val="0"/>
        <w:pageBreakBefore w:val="0"/>
        <w:widowControl w:val="0"/>
        <w:kinsoku/>
        <w:wordWrap/>
        <w:overflowPunct/>
        <w:topLinePunct w:val="0"/>
        <w:autoSpaceDE/>
        <w:autoSpaceDN/>
        <w:bidi w:val="0"/>
        <w:adjustRightInd/>
        <w:snapToGrid/>
        <w:spacing w:before="0" w:line="590" w:lineRule="exact"/>
        <w:ind w:left="0" w:leftChars="0" w:right="0" w:rightChars="0"/>
        <w:textAlignment w:val="auto"/>
        <w:outlineLvl w:val="9"/>
        <w:rPr>
          <w:rFonts w:hint="eastAsia"/>
        </w:rPr>
      </w:pPr>
    </w:p>
    <w:p w14:paraId="42D99579">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盘溪镇政府：</w:t>
      </w:r>
    </w:p>
    <w:p w14:paraId="569932CB">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《玉溪市财政局关于提前下达202</w:t>
      </w:r>
      <w:r>
        <w:rPr>
          <w:rFonts w:hint="eastAsia" w:ascii="Times New Roman" w:hAnsi="Times New Roman" w:eastAsia="方正仿宋_GBK"/>
          <w:sz w:val="32"/>
          <w:szCs w:val="32"/>
          <w:lang w:val="en-US" w:eastAsia="zh-CN" w:bidi="ar"/>
        </w:rPr>
        <w:t>5</w:t>
      </w:r>
      <w:r>
        <w:rPr>
          <w:rFonts w:hint="eastAsia" w:ascii="Times New Roman" w:hAnsi="Times New Roman" w:eastAsia="方正仿宋_GBK"/>
          <w:sz w:val="32"/>
          <w:szCs w:val="32"/>
          <w:lang w:eastAsia="zh-CN" w:bidi="ar"/>
        </w:rPr>
        <w:t>年中央财政衔接推进乡村振兴补助资金的通知》（玉财农〔</w:t>
      </w:r>
      <w:r>
        <w:rPr>
          <w:rFonts w:hint="eastAsia" w:ascii="Times New Roman" w:hAnsi="Times New Roman" w:eastAsia="方正仿宋_GBK"/>
          <w:sz w:val="32"/>
          <w:szCs w:val="32"/>
          <w:lang w:val="en-US" w:eastAsia="zh-CN" w:bidi="ar"/>
        </w:rPr>
        <w:t>2024</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203号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《华宁县人民政府关于202</w:t>
      </w:r>
      <w:r>
        <w:rPr>
          <w:rFonts w:hint="eastAsia" w:ascii="Times New Roman" w:hAnsi="Times New Roman" w:eastAsia="方正仿宋_GBK"/>
          <w:sz w:val="32"/>
          <w:szCs w:val="32"/>
          <w:lang w:val="en-US" w:eastAsia="zh-CN" w:bidi="ar"/>
        </w:rPr>
        <w:t>5</w:t>
      </w:r>
      <w:r>
        <w:rPr>
          <w:rFonts w:hint="eastAsia" w:ascii="Times New Roman" w:hAnsi="Times New Roman" w:eastAsia="方正仿宋_GBK"/>
          <w:sz w:val="32"/>
          <w:szCs w:val="32"/>
          <w:lang w:bidi="ar"/>
        </w:rPr>
        <w:t>年中央财政衔接推进乡村振兴补助资金项目分配及项目实施的批复</w:t>
      </w:r>
      <w:r>
        <w:rPr>
          <w:rFonts w:hint="eastAsia" w:ascii="Times New Roman" w:hAnsi="Times New Roman" w:eastAsia="方正仿宋_GBK"/>
          <w:sz w:val="32"/>
          <w:szCs w:val="32"/>
          <w:lang w:val="en-US" w:eastAsia="zh-CN" w:bidi="ar"/>
        </w:rPr>
        <w:t>》(华政复〔2025〕2号)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5</w:t>
      </w:r>
      <w:r>
        <w:rPr>
          <w:rFonts w:hint="eastAsia" w:ascii="Times New Roman" w:hAnsi="Times New Roman" w:eastAsia="方正仿宋_GBK"/>
          <w:sz w:val="32"/>
          <w:szCs w:val="32"/>
          <w:lang w:eastAsia="zh-CN" w:bidi="ar"/>
        </w:rPr>
        <w:t>年</w:t>
      </w:r>
      <w:r>
        <w:rPr>
          <w:rFonts w:hint="eastAsia" w:ascii="Times New Roman" w:hAnsi="Times New Roman" w:eastAsia="方正仿宋_GBK"/>
          <w:sz w:val="32"/>
          <w:szCs w:val="32"/>
          <w:lang w:val="en-US" w:eastAsia="zh-CN" w:bidi="ar"/>
        </w:rPr>
        <w:t>中央财政衔接推进乡村振兴补助资金210</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14:paraId="784CA35F">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一、</w:t>
      </w:r>
      <w:r>
        <w:rPr>
          <w:rFonts w:hint="eastAsia" w:ascii="方正黑体_GBK" w:hAnsi="方正黑体_GBK" w:eastAsia="方正黑体_GBK" w:cs="方正黑体_GBK"/>
          <w:b w:val="0"/>
          <w:bCs w:val="0"/>
          <w:sz w:val="32"/>
          <w:szCs w:val="32"/>
          <w:lang w:val="en-US" w:eastAsia="zh-CN" w:bidi="ar"/>
        </w:rPr>
        <w:t>切实管好用好衔接资金。</w:t>
      </w:r>
    </w:p>
    <w:p w14:paraId="608BA037">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认真贯彻落实党中央、国务院关于巩固拓展脱贫攻坚成果同乡村振兴有效衔接的决策部署和省委省政府工作安排，严格按照《财政部 国家乡村振兴局 国家发展改革委 国家民委 农业农村部 国家林业和草原局关于印发〈中央财政衔接推进乡村振兴补助资金管理办法〉的通知》（财农〔2021〕19号）、《财政部 农业农村部 国家乡村振兴局 国家发展改革委 国家民委 国家林草局关于加强中央财政衔接推进乡村振兴补助资金使用管理的指导意见》（财农〔2022〕14号）和《云南省财政厅等6部门关于修订〈加强中央和省级财政衔接推进乡村振兴补助资金使用管理的实施意见〉的通知》（云财规〔2024〕10号）等规定安排使用资金，督促指导各地加强资金项目管理，优先选择前期工作到位的项目，将资金尽快落到具体项目，加强项目实施的跟踪调度，加快资金支出，支出情况将作为资金分配的重要因素，持续强化资金监管，切实管好用好资金，充分发挥资金使用效益。</w:t>
      </w:r>
    </w:p>
    <w:p w14:paraId="13F911F2">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方正黑体_GBK" w:hAnsi="方正黑体_GBK" w:eastAsia="方正黑体_GBK" w:cs="方正黑体_GBK"/>
          <w:b w:val="0"/>
          <w:bCs w:val="0"/>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二、</w:t>
      </w:r>
      <w:r>
        <w:rPr>
          <w:rFonts w:hint="eastAsia" w:ascii="方正黑体_GBK" w:hAnsi="方正黑体_GBK" w:eastAsia="方正黑体_GBK" w:cs="方正黑体_GBK"/>
          <w:b w:val="0"/>
          <w:bCs w:val="0"/>
          <w:sz w:val="32"/>
          <w:szCs w:val="32"/>
          <w:lang w:val="en-US" w:eastAsia="zh-CN" w:bidi="ar"/>
        </w:rPr>
        <w:t>突出衔接资金支持重点</w:t>
      </w:r>
    </w:p>
    <w:p w14:paraId="789E3D64">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lang w:eastAsia="zh-CN"/>
        </w:rPr>
      </w:pPr>
      <w:r>
        <w:rPr>
          <w:rFonts w:hint="eastAsia" w:ascii="Times New Roman" w:hAnsi="Times New Roman" w:eastAsia="方正仿宋_GBK"/>
          <w:sz w:val="32"/>
          <w:szCs w:val="32"/>
          <w:lang w:val="en-US" w:eastAsia="zh-CN" w:bidi="ar"/>
        </w:rPr>
        <w:t>贯彻落实党的二十大和二十届三中全会精神、中央和省委省政府关于更多依靠发展来巩固拓展脱贫攻坚成果的要求，督促相关部门加强项目谋划等前期工作，突出衔接资金支持重点，优先支持联农带农富农产业发展，2025年用于产业发展的中央衔接资金占比原则上不得低于下达你地区资金总规模的60%，进一步巩固拓展脱贫攻坚成果，增强脱贫地区和脱贫群众内生发展动力。</w:t>
      </w:r>
    </w:p>
    <w:p w14:paraId="096F84A4">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b/>
          <w:bCs/>
          <w:sz w:val="32"/>
          <w:szCs w:val="32"/>
          <w:lang w:val="en-US" w:eastAsia="zh-CN" w:bidi="ar"/>
        </w:rPr>
      </w:pPr>
      <w:r>
        <w:rPr>
          <w:rFonts w:hint="eastAsia" w:ascii="方正黑体_GBK" w:hAnsi="方正黑体_GBK" w:eastAsia="方正黑体_GBK" w:cs="方正黑体_GBK"/>
          <w:b w:val="0"/>
          <w:bCs w:val="0"/>
          <w:kern w:val="2"/>
          <w:sz w:val="32"/>
          <w:szCs w:val="32"/>
          <w:lang w:val="en-US" w:eastAsia="zh-CN" w:bidi="ar"/>
        </w:rPr>
        <w:t>三、认真落实预算执行常态化监督有关要求</w:t>
      </w:r>
    </w:p>
    <w:p w14:paraId="283F1A69">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b w:val="0"/>
          <w:bCs w:val="0"/>
          <w:sz w:val="32"/>
          <w:szCs w:val="32"/>
          <w:lang w:val="en-US" w:eastAsia="zh-CN" w:bidi="ar"/>
        </w:rPr>
      </w:pPr>
      <w:r>
        <w:rPr>
          <w:rFonts w:hint="eastAsia" w:ascii="Times New Roman" w:hAnsi="Times New Roman" w:eastAsia="方正仿宋_GBK"/>
          <w:sz w:val="32"/>
          <w:szCs w:val="32"/>
          <w:lang w:val="en-US" w:eastAsia="zh-CN" w:bidi="ar"/>
        </w:rPr>
        <w:t>此次下达的中央财政衔接资金列入转移支付</w:t>
      </w:r>
      <w:r>
        <w:rPr>
          <w:rFonts w:hint="eastAsia" w:ascii="Times New Roman" w:hAnsi="Times New Roman" w:eastAsia="方正仿宋_GBK"/>
          <w:b w:val="0"/>
          <w:bCs w:val="0"/>
          <w:sz w:val="32"/>
          <w:szCs w:val="32"/>
          <w:lang w:val="en-US" w:eastAsia="zh-CN" w:bidi="ar"/>
        </w:rPr>
        <w:t>预算执行常态化监督范</w:t>
      </w:r>
      <w:r>
        <w:rPr>
          <w:rFonts w:hint="eastAsia" w:ascii="Times New Roman" w:hAnsi="Times New Roman" w:eastAsia="方正仿宋_GBK"/>
          <w:sz w:val="32"/>
          <w:szCs w:val="32"/>
          <w:lang w:val="en-US" w:eastAsia="zh-CN" w:bidi="ar"/>
        </w:rPr>
        <w:t>，各级财政部门要在</w:t>
      </w:r>
      <w:r>
        <w:rPr>
          <w:rFonts w:hint="eastAsia" w:ascii="Times New Roman" w:hAnsi="Times New Roman" w:eastAsia="方正仿宋_GBK"/>
          <w:b w:val="0"/>
          <w:bCs w:val="0"/>
          <w:sz w:val="32"/>
          <w:szCs w:val="32"/>
          <w:lang w:val="en-US" w:eastAsia="zh-CN" w:bidi="ar"/>
        </w:rPr>
        <w:t>预算一体化系统及时接收登录预算指标，并保持“追踪”</w:t>
      </w:r>
      <w:r>
        <w:rPr>
          <w:rFonts w:hint="eastAsia" w:ascii="Times New Roman" w:hAnsi="Times New Roman" w:eastAsia="方正仿宋_GBK"/>
          <w:sz w:val="32"/>
          <w:szCs w:val="32"/>
          <w:lang w:val="en-US" w:eastAsia="zh-CN" w:bidi="ar"/>
        </w:rPr>
        <w:t>标识不变，将资金分解落实到单位和具体项目时，对资金来源既包含中央财政衔接资金又包含地方对应安排资金的，应在预算指标文件、</w:t>
      </w:r>
      <w:r>
        <w:rPr>
          <w:rFonts w:hint="eastAsia" w:ascii="Times New Roman" w:hAnsi="Times New Roman" w:eastAsia="方正仿宋_GBK"/>
          <w:b w:val="0"/>
          <w:bCs w:val="0"/>
          <w:sz w:val="32"/>
          <w:szCs w:val="32"/>
          <w:lang w:val="en-US" w:eastAsia="zh-CN" w:bidi="ar"/>
        </w:rPr>
        <w:t>预算一体化系统中按</w:t>
      </w:r>
      <w:r>
        <w:rPr>
          <w:rFonts w:hint="eastAsia" w:ascii="Times New Roman" w:hAnsi="Times New Roman" w:eastAsia="方正仿宋_GBK"/>
          <w:sz w:val="32"/>
          <w:szCs w:val="32"/>
          <w:lang w:val="en-US" w:eastAsia="zh-CN" w:bidi="ar"/>
        </w:rPr>
        <w:t>按资金明细来源分别列示和登录</w:t>
      </w:r>
      <w:r>
        <w:rPr>
          <w:rFonts w:hint="eastAsia" w:ascii="Times New Roman" w:hAnsi="Times New Roman" w:eastAsia="方正仿宋_GBK"/>
          <w:b w:val="0"/>
          <w:bCs w:val="0"/>
          <w:sz w:val="32"/>
          <w:szCs w:val="32"/>
          <w:lang w:val="en-US" w:eastAsia="zh-CN" w:bidi="ar"/>
        </w:rPr>
        <w:t>预算</w:t>
      </w:r>
      <w:r>
        <w:rPr>
          <w:rFonts w:hint="eastAsia" w:ascii="Times New Roman" w:hAnsi="Times New Roman" w:eastAsia="方正仿宋_GBK"/>
          <w:sz w:val="32"/>
          <w:szCs w:val="32"/>
          <w:lang w:val="en-US" w:eastAsia="zh-CN" w:bidi="ar"/>
        </w:rPr>
        <w:t>指标。应在收到上级资金后30日内将资金分解下达到具体单位和项目（资金下达超时情况将纳入后续资金测算分配因素）。各级财政部门要依托</w:t>
      </w:r>
      <w:r>
        <w:rPr>
          <w:rFonts w:hint="eastAsia" w:ascii="Times New Roman" w:hAnsi="Times New Roman" w:eastAsia="方正仿宋_GBK"/>
          <w:b w:val="0"/>
          <w:bCs w:val="0"/>
          <w:sz w:val="32"/>
          <w:szCs w:val="32"/>
          <w:lang w:val="en-US" w:eastAsia="zh-CN" w:bidi="ar"/>
        </w:rPr>
        <w:t>预算一体化系统转移支付监控模块，加强转移支付管理使用规范性和有效性。</w:t>
      </w:r>
    </w:p>
    <w:p w14:paraId="73D50D9A">
      <w:pPr>
        <w:pStyle w:val="2"/>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40" w:firstLineChars="200"/>
        <w:textAlignment w:val="auto"/>
        <w:rPr>
          <w:rFonts w:hint="eastAsia" w:ascii="Times New Roman" w:hAnsi="Times New Roman" w:eastAsia="方正仿宋_GBK"/>
          <w:b w:val="0"/>
          <w:bCs w:val="0"/>
          <w:sz w:val="32"/>
          <w:szCs w:val="32"/>
          <w:lang w:val="en-US" w:eastAsia="zh-CN" w:bidi="ar"/>
        </w:rPr>
      </w:pPr>
    </w:p>
    <w:p w14:paraId="4BAB05D1">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val="0"/>
          <w:bCs w:val="0"/>
          <w:sz w:val="32"/>
          <w:szCs w:val="32"/>
          <w:lang w:eastAsia="zh-CN" w:bidi="ar"/>
        </w:rPr>
        <w:t>附件</w:t>
      </w:r>
      <w:r>
        <w:rPr>
          <w:rFonts w:hint="eastAsia" w:ascii="Times New Roman" w:hAnsi="Times New Roman" w:eastAsia="方正仿宋_GBK"/>
          <w:b/>
          <w:bCs/>
          <w:sz w:val="32"/>
          <w:szCs w:val="32"/>
          <w:lang w:eastAsia="zh-CN" w:bidi="ar"/>
        </w:rPr>
        <w:t>：</w:t>
      </w:r>
      <w:r>
        <w:rPr>
          <w:rFonts w:hint="eastAsia" w:ascii="Times New Roman" w:hAnsi="Times New Roman" w:eastAsia="方正仿宋_GBK"/>
          <w:sz w:val="32"/>
          <w:szCs w:val="32"/>
          <w:lang w:val="en-US" w:eastAsia="zh-CN" w:bidi="ar"/>
        </w:rPr>
        <w:t>1.2025年中央财政衔接推进乡村振兴补助资金表</w:t>
      </w:r>
    </w:p>
    <w:p w14:paraId="66AA3700">
      <w:pPr>
        <w:keepNext w:val="0"/>
        <w:keepLines w:val="0"/>
        <w:pageBreakBefore w:val="0"/>
        <w:widowControl w:val="0"/>
        <w:kinsoku/>
        <w:wordWrap/>
        <w:overflowPunct/>
        <w:topLinePunct w:val="0"/>
        <w:autoSpaceDE/>
        <w:autoSpaceDN/>
        <w:bidi w:val="0"/>
        <w:adjustRightInd/>
        <w:snapToGrid/>
        <w:spacing w:line="590" w:lineRule="exact"/>
        <w:ind w:left="1916" w:leftChars="760" w:hanging="320" w:hangingChars="100"/>
        <w:textAlignment w:val="auto"/>
        <w:rPr>
          <w:rFonts w:hint="eastAsia" w:ascii="方正仿宋_GBK" w:hAnsi="方正仿宋_GBK" w:eastAsia="方正仿宋_GBK" w:cs="方正仿宋_GBK"/>
          <w:b w:val="0"/>
          <w:bCs/>
          <w:sz w:val="32"/>
          <w:szCs w:val="32"/>
          <w:lang w:eastAsia="zh-CN" w:bidi="ar"/>
        </w:rPr>
      </w:pPr>
      <w:r>
        <w:rPr>
          <w:rFonts w:hint="eastAsia" w:ascii="Times New Roman" w:hAnsi="Times New Roman" w:eastAsia="方正仿宋_GBK"/>
          <w:sz w:val="32"/>
          <w:szCs w:val="32"/>
          <w:lang w:val="en-US" w:eastAsia="zh-CN" w:bidi="ar"/>
        </w:rPr>
        <w:t>2.2025年中央</w:t>
      </w:r>
      <w:r>
        <w:rPr>
          <w:rFonts w:hint="eastAsia" w:ascii="方正仿宋_GBK" w:hAnsi="方正仿宋_GBK" w:eastAsia="方正仿宋_GBK" w:cs="方正仿宋_GBK"/>
          <w:b w:val="0"/>
          <w:bCs/>
          <w:i w:val="0"/>
          <w:color w:val="000000"/>
          <w:kern w:val="0"/>
          <w:sz w:val="32"/>
          <w:szCs w:val="32"/>
          <w:u w:val="none"/>
          <w:lang w:val="en-US" w:eastAsia="zh-CN" w:bidi="ar"/>
        </w:rPr>
        <w:t>财政衔接推进乡村振兴资金绩效目标表</w:t>
      </w:r>
    </w:p>
    <w:p w14:paraId="282EC138">
      <w:pPr>
        <w:keepNext w:val="0"/>
        <w:keepLines w:val="0"/>
        <w:pageBreakBefore w:val="0"/>
        <w:widowControl w:val="0"/>
        <w:kinsoku/>
        <w:wordWrap/>
        <w:overflowPunct/>
        <w:topLinePunct w:val="0"/>
        <w:autoSpaceDE/>
        <w:autoSpaceDN/>
        <w:bidi w:val="0"/>
        <w:adjustRightInd/>
        <w:snapToGrid/>
        <w:spacing w:line="590" w:lineRule="exact"/>
        <w:ind w:left="0" w:leftChars="0"/>
        <w:jc w:val="left"/>
        <w:textAlignment w:val="auto"/>
        <w:rPr>
          <w:rFonts w:ascii="Times New Roman" w:hAnsi="Times New Roman" w:eastAsia="方正仿宋_GBK"/>
          <w:color w:val="FF0000"/>
          <w:sz w:val="32"/>
          <w:szCs w:val="32"/>
        </w:rPr>
      </w:pPr>
    </w:p>
    <w:p w14:paraId="5C36ED74">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textAlignment w:val="auto"/>
        <w:rPr>
          <w:rFonts w:ascii="Times New Roman" w:hAnsi="Times New Roman" w:eastAsia="方正仿宋_GBK"/>
          <w:color w:val="FF0000"/>
          <w:sz w:val="32"/>
          <w:szCs w:val="32"/>
        </w:rPr>
      </w:pPr>
      <w:r>
        <w:rPr>
          <w:sz w:val="32"/>
        </w:rPr>
        <w:pict>
          <v:shape id="_x0000_s1026" o:spid="_x0000_s1026" o:spt="201" type="#_x0000_t201" style="position:absolute;left:0pt;margin-left:264.1pt;margin-top:12.05pt;height:116pt;width:116pt;z-index:-251652096;mso-width-relative:page;mso-height-relative:page;" o:ole="t" filled="f" o:preferrelative="t" stroked="f" coordsize="21600,21600">
            <v:path/>
            <v:fill on="f" focussize="0,0"/>
            <v:stroke on="f"/>
            <v:imagedata r:id="rId6" o:title=""/>
            <o:lock v:ext="edit" aspectratio="f"/>
          </v:shape>
          <w:control r:id="rId5" w:name="CWordOLECtrl1" w:shapeid="_x0000_s1026"/>
        </w:pict>
      </w:r>
    </w:p>
    <w:p w14:paraId="257B5F53">
      <w:pPr>
        <w:keepNext w:val="0"/>
        <w:keepLines w:val="0"/>
        <w:pageBreakBefore w:val="0"/>
        <w:widowControl w:val="0"/>
        <w:kinsoku/>
        <w:wordWrap/>
        <w:overflowPunct/>
        <w:topLinePunct w:val="0"/>
        <w:autoSpaceDE/>
        <w:autoSpaceDN/>
        <w:bidi w:val="0"/>
        <w:adjustRightInd/>
        <w:snapToGrid/>
        <w:spacing w:line="590" w:lineRule="exact"/>
        <w:ind w:left="0" w:leftChars="0"/>
        <w:textAlignment w:val="auto"/>
        <w:rPr>
          <w:rFonts w:hint="eastAsia" w:ascii="Times New Roman" w:hAnsi="Times New Roman" w:eastAsia="方正仿宋_GBK"/>
          <w:sz w:val="32"/>
          <w:szCs w:val="32"/>
        </w:rPr>
      </w:pPr>
    </w:p>
    <w:p w14:paraId="334FFDC3">
      <w:pPr>
        <w:keepNext w:val="0"/>
        <w:keepLines w:val="0"/>
        <w:pageBreakBefore w:val="0"/>
        <w:widowControl w:val="0"/>
        <w:tabs>
          <w:tab w:val="left" w:pos="6790"/>
        </w:tabs>
        <w:kinsoku/>
        <w:wordWrap/>
        <w:overflowPunct/>
        <w:topLinePunct w:val="0"/>
        <w:autoSpaceDE/>
        <w:autoSpaceDN/>
        <w:bidi w:val="0"/>
        <w:adjustRightInd/>
        <w:snapToGrid/>
        <w:spacing w:line="590" w:lineRule="exact"/>
        <w:ind w:left="0" w:leftChars="0"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华宁县</w:t>
      </w:r>
      <w:r>
        <w:rPr>
          <w:rFonts w:ascii="Times New Roman" w:hAnsi="Times New Roman" w:eastAsia="方正仿宋_GBK"/>
          <w:sz w:val="32"/>
          <w:szCs w:val="32"/>
        </w:rPr>
        <w:t>财政局</w:t>
      </w:r>
    </w:p>
    <w:p w14:paraId="51ADCD36">
      <w:pPr>
        <w:keepNext w:val="0"/>
        <w:keepLines w:val="0"/>
        <w:pageBreakBefore w:val="0"/>
        <w:widowControl w:val="0"/>
        <w:kinsoku/>
        <w:wordWrap/>
        <w:overflowPunct/>
        <w:topLinePunct w:val="0"/>
        <w:autoSpaceDE/>
        <w:autoSpaceDN/>
        <w:bidi w:val="0"/>
        <w:adjustRightInd/>
        <w:snapToGrid/>
        <w:spacing w:line="590" w:lineRule="exact"/>
        <w:ind w:left="0" w:leftChars="0" w:firstLine="5440" w:firstLineChars="1700"/>
        <w:textAlignment w:val="auto"/>
        <w:rPr>
          <w:rFonts w:ascii="Times New Roman" w:hAnsi="Times New Roman" w:eastAsia="方正仿宋_GBK"/>
          <w:sz w:val="32"/>
          <w:szCs w:val="32"/>
        </w:rPr>
        <w:sectPr>
          <w:footerReference r:id="rId3" w:type="default"/>
          <w:pgSz w:w="11906" w:h="16838"/>
          <w:pgMar w:top="2041" w:right="1474" w:bottom="1304" w:left="1587" w:header="851" w:footer="992" w:gutter="0"/>
          <w:pgNumType w:fmt="decimal"/>
          <w:cols w:space="720" w:num="1"/>
          <w:docGrid w:type="lines" w:linePitch="312" w:charSpace="0"/>
        </w:sect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仿宋_GB2312"/>
          <w:sz w:val="32"/>
          <w:szCs w:val="32"/>
          <w:lang w:val="en-US" w:eastAsia="zh-CN"/>
        </w:rPr>
        <w:t>1</w:t>
      </w:r>
      <w:r>
        <w:rPr>
          <w:rFonts w:ascii="Times New Roman" w:hAnsi="Times New Roman" w:eastAsia="方正仿宋_GBK"/>
          <w:sz w:val="32"/>
          <w:szCs w:val="32"/>
        </w:rPr>
        <w:t>月</w:t>
      </w:r>
      <w:r>
        <w:rPr>
          <w:rFonts w:hint="eastAsia" w:ascii="Times New Roman" w:hAnsi="Times New Roman" w:eastAsia="仿宋_GB2312"/>
          <w:sz w:val="32"/>
          <w:szCs w:val="32"/>
          <w:lang w:val="en-US" w:eastAsia="zh-CN"/>
        </w:rPr>
        <w:t>3</w:t>
      </w:r>
      <w:r>
        <w:rPr>
          <w:rFonts w:ascii="Times New Roman" w:hAnsi="Times New Roman" w:eastAsia="方正仿宋_GBK"/>
          <w:sz w:val="32"/>
          <w:szCs w:val="32"/>
        </w:rPr>
        <w:t>日</w:t>
      </w:r>
    </w:p>
    <w:p w14:paraId="7A550B00">
      <w:pPr>
        <w:spacing w:line="56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14:paraId="7DE3A008">
      <w:pPr>
        <w:pStyle w:val="2"/>
        <w:rPr>
          <w:rFonts w:hint="default"/>
          <w:lang w:val="en-US" w:eastAsia="zh-CN"/>
        </w:rPr>
      </w:pPr>
    </w:p>
    <w:p w14:paraId="6EFC2641">
      <w:pPr>
        <w:spacing w:line="560" w:lineRule="exact"/>
        <w:jc w:val="center"/>
        <w:rPr>
          <w:rFonts w:ascii="Times New Roman" w:hAnsi="Times New Roman" w:eastAsia="黑体"/>
          <w:sz w:val="32"/>
          <w:szCs w:val="32"/>
        </w:rPr>
      </w:pPr>
      <w:r>
        <w:rPr>
          <w:rFonts w:hint="default" w:ascii="Times New Roman" w:hAnsi="Times New Roman" w:eastAsia="方正小标宋_GBK" w:cs="Times New Roman"/>
          <w:sz w:val="40"/>
          <w:szCs w:val="40"/>
          <w:lang w:val="en-US" w:eastAsia="zh-CN"/>
        </w:rPr>
        <w:t>2025</w:t>
      </w:r>
      <w:r>
        <w:rPr>
          <w:rFonts w:hint="eastAsia" w:ascii="方正小标宋_GBK" w:hAnsi="方正小标宋_GBK" w:eastAsia="方正小标宋_GBK" w:cs="方正小标宋_GBK"/>
          <w:sz w:val="40"/>
          <w:szCs w:val="40"/>
          <w:lang w:val="en-US" w:eastAsia="zh-CN"/>
        </w:rPr>
        <w:t>年中央财政衔接推进乡村振兴补助资金</w:t>
      </w:r>
      <w:r>
        <w:rPr>
          <w:rFonts w:hint="eastAsia" w:ascii="方正小标宋_GBK" w:hAnsi="方正小标宋_GBK" w:eastAsia="方正小标宋_GBK" w:cs="方正小标宋_GBK"/>
          <w:sz w:val="40"/>
          <w:szCs w:val="40"/>
        </w:rPr>
        <w:t>表</w:t>
      </w:r>
    </w:p>
    <w:tbl>
      <w:tblPr>
        <w:tblStyle w:val="6"/>
        <w:tblpPr w:leftFromText="180" w:rightFromText="180" w:vertAnchor="text" w:horzAnchor="margin" w:tblpX="1"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356"/>
        <w:gridCol w:w="1869"/>
        <w:gridCol w:w="1512"/>
        <w:gridCol w:w="2413"/>
        <w:gridCol w:w="1814"/>
        <w:gridCol w:w="1391"/>
        <w:gridCol w:w="704"/>
      </w:tblGrid>
      <w:tr w14:paraId="49CA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92" w:type="dxa"/>
            <w:tcBorders>
              <w:top w:val="single" w:color="auto" w:sz="4" w:space="0"/>
            </w:tcBorders>
            <w:vAlign w:val="center"/>
          </w:tcPr>
          <w:p w14:paraId="29F918AF">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14:paraId="1668B211">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356" w:type="dxa"/>
            <w:tcBorders>
              <w:top w:val="single" w:color="auto" w:sz="4" w:space="0"/>
            </w:tcBorders>
            <w:vAlign w:val="center"/>
          </w:tcPr>
          <w:p w14:paraId="06AA3981">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869" w:type="dxa"/>
            <w:tcBorders>
              <w:top w:val="single" w:color="auto" w:sz="4" w:space="0"/>
            </w:tcBorders>
            <w:vAlign w:val="center"/>
          </w:tcPr>
          <w:p w14:paraId="4B3D14FA">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512" w:type="dxa"/>
            <w:tcBorders>
              <w:top w:val="single" w:color="auto" w:sz="4" w:space="0"/>
            </w:tcBorders>
            <w:vAlign w:val="center"/>
          </w:tcPr>
          <w:p w14:paraId="1BDEE7C7">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413" w:type="dxa"/>
            <w:tcBorders>
              <w:top w:val="single" w:color="auto" w:sz="4" w:space="0"/>
            </w:tcBorders>
            <w:vAlign w:val="center"/>
          </w:tcPr>
          <w:p w14:paraId="3634B41A">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814" w:type="dxa"/>
            <w:tcBorders>
              <w:top w:val="single" w:color="auto" w:sz="4" w:space="0"/>
            </w:tcBorders>
            <w:vAlign w:val="center"/>
          </w:tcPr>
          <w:p w14:paraId="368D4253">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391" w:type="dxa"/>
            <w:tcBorders>
              <w:top w:val="single" w:color="auto" w:sz="4" w:space="0"/>
            </w:tcBorders>
            <w:vAlign w:val="center"/>
          </w:tcPr>
          <w:p w14:paraId="5366F450">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704" w:type="dxa"/>
            <w:tcBorders>
              <w:top w:val="single" w:color="auto" w:sz="4" w:space="0"/>
            </w:tcBorders>
            <w:vAlign w:val="center"/>
          </w:tcPr>
          <w:p w14:paraId="1C3349D5">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14:paraId="1FE2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692" w:type="dxa"/>
            <w:vAlign w:val="center"/>
          </w:tcPr>
          <w:p w14:paraId="53EE3F01">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572001 盘溪镇政府</w:t>
            </w:r>
          </w:p>
        </w:tc>
        <w:tc>
          <w:tcPr>
            <w:tcW w:w="1356" w:type="dxa"/>
            <w:vAlign w:val="center"/>
          </w:tcPr>
          <w:p w14:paraId="0F08FB5C">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2130505 生产发展</w:t>
            </w:r>
          </w:p>
        </w:tc>
        <w:tc>
          <w:tcPr>
            <w:tcW w:w="1869" w:type="dxa"/>
            <w:vAlign w:val="center"/>
          </w:tcPr>
          <w:p w14:paraId="552A8EBA">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50302 基础设施建设</w:t>
            </w:r>
          </w:p>
        </w:tc>
        <w:tc>
          <w:tcPr>
            <w:tcW w:w="1512" w:type="dxa"/>
            <w:vAlign w:val="center"/>
          </w:tcPr>
          <w:p w14:paraId="1729FFA0">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312民生类</w:t>
            </w:r>
          </w:p>
        </w:tc>
        <w:tc>
          <w:tcPr>
            <w:tcW w:w="2413" w:type="dxa"/>
            <w:vAlign w:val="center"/>
          </w:tcPr>
          <w:p w14:paraId="69261EB3">
            <w:pPr>
              <w:spacing w:line="300" w:lineRule="exact"/>
              <w:jc w:val="lef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2025年度中央财政扶持新型农村集体经济发展项目</w:t>
            </w:r>
          </w:p>
        </w:tc>
        <w:tc>
          <w:tcPr>
            <w:tcW w:w="1814" w:type="dxa"/>
            <w:vAlign w:val="center"/>
          </w:tcPr>
          <w:p w14:paraId="75A8BFFE">
            <w:pPr>
              <w:spacing w:line="300" w:lineRule="exact"/>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202</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lang w:eastAsia="zh-CN"/>
              </w:rPr>
              <w:t>年中央财政衔接推进乡村振兴补助资金</w:t>
            </w:r>
          </w:p>
        </w:tc>
        <w:tc>
          <w:tcPr>
            <w:tcW w:w="1391" w:type="dxa"/>
            <w:vAlign w:val="center"/>
          </w:tcPr>
          <w:p w14:paraId="58304670">
            <w:pPr>
              <w:spacing w:line="3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lang w:val="en" w:eastAsia="zh-CN"/>
              </w:rPr>
              <w:t>,</w:t>
            </w:r>
            <w:r>
              <w:rPr>
                <w:rFonts w:hint="default" w:ascii="Times New Roman" w:hAnsi="Times New Roman" w:eastAsia="方正仿宋_GBK" w:cs="Times New Roman"/>
                <w:lang w:val="en-US" w:eastAsia="zh-CN"/>
              </w:rPr>
              <w:t>100</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000</w:t>
            </w:r>
            <w:r>
              <w:rPr>
                <w:rFonts w:hint="default" w:ascii="Times New Roman" w:hAnsi="Times New Roman" w:eastAsia="方正仿宋_GBK" w:cs="Times New Roman"/>
              </w:rPr>
              <w:t>.00</w:t>
            </w:r>
          </w:p>
        </w:tc>
        <w:tc>
          <w:tcPr>
            <w:tcW w:w="704" w:type="dxa"/>
            <w:vAlign w:val="center"/>
          </w:tcPr>
          <w:p w14:paraId="14BDEFAF">
            <w:pPr>
              <w:spacing w:line="300" w:lineRule="exact"/>
              <w:jc w:val="center"/>
              <w:rPr>
                <w:rFonts w:hint="default" w:ascii="Times New Roman" w:hAnsi="Times New Roman" w:eastAsia="方正仿宋_GBK" w:cs="Times New Roman"/>
                <w:color w:val="000000"/>
                <w:sz w:val="21"/>
                <w:szCs w:val="21"/>
              </w:rPr>
            </w:pPr>
          </w:p>
        </w:tc>
      </w:tr>
      <w:tr w14:paraId="34E9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0656" w:type="dxa"/>
            <w:gridSpan w:val="6"/>
            <w:vAlign w:val="center"/>
          </w:tcPr>
          <w:p w14:paraId="0445A5F5">
            <w:pPr>
              <w:spacing w:line="300" w:lineRule="exact"/>
              <w:jc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合计</w:t>
            </w:r>
          </w:p>
        </w:tc>
        <w:tc>
          <w:tcPr>
            <w:tcW w:w="1391" w:type="dxa"/>
            <w:vAlign w:val="center"/>
          </w:tcPr>
          <w:p w14:paraId="5BD7FE05">
            <w:pPr>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lang w:val="en" w:eastAsia="zh-CN"/>
              </w:rPr>
              <w:t>,</w:t>
            </w:r>
            <w:r>
              <w:rPr>
                <w:rFonts w:hint="default" w:ascii="Times New Roman" w:hAnsi="Times New Roman" w:eastAsia="方正仿宋_GBK" w:cs="Times New Roman"/>
                <w:lang w:val="en-US" w:eastAsia="zh-CN"/>
              </w:rPr>
              <w:t>100</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000</w:t>
            </w:r>
            <w:r>
              <w:rPr>
                <w:rFonts w:hint="default" w:ascii="Times New Roman" w:hAnsi="Times New Roman" w:eastAsia="方正仿宋_GBK" w:cs="Times New Roman"/>
              </w:rPr>
              <w:t>.00</w:t>
            </w:r>
          </w:p>
        </w:tc>
        <w:tc>
          <w:tcPr>
            <w:tcW w:w="704" w:type="dxa"/>
            <w:vAlign w:val="center"/>
          </w:tcPr>
          <w:p w14:paraId="15B49B22">
            <w:pPr>
              <w:spacing w:line="300" w:lineRule="exact"/>
              <w:jc w:val="center"/>
              <w:rPr>
                <w:rFonts w:hint="default" w:ascii="Times New Roman" w:hAnsi="Times New Roman" w:eastAsia="方正仿宋_GBK" w:cs="Times New Roman"/>
                <w:color w:val="000000"/>
                <w:sz w:val="21"/>
                <w:szCs w:val="21"/>
              </w:rPr>
            </w:pPr>
          </w:p>
        </w:tc>
      </w:tr>
    </w:tbl>
    <w:p w14:paraId="52502FB2">
      <w:pPr>
        <w:spacing w:line="300" w:lineRule="exact"/>
        <w:jc w:val="left"/>
        <w:rPr>
          <w:rFonts w:ascii="Times New Roman" w:hAnsi="Times New Roman" w:eastAsia="仿宋_GB2312"/>
          <w:sz w:val="28"/>
          <w:szCs w:val="28"/>
        </w:rPr>
      </w:pPr>
    </w:p>
    <w:p w14:paraId="7C7364E0">
      <w:pPr>
        <w:spacing w:line="300" w:lineRule="exact"/>
        <w:jc w:val="left"/>
        <w:rPr>
          <w:rFonts w:ascii="Times New Roman" w:hAnsi="Times New Roman" w:eastAsia="仿宋_GB2312"/>
          <w:sz w:val="28"/>
          <w:szCs w:val="28"/>
        </w:rPr>
      </w:pPr>
    </w:p>
    <w:p w14:paraId="419F680F">
      <w:pPr>
        <w:spacing w:line="300" w:lineRule="exact"/>
        <w:jc w:val="left"/>
        <w:rPr>
          <w:rFonts w:ascii="Times New Roman" w:hAnsi="Times New Roman" w:eastAsia="仿宋_GB2312"/>
          <w:sz w:val="28"/>
          <w:szCs w:val="28"/>
        </w:rPr>
      </w:pPr>
    </w:p>
    <w:p w14:paraId="00AC050D">
      <w:pPr>
        <w:spacing w:line="300" w:lineRule="exact"/>
        <w:jc w:val="left"/>
        <w:rPr>
          <w:rFonts w:ascii="Times New Roman" w:hAnsi="Times New Roman" w:eastAsia="仿宋_GB2312"/>
          <w:sz w:val="28"/>
          <w:szCs w:val="28"/>
        </w:rPr>
      </w:pPr>
    </w:p>
    <w:p w14:paraId="19197849">
      <w:pPr>
        <w:spacing w:line="300" w:lineRule="exact"/>
        <w:jc w:val="left"/>
        <w:rPr>
          <w:rFonts w:ascii="Times New Roman" w:hAnsi="Times New Roman" w:eastAsia="仿宋_GB2312"/>
          <w:sz w:val="28"/>
          <w:szCs w:val="28"/>
        </w:rPr>
      </w:pPr>
    </w:p>
    <w:p w14:paraId="2355A573">
      <w:pPr>
        <w:spacing w:line="300" w:lineRule="exact"/>
        <w:jc w:val="left"/>
        <w:rPr>
          <w:rFonts w:ascii="Times New Roman" w:hAnsi="Times New Roman" w:eastAsia="仿宋_GB2312"/>
          <w:sz w:val="28"/>
          <w:szCs w:val="28"/>
        </w:rPr>
      </w:pPr>
    </w:p>
    <w:p w14:paraId="0E67D755">
      <w:pPr>
        <w:spacing w:line="300" w:lineRule="exact"/>
        <w:jc w:val="left"/>
        <w:rPr>
          <w:rFonts w:ascii="Times New Roman" w:hAnsi="Times New Roman" w:eastAsia="仿宋_GB2312"/>
          <w:sz w:val="28"/>
          <w:szCs w:val="28"/>
        </w:rPr>
        <w:sectPr>
          <w:pgSz w:w="16838" w:h="11906" w:orient="landscape"/>
          <w:pgMar w:top="1474" w:right="2098" w:bottom="1134" w:left="1587" w:header="851" w:footer="992" w:gutter="0"/>
          <w:pgNumType w:fmt="decimal"/>
          <w:cols w:space="0" w:num="1"/>
          <w:docGrid w:type="lines" w:linePitch="312" w:charSpace="0"/>
        </w:sectPr>
      </w:pPr>
    </w:p>
    <w:tbl>
      <w:tblPr>
        <w:tblStyle w:val="6"/>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1245"/>
        <w:gridCol w:w="2069"/>
        <w:gridCol w:w="2774"/>
        <w:gridCol w:w="1905"/>
      </w:tblGrid>
      <w:tr w14:paraId="2463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062" w:type="dxa"/>
            <w:gridSpan w:val="5"/>
            <w:tcBorders>
              <w:top w:val="nil"/>
              <w:left w:val="nil"/>
              <w:bottom w:val="nil"/>
              <w:right w:val="nil"/>
            </w:tcBorders>
            <w:shd w:val="clear" w:color="auto" w:fill="auto"/>
            <w:vAlign w:val="center"/>
          </w:tcPr>
          <w:p w14:paraId="1A359CA4">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财政衔接推进乡村振兴资金绩效目标表</w:t>
            </w:r>
          </w:p>
        </w:tc>
      </w:tr>
      <w:tr w14:paraId="7367B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1E0F0">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项目名称</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3DF1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2025年度中央财政扶持新型农村集体经济发展项目</w:t>
            </w:r>
          </w:p>
        </w:tc>
      </w:tr>
      <w:tr w14:paraId="0DBC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9AAB2">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主管部门</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11686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中国共产党华宁县委员会组织部</w:t>
            </w:r>
          </w:p>
        </w:tc>
      </w:tr>
      <w:tr w14:paraId="1E5E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7F378">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实施单位</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AF8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华宁县盘溪镇人民政府</w:t>
            </w:r>
          </w:p>
        </w:tc>
      </w:tr>
      <w:tr w14:paraId="76A2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0092C">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项目资金</w:t>
            </w: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599A9">
            <w:pPr>
              <w:keepNext w:val="0"/>
              <w:keepLines w:val="0"/>
              <w:widowControl/>
              <w:suppressLineNumbers w:val="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年度资金总额（万元）</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E58C">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360</w:t>
            </w:r>
          </w:p>
        </w:tc>
      </w:tr>
      <w:tr w14:paraId="028D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31D9A">
            <w:pPr>
              <w:jc w:val="center"/>
              <w:rPr>
                <w:rFonts w:hint="eastAsia" w:ascii="仿宋_GB2312" w:hAnsi="宋体" w:eastAsia="仿宋_GB2312" w:cs="仿宋_GB2312"/>
                <w:b/>
                <w:bCs/>
                <w:i w:val="0"/>
                <w:iCs w:val="0"/>
                <w:color w:val="000000"/>
                <w:sz w:val="20"/>
                <w:szCs w:val="20"/>
                <w:u w:val="none"/>
              </w:rPr>
            </w:pP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215F6">
            <w:pPr>
              <w:keepNext w:val="0"/>
              <w:keepLines w:val="0"/>
              <w:widowControl/>
              <w:suppressLineNumbers w:val="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其中：当年财政拨款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DD15">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210</w:t>
            </w:r>
          </w:p>
        </w:tc>
      </w:tr>
      <w:tr w14:paraId="20A7D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3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56DBC">
            <w:pPr>
              <w:jc w:val="center"/>
              <w:rPr>
                <w:rFonts w:hint="eastAsia" w:ascii="仿宋_GB2312" w:hAnsi="宋体" w:eastAsia="仿宋_GB2312" w:cs="仿宋_GB2312"/>
                <w:b/>
                <w:bCs/>
                <w:i w:val="0"/>
                <w:iCs w:val="0"/>
                <w:color w:val="000000"/>
                <w:sz w:val="20"/>
                <w:szCs w:val="20"/>
                <w:u w:val="none"/>
              </w:rPr>
            </w:pPr>
          </w:p>
        </w:tc>
        <w:tc>
          <w:tcPr>
            <w:tcW w:w="4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A5F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DA44">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150</w:t>
            </w:r>
          </w:p>
        </w:tc>
      </w:tr>
      <w:tr w14:paraId="217B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4F13C">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年度总体目标</w:t>
            </w:r>
          </w:p>
        </w:tc>
        <w:tc>
          <w:tcPr>
            <w:tcW w:w="79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7E4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default" w:ascii="Times New Roman" w:hAnsi="Times New Roman" w:eastAsia="方正仿宋_GBK" w:cs="Times New Roman"/>
                <w:i w:val="0"/>
                <w:iCs w:val="0"/>
                <w:color w:val="000000"/>
                <w:kern w:val="0"/>
                <w:sz w:val="21"/>
                <w:szCs w:val="21"/>
                <w:u w:val="none"/>
                <w:lang w:val="en-US" w:eastAsia="zh-CN" w:bidi="ar"/>
              </w:rPr>
              <w:t>完成项目建设，建成后资产由盘溪镇人民政府移交给下街社区、东升社区、大寨社区、方那社区进行共同管理，资产产权按照资金投入进行占比分配。按当前当地租赁最低市场价格测算，预计每年可实现纯收益40万元，下街社区按照投资比例每年分配给富民村、法高村、矣得村、下街4.9万元的分红，剩余作为下街社区土地收益，管理费用。</w:t>
            </w:r>
          </w:p>
        </w:tc>
      </w:tr>
      <w:tr w14:paraId="54C23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CAEEB">
            <w:pPr>
              <w:jc w:val="center"/>
              <w:rPr>
                <w:rFonts w:hint="eastAsia" w:ascii="仿宋_GB2312" w:hAnsi="宋体" w:eastAsia="仿宋_GB2312" w:cs="仿宋_GB2312"/>
                <w:b/>
                <w:bCs/>
                <w:i w:val="0"/>
                <w:iCs w:val="0"/>
                <w:color w:val="000000"/>
                <w:sz w:val="20"/>
                <w:szCs w:val="20"/>
                <w:u w:val="none"/>
              </w:rPr>
            </w:pPr>
          </w:p>
        </w:tc>
        <w:tc>
          <w:tcPr>
            <w:tcW w:w="79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4F72E">
            <w:pPr>
              <w:jc w:val="both"/>
              <w:rPr>
                <w:rFonts w:hint="eastAsia" w:ascii="宋体" w:hAnsi="宋体" w:eastAsia="宋体" w:cs="宋体"/>
                <w:i w:val="0"/>
                <w:iCs w:val="0"/>
                <w:color w:val="000000"/>
                <w:sz w:val="20"/>
                <w:szCs w:val="20"/>
                <w:u w:val="none"/>
              </w:rPr>
            </w:pPr>
          </w:p>
        </w:tc>
      </w:tr>
      <w:tr w14:paraId="6A4D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FFEE2">
            <w:pPr>
              <w:jc w:val="center"/>
              <w:rPr>
                <w:rFonts w:hint="eastAsia" w:ascii="仿宋_GB2312" w:hAnsi="宋体" w:eastAsia="仿宋_GB2312" w:cs="仿宋_GB2312"/>
                <w:b/>
                <w:bCs/>
                <w:i w:val="0"/>
                <w:iCs w:val="0"/>
                <w:color w:val="000000"/>
                <w:sz w:val="20"/>
                <w:szCs w:val="20"/>
                <w:u w:val="none"/>
              </w:rPr>
            </w:pPr>
          </w:p>
        </w:tc>
        <w:tc>
          <w:tcPr>
            <w:tcW w:w="79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565A5">
            <w:pPr>
              <w:jc w:val="both"/>
              <w:rPr>
                <w:rFonts w:hint="eastAsia" w:ascii="宋体" w:hAnsi="宋体" w:eastAsia="宋体" w:cs="宋体"/>
                <w:i w:val="0"/>
                <w:iCs w:val="0"/>
                <w:color w:val="000000"/>
                <w:sz w:val="20"/>
                <w:szCs w:val="20"/>
                <w:u w:val="none"/>
              </w:rPr>
            </w:pPr>
          </w:p>
        </w:tc>
      </w:tr>
      <w:tr w14:paraId="54C6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6ED30">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绩效指标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637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一级指标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191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二级指标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236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三级指标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417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年度指标值</w:t>
            </w:r>
          </w:p>
        </w:tc>
      </w:tr>
      <w:tr w14:paraId="2025F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1B5ED">
            <w:pPr>
              <w:jc w:val="center"/>
              <w:rPr>
                <w:rFonts w:hint="eastAsia" w:ascii="方正黑体_GBK" w:hAnsi="方正黑体_GBK" w:eastAsia="方正黑体_GBK" w:cs="方正黑体_GBK"/>
                <w:i w:val="0"/>
                <w:iCs w:val="0"/>
                <w:color w:val="000000"/>
                <w:sz w:val="20"/>
                <w:szCs w:val="20"/>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C3B80">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产出指标</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2E850">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数量指标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01F7">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新建综合农产品交易市场</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7890">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≥3900.38平米</w:t>
            </w:r>
          </w:p>
        </w:tc>
      </w:tr>
      <w:tr w14:paraId="1D17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B71F6">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072B6">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C88E8">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5FD5">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室外铺筑</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1654">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≥4300.38平方米</w:t>
            </w:r>
          </w:p>
        </w:tc>
      </w:tr>
      <w:tr w14:paraId="21A29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81CB">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36227">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42648">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C0DE">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室外排水排污设施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4DCA">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1套</w:t>
            </w:r>
          </w:p>
        </w:tc>
      </w:tr>
      <w:tr w14:paraId="20D34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20E14">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9CF57">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F00C5">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5FBD">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室外给水设施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4498">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1套</w:t>
            </w:r>
          </w:p>
        </w:tc>
      </w:tr>
      <w:tr w14:paraId="150EE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BDDA">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23F1B">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1A73">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质量指标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2748">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项目（工程）合格率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D1E4">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100%</w:t>
            </w:r>
          </w:p>
        </w:tc>
      </w:tr>
      <w:tr w14:paraId="7B70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E1083">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BB26E">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8D470">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时效指标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F01A">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开工时间</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DDE9">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2025年1月</w:t>
            </w:r>
          </w:p>
        </w:tc>
      </w:tr>
      <w:tr w14:paraId="51DD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DD6E">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8E7C9">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C06F5">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E654">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竣工时间</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BB14">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2025年11月20日</w:t>
            </w:r>
          </w:p>
        </w:tc>
      </w:tr>
      <w:tr w14:paraId="434C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988D4">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1E208">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15843">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成本指标</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708E">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主体建设工程</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18E3">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385.11平方米</w:t>
            </w:r>
          </w:p>
        </w:tc>
      </w:tr>
      <w:tr w14:paraId="0690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B55ED">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D24AD">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9AD75">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E3A7">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外围场地整修及消防设施</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877D">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44.89平方米</w:t>
            </w:r>
          </w:p>
        </w:tc>
      </w:tr>
      <w:tr w14:paraId="0386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A213">
            <w:pPr>
              <w:jc w:val="center"/>
              <w:rPr>
                <w:rFonts w:hint="eastAsia" w:ascii="方正黑体_GBK" w:hAnsi="方正黑体_GBK" w:eastAsia="方正黑体_GBK" w:cs="方正黑体_GBK"/>
                <w:i w:val="0"/>
                <w:iCs w:val="0"/>
                <w:color w:val="000000"/>
                <w:sz w:val="20"/>
                <w:szCs w:val="20"/>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6A7F1">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效益指标</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D3F15">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经济效益指标</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0A817">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每年实现收益</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22AA3">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40万元</w:t>
            </w:r>
          </w:p>
        </w:tc>
      </w:tr>
      <w:tr w14:paraId="2E58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C158">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6D022">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234AB">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0DA37">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3E5E8">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r>
      <w:tr w14:paraId="4D20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9F5A">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82A7B">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89F5A">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8CB6">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7DE8">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r>
      <w:tr w14:paraId="773C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83EA6">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1110A">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8046D">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社会效益指标</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659A2">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受益群众</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5357C">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2701户7874人</w:t>
            </w:r>
          </w:p>
        </w:tc>
      </w:tr>
      <w:tr w14:paraId="316C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39C14">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1A1FB">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6662A">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7E77E">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04C46">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r>
      <w:tr w14:paraId="38D59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123D4">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29CCD">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F2C87">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21907">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5661B">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r>
      <w:tr w14:paraId="66B1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DCBF3">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6ADD1">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222E9">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可持续影响指标</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F390E">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使用年限</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E054F">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20年</w:t>
            </w:r>
          </w:p>
        </w:tc>
      </w:tr>
      <w:tr w14:paraId="2B0C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72A11">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57AA0">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A2818">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0CEB3">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FEB65">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r>
      <w:tr w14:paraId="2177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D182A">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A11AD">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DCD60">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C5D28">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F0EB4">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p>
        </w:tc>
      </w:tr>
      <w:tr w14:paraId="3F12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46BDD">
            <w:pPr>
              <w:jc w:val="center"/>
              <w:rPr>
                <w:rFonts w:hint="eastAsia" w:ascii="方正黑体_GBK" w:hAnsi="方正黑体_GBK" w:eastAsia="方正黑体_GBK" w:cs="方正黑体_GBK"/>
                <w:i w:val="0"/>
                <w:iCs w:val="0"/>
                <w:color w:val="000000"/>
                <w:sz w:val="20"/>
                <w:szCs w:val="20"/>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49476">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满意度指标</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7347F">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服务对象满意度指标</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612C9">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受益群众满意度</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DCD03">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≥90%</w:t>
            </w:r>
          </w:p>
        </w:tc>
      </w:tr>
      <w:tr w14:paraId="0B51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59275">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2F770">
            <w:pPr>
              <w:jc w:val="center"/>
              <w:rPr>
                <w:rFonts w:hint="eastAsia" w:ascii="仿宋_GB2312" w:hAnsi="宋体" w:eastAsia="仿宋_GB2312" w:cs="仿宋_GB2312"/>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F01AA">
            <w:pPr>
              <w:jc w:val="center"/>
              <w:rPr>
                <w:rFonts w:hint="eastAsia" w:ascii="仿宋_GB2312" w:hAnsi="宋体" w:eastAsia="仿宋_GB2312" w:cs="仿宋_GB2312"/>
                <w:i w:val="0"/>
                <w:iCs w:val="0"/>
                <w:color w:val="000000"/>
                <w:sz w:val="20"/>
                <w:szCs w:val="20"/>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6F029">
            <w:pPr>
              <w:jc w:val="center"/>
              <w:rPr>
                <w:rFonts w:hint="eastAsia" w:ascii="仿宋_GB2312" w:hAnsi="宋体" w:eastAsia="仿宋_GB2312" w:cs="仿宋_GB2312"/>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FA36D">
            <w:pPr>
              <w:jc w:val="center"/>
              <w:rPr>
                <w:rFonts w:hint="eastAsia" w:ascii="仿宋_GB2312" w:hAnsi="宋体" w:eastAsia="仿宋_GB2312" w:cs="仿宋_GB2312"/>
                <w:i w:val="0"/>
                <w:iCs w:val="0"/>
                <w:color w:val="000000"/>
                <w:sz w:val="20"/>
                <w:szCs w:val="20"/>
                <w:u w:val="none"/>
              </w:rPr>
            </w:pPr>
          </w:p>
        </w:tc>
      </w:tr>
      <w:tr w14:paraId="5389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5D582">
            <w:pPr>
              <w:jc w:val="center"/>
              <w:rPr>
                <w:rFonts w:hint="eastAsia" w:ascii="方正黑体_GBK" w:hAnsi="方正黑体_GBK" w:eastAsia="方正黑体_GBK" w:cs="方正黑体_GBK"/>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8AB6B">
            <w:pPr>
              <w:jc w:val="center"/>
              <w:rPr>
                <w:rFonts w:hint="eastAsia" w:ascii="仿宋_GB2312" w:hAnsi="宋体" w:eastAsia="仿宋_GB2312" w:cs="仿宋_GB2312"/>
                <w:i w:val="0"/>
                <w:iCs w:val="0"/>
                <w:color w:val="000000"/>
                <w:sz w:val="20"/>
                <w:szCs w:val="20"/>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3D5A6">
            <w:pPr>
              <w:jc w:val="center"/>
              <w:rPr>
                <w:rFonts w:hint="eastAsia" w:ascii="仿宋_GB2312" w:hAnsi="宋体" w:eastAsia="仿宋_GB2312" w:cs="仿宋_GB2312"/>
                <w:i w:val="0"/>
                <w:iCs w:val="0"/>
                <w:color w:val="000000"/>
                <w:sz w:val="20"/>
                <w:szCs w:val="20"/>
                <w:u w:val="none"/>
              </w:rPr>
            </w:pP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7C51F">
            <w:pPr>
              <w:jc w:val="center"/>
              <w:rPr>
                <w:rFonts w:hint="eastAsia" w:ascii="仿宋_GB2312" w:hAnsi="宋体" w:eastAsia="仿宋_GB2312" w:cs="仿宋_GB2312"/>
                <w:i w:val="0"/>
                <w:iCs w:val="0"/>
                <w:color w:val="000000"/>
                <w:sz w:val="20"/>
                <w:szCs w:val="20"/>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E26BD">
            <w:pPr>
              <w:jc w:val="center"/>
              <w:rPr>
                <w:rFonts w:hint="eastAsia" w:ascii="仿宋_GB2312" w:hAnsi="宋体" w:eastAsia="仿宋_GB2312" w:cs="仿宋_GB2312"/>
                <w:i w:val="0"/>
                <w:iCs w:val="0"/>
                <w:color w:val="000000"/>
                <w:sz w:val="20"/>
                <w:szCs w:val="20"/>
                <w:u w:val="none"/>
              </w:rPr>
            </w:pPr>
          </w:p>
        </w:tc>
      </w:tr>
    </w:tbl>
    <w:p w14:paraId="6E63C13F">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627A2FC0">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597E8400">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1145916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3F10A0C5">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7D1D56AA">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681CE864">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212FC12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01C532A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034DB5E3">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128CA57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1AE5E0FD">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7B4EE83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65D94571">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67228D37">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4FC6E014">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仿宋_GB2312"/>
          <w:sz w:val="28"/>
          <w:szCs w:val="28"/>
        </w:rPr>
      </w:pPr>
    </w:p>
    <w:p w14:paraId="27956F13">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ascii="Times New Roman" w:hAnsi="Times New Roman" w:eastAsia="方正仿宋_GBK"/>
          <w:sz w:val="28"/>
          <w:szCs w:val="28"/>
        </w:rPr>
      </w:pPr>
    </w:p>
    <w:p w14:paraId="2A97AFF5">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9SmRNMA&#10;AAADAQAADwAAAAAAAAABACAAAAAiAAAAZHJzL2Rvd25yZXYueG1sUEsBAhQAFAAAAAgAh07iQO+N&#10;N77rAQAA2gMAAA4AAAAAAAAAAQAgAAAAIgEAAGRycy9lMm9Eb2MueG1sUEsFBgAAAAAGAAYAWQEA&#10;AH8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抄送：本局预算国库</w:t>
      </w:r>
      <w:r>
        <w:rPr>
          <w:rFonts w:hint="eastAsia" w:ascii="Times New Roman" w:hAnsi="Times New Roman" w:eastAsia="方正仿宋_GBK"/>
          <w:sz w:val="28"/>
          <w:szCs w:val="28"/>
          <w:lang w:eastAsia="zh-CN"/>
        </w:rPr>
        <w:t>股</w:t>
      </w:r>
      <w:r>
        <w:rPr>
          <w:rFonts w:ascii="Times New Roman" w:hAnsi="Times New Roman" w:eastAsia="方正仿宋_GBK"/>
          <w:sz w:val="28"/>
          <w:szCs w:val="28"/>
        </w:rPr>
        <w:t>。</w:t>
      </w:r>
    </w:p>
    <w:p w14:paraId="1736F7E3">
      <w:pPr>
        <w:spacing w:line="520" w:lineRule="exact"/>
        <w:ind w:firstLine="280" w:firstLineChars="100"/>
        <w:rPr>
          <w:rFonts w:ascii="Times New Roman" w:hAnsi="Times New Roman" w:eastAsia="方正仿宋_GBK"/>
          <w:sz w:val="28"/>
          <w:szCs w:val="28"/>
        </w:rPr>
      </w:pPr>
      <w:r>
        <w:rPr>
          <w:rFonts w:ascii="Times New Roman" w:hAnsi="Times New Roman" w:eastAsia="方正仿宋_GBK"/>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qTQAtUAAAAHAQAA&#10;DwAAAAAAAAABACAAAAAiAAAAZHJzL2Rvd25yZXYueG1sUEsBAhQAFAAAAAgAh07iQEmpiub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方正仿宋_GBK"/>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e1CldMAAAAFAQAADwAA&#10;AAAAAAABACAAAAAiAAAAZHJzL2Rvd25yZXYueG1sUEsBAhQAFAAAAAgAh07iQJ0iiULiAQAAqgMA&#10;AA4AAAAAAAAAAQAgAAAAIgEAAGRycy9lMm9Eb2MueG1sUEsFBgAAAAAGAAYAWQEAAHY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u w:val="none"/>
          <w:lang w:val="en-US" w:eastAsia="zh-CN"/>
        </w:rPr>
        <w:t>华宁县</w:t>
      </w:r>
      <w:r>
        <w:rPr>
          <w:rFonts w:ascii="Times New Roman" w:hAnsi="Times New Roman" w:eastAsia="方正仿宋_GBK"/>
          <w:sz w:val="28"/>
          <w:szCs w:val="28"/>
        </w:rPr>
        <w:t xml:space="preserve">财政局          </w:t>
      </w:r>
      <w:r>
        <w:rPr>
          <w:rFonts w:hint="eastAsia"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日印发</w:t>
      </w:r>
    </w:p>
    <w:sectPr>
      <w:pgSz w:w="11906" w:h="16838"/>
      <w:pgMar w:top="2098" w:right="1134" w:bottom="1588" w:left="1474"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66B4A">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6EF62B">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6EF62B">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forms" w:enforcement="1" w:cryptProviderType="rsaFull" w:cryptAlgorithmClass="hash" w:cryptAlgorithmType="typeAny" w:cryptAlgorithmSid="4" w:cryptSpinCount="0" w:hash="pmbSK6IUu66RDqm06KgTefmcuoU=" w:salt="fBUcPWx/uxlIFb7U7aDUl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40D64"/>
    <w:rsid w:val="00674A74"/>
    <w:rsid w:val="00680AB4"/>
    <w:rsid w:val="007D1E3D"/>
    <w:rsid w:val="007D3C78"/>
    <w:rsid w:val="007E11DE"/>
    <w:rsid w:val="007E578F"/>
    <w:rsid w:val="008D3ECD"/>
    <w:rsid w:val="00921DCD"/>
    <w:rsid w:val="00950E3B"/>
    <w:rsid w:val="009710E3"/>
    <w:rsid w:val="00985794"/>
    <w:rsid w:val="009D0F4F"/>
    <w:rsid w:val="00B7045C"/>
    <w:rsid w:val="00BC007F"/>
    <w:rsid w:val="00BF47BA"/>
    <w:rsid w:val="00C34F97"/>
    <w:rsid w:val="00C45BEE"/>
    <w:rsid w:val="00CA7922"/>
    <w:rsid w:val="00DD7F11"/>
    <w:rsid w:val="00DE0A78"/>
    <w:rsid w:val="00E7202B"/>
    <w:rsid w:val="00E9148B"/>
    <w:rsid w:val="00E9442D"/>
    <w:rsid w:val="00EC1817"/>
    <w:rsid w:val="00EE514E"/>
    <w:rsid w:val="00FE2877"/>
    <w:rsid w:val="022F493C"/>
    <w:rsid w:val="047F0A77"/>
    <w:rsid w:val="05980631"/>
    <w:rsid w:val="05B2011D"/>
    <w:rsid w:val="05C74779"/>
    <w:rsid w:val="061A31A2"/>
    <w:rsid w:val="06E071F9"/>
    <w:rsid w:val="082E76C3"/>
    <w:rsid w:val="0874698B"/>
    <w:rsid w:val="08BB4D3C"/>
    <w:rsid w:val="0ABA0109"/>
    <w:rsid w:val="0AEB602B"/>
    <w:rsid w:val="0B482DE0"/>
    <w:rsid w:val="0B9B4A1F"/>
    <w:rsid w:val="0BB6098B"/>
    <w:rsid w:val="0C284591"/>
    <w:rsid w:val="0D120EFC"/>
    <w:rsid w:val="0EF10D38"/>
    <w:rsid w:val="13673C4E"/>
    <w:rsid w:val="13C43BB7"/>
    <w:rsid w:val="14650C4E"/>
    <w:rsid w:val="147D107E"/>
    <w:rsid w:val="14EF632D"/>
    <w:rsid w:val="154A0B34"/>
    <w:rsid w:val="155A01C7"/>
    <w:rsid w:val="16207AF5"/>
    <w:rsid w:val="16C86C63"/>
    <w:rsid w:val="17452DA5"/>
    <w:rsid w:val="17CB05F3"/>
    <w:rsid w:val="17D659F1"/>
    <w:rsid w:val="17DC5B68"/>
    <w:rsid w:val="17E44C80"/>
    <w:rsid w:val="18E7647F"/>
    <w:rsid w:val="1A382DD7"/>
    <w:rsid w:val="1A5C76BB"/>
    <w:rsid w:val="1A7E5729"/>
    <w:rsid w:val="1ACD5465"/>
    <w:rsid w:val="1BA62EAA"/>
    <w:rsid w:val="1C3F78B6"/>
    <w:rsid w:val="1C9F2E01"/>
    <w:rsid w:val="1D6361EC"/>
    <w:rsid w:val="1E2941DE"/>
    <w:rsid w:val="20160915"/>
    <w:rsid w:val="20831E5B"/>
    <w:rsid w:val="21486EDD"/>
    <w:rsid w:val="220961D1"/>
    <w:rsid w:val="222C41B5"/>
    <w:rsid w:val="22A72523"/>
    <w:rsid w:val="231670F5"/>
    <w:rsid w:val="23945D93"/>
    <w:rsid w:val="23A54085"/>
    <w:rsid w:val="2408357F"/>
    <w:rsid w:val="241C7A75"/>
    <w:rsid w:val="26836902"/>
    <w:rsid w:val="26B25742"/>
    <w:rsid w:val="26B741BD"/>
    <w:rsid w:val="26F71B9A"/>
    <w:rsid w:val="27FB1228"/>
    <w:rsid w:val="29341A44"/>
    <w:rsid w:val="29E00180"/>
    <w:rsid w:val="29F123BC"/>
    <w:rsid w:val="29F606F1"/>
    <w:rsid w:val="29FD5919"/>
    <w:rsid w:val="2A1972AE"/>
    <w:rsid w:val="2BC915F9"/>
    <w:rsid w:val="2C136611"/>
    <w:rsid w:val="2DC05922"/>
    <w:rsid w:val="2DC17944"/>
    <w:rsid w:val="2E2D512C"/>
    <w:rsid w:val="2E9B0537"/>
    <w:rsid w:val="2FE2225A"/>
    <w:rsid w:val="2FE9000C"/>
    <w:rsid w:val="300B02BD"/>
    <w:rsid w:val="306C5487"/>
    <w:rsid w:val="31D504D2"/>
    <w:rsid w:val="31FA6199"/>
    <w:rsid w:val="325D04D3"/>
    <w:rsid w:val="3265277C"/>
    <w:rsid w:val="3483139A"/>
    <w:rsid w:val="35072597"/>
    <w:rsid w:val="35C60DA5"/>
    <w:rsid w:val="35ED2DDC"/>
    <w:rsid w:val="362A22C7"/>
    <w:rsid w:val="366A65E3"/>
    <w:rsid w:val="36E733E8"/>
    <w:rsid w:val="36EB4785"/>
    <w:rsid w:val="37243EB8"/>
    <w:rsid w:val="37CD911F"/>
    <w:rsid w:val="384F6995"/>
    <w:rsid w:val="3A9F2FE8"/>
    <w:rsid w:val="3AFA7814"/>
    <w:rsid w:val="3BB741BA"/>
    <w:rsid w:val="3C6B0C5F"/>
    <w:rsid w:val="3C7E642C"/>
    <w:rsid w:val="3CDD4990"/>
    <w:rsid w:val="3CF91687"/>
    <w:rsid w:val="3D0E68F7"/>
    <w:rsid w:val="3D7A7FC6"/>
    <w:rsid w:val="3FDBE52D"/>
    <w:rsid w:val="408237E2"/>
    <w:rsid w:val="41524D2E"/>
    <w:rsid w:val="42E463EC"/>
    <w:rsid w:val="441A37D3"/>
    <w:rsid w:val="460F4DB2"/>
    <w:rsid w:val="462249AA"/>
    <w:rsid w:val="46470102"/>
    <w:rsid w:val="46FD4AB7"/>
    <w:rsid w:val="47291516"/>
    <w:rsid w:val="47EF57E2"/>
    <w:rsid w:val="47FF9B22"/>
    <w:rsid w:val="4A5B6E48"/>
    <w:rsid w:val="4B5869BB"/>
    <w:rsid w:val="4B8725BB"/>
    <w:rsid w:val="4D0B020E"/>
    <w:rsid w:val="4DD036AF"/>
    <w:rsid w:val="4E190719"/>
    <w:rsid w:val="4F0F1282"/>
    <w:rsid w:val="4F3D2C02"/>
    <w:rsid w:val="4FFF679D"/>
    <w:rsid w:val="500D2291"/>
    <w:rsid w:val="50550BC9"/>
    <w:rsid w:val="521405B2"/>
    <w:rsid w:val="5437167A"/>
    <w:rsid w:val="556A5494"/>
    <w:rsid w:val="55C86D02"/>
    <w:rsid w:val="55D4655A"/>
    <w:rsid w:val="56847DB9"/>
    <w:rsid w:val="56B23EE3"/>
    <w:rsid w:val="56D606ED"/>
    <w:rsid w:val="58FB7298"/>
    <w:rsid w:val="5A2558F6"/>
    <w:rsid w:val="5A71200C"/>
    <w:rsid w:val="5C497844"/>
    <w:rsid w:val="5C960873"/>
    <w:rsid w:val="5DEC6249"/>
    <w:rsid w:val="5E5B7B74"/>
    <w:rsid w:val="5F2E4200"/>
    <w:rsid w:val="5F5C0FE6"/>
    <w:rsid w:val="5F771CAB"/>
    <w:rsid w:val="5FFE462F"/>
    <w:rsid w:val="602D2C7D"/>
    <w:rsid w:val="613215AA"/>
    <w:rsid w:val="614809F7"/>
    <w:rsid w:val="614A74F3"/>
    <w:rsid w:val="61E643DB"/>
    <w:rsid w:val="62582E28"/>
    <w:rsid w:val="627A1B4F"/>
    <w:rsid w:val="63750694"/>
    <w:rsid w:val="65730378"/>
    <w:rsid w:val="65F30067"/>
    <w:rsid w:val="66AF543F"/>
    <w:rsid w:val="66D02156"/>
    <w:rsid w:val="66D718F3"/>
    <w:rsid w:val="67C055B0"/>
    <w:rsid w:val="67C4718E"/>
    <w:rsid w:val="680E6B20"/>
    <w:rsid w:val="69A70C9B"/>
    <w:rsid w:val="69DE3E62"/>
    <w:rsid w:val="6B457C33"/>
    <w:rsid w:val="6B997CA1"/>
    <w:rsid w:val="6BCA6737"/>
    <w:rsid w:val="6C2E46AC"/>
    <w:rsid w:val="6DFC3DEE"/>
    <w:rsid w:val="702A24DF"/>
    <w:rsid w:val="71057160"/>
    <w:rsid w:val="716141D7"/>
    <w:rsid w:val="72B60684"/>
    <w:rsid w:val="73882C4E"/>
    <w:rsid w:val="73DD1208"/>
    <w:rsid w:val="741B0017"/>
    <w:rsid w:val="75317684"/>
    <w:rsid w:val="760C02B2"/>
    <w:rsid w:val="77914A91"/>
    <w:rsid w:val="77C9223D"/>
    <w:rsid w:val="77D4751C"/>
    <w:rsid w:val="77F70541"/>
    <w:rsid w:val="7824441C"/>
    <w:rsid w:val="79656F30"/>
    <w:rsid w:val="7A773674"/>
    <w:rsid w:val="7BDE3E05"/>
    <w:rsid w:val="7F3D51C2"/>
    <w:rsid w:val="7F7D94AE"/>
    <w:rsid w:val="7FE0F283"/>
    <w:rsid w:val="7FFDD664"/>
    <w:rsid w:val="B7B1A51D"/>
    <w:rsid w:val="D9FF812C"/>
    <w:rsid w:val="F7FF9ED2"/>
    <w:rsid w:val="FBFFEAD6"/>
    <w:rsid w:val="FEBD129C"/>
    <w:rsid w:val="FFBFB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font01"/>
    <w:basedOn w:val="8"/>
    <w:qFormat/>
    <w:uiPriority w:val="0"/>
    <w:rPr>
      <w:rFonts w:hint="eastAsia" w:ascii="宋体" w:hAnsi="宋体" w:eastAsia="宋体" w:cs="宋体"/>
      <w:b/>
      <w:color w:val="000000"/>
      <w:sz w:val="32"/>
      <w:szCs w:val="32"/>
      <w:u w:val="none"/>
    </w:rPr>
  </w:style>
  <w:style w:type="character" w:customStyle="1" w:styleId="12">
    <w:name w:val="font61"/>
    <w:basedOn w:val="8"/>
    <w:qFormat/>
    <w:uiPriority w:val="0"/>
    <w:rPr>
      <w:rFonts w:hint="eastAsia" w:ascii="宋体" w:hAnsi="宋体" w:eastAsia="宋体" w:cs="宋体"/>
      <w:color w:val="000000"/>
      <w:sz w:val="22"/>
      <w:szCs w:val="22"/>
      <w:u w:val="none"/>
    </w:rPr>
  </w:style>
  <w:style w:type="character" w:customStyle="1" w:styleId="13">
    <w:name w:val="font81"/>
    <w:basedOn w:val="8"/>
    <w:qFormat/>
    <w:uiPriority w:val="0"/>
    <w:rPr>
      <w:rFonts w:hint="default" w:ascii="Times New Roman" w:hAnsi="Times New Roman" w:cs="Times New Roman"/>
      <w:color w:val="000000"/>
      <w:sz w:val="22"/>
      <w:szCs w:val="22"/>
      <w:u w:val="none"/>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default" w:ascii="Times New Roman" w:hAnsi="Times New Roman" w:cs="Times New Roman"/>
      <w:color w:val="000000"/>
      <w:sz w:val="20"/>
      <w:szCs w:val="20"/>
      <w:u w:val="none"/>
    </w:rPr>
  </w:style>
  <w:style w:type="character" w:customStyle="1" w:styleId="16">
    <w:name w:val="font21"/>
    <w:basedOn w:val="8"/>
    <w:qFormat/>
    <w:uiPriority w:val="0"/>
    <w:rPr>
      <w:rFonts w:hint="eastAsia" w:ascii="方正书宋_GBK" w:hAnsi="方正书宋_GBK" w:eastAsia="方正书宋_GBK" w:cs="方正书宋_GBK"/>
      <w:color w:val="000000"/>
      <w:sz w:val="20"/>
      <w:szCs w:val="20"/>
      <w:u w:val="none"/>
    </w:rPr>
  </w:style>
  <w:style w:type="character" w:customStyle="1" w:styleId="17">
    <w:name w:val="font111"/>
    <w:basedOn w:val="8"/>
    <w:qFormat/>
    <w:uiPriority w:val="0"/>
    <w:rPr>
      <w:rFonts w:hint="eastAsia" w:ascii="宋体" w:hAnsi="宋体" w:eastAsia="宋体" w:cs="宋体"/>
      <w:b/>
      <w:color w:val="000000"/>
      <w:sz w:val="32"/>
      <w:szCs w:val="32"/>
      <w:u w:val="none"/>
    </w:rPr>
  </w:style>
  <w:style w:type="character" w:customStyle="1" w:styleId="18">
    <w:name w:val="font121"/>
    <w:basedOn w:val="8"/>
    <w:qFormat/>
    <w:uiPriority w:val="0"/>
    <w:rPr>
      <w:rFonts w:hint="default" w:ascii="Times New Roman" w:hAnsi="Times New Roman" w:cs="Times New Roman"/>
      <w:color w:val="000000"/>
      <w:sz w:val="22"/>
      <w:szCs w:val="22"/>
      <w:u w:val="none"/>
    </w:rPr>
  </w:style>
  <w:style w:type="character" w:customStyle="1" w:styleId="19">
    <w:name w:val="font13"/>
    <w:basedOn w:val="8"/>
    <w:qFormat/>
    <w:uiPriority w:val="0"/>
    <w:rPr>
      <w:rFonts w:hint="eastAsia" w:ascii="宋体" w:hAnsi="宋体" w:eastAsia="宋体" w:cs="宋体"/>
      <w:color w:val="000000"/>
      <w:sz w:val="20"/>
      <w:szCs w:val="20"/>
      <w:u w:val="none"/>
    </w:rPr>
  </w:style>
  <w:style w:type="character" w:customStyle="1" w:styleId="20">
    <w:name w:val="font141"/>
    <w:basedOn w:val="8"/>
    <w:qFormat/>
    <w:uiPriority w:val="0"/>
    <w:rPr>
      <w:rFonts w:hint="default" w:ascii="Times New Roman" w:hAnsi="Times New Roman" w:cs="Times New Roman"/>
      <w:color w:val="000000"/>
      <w:sz w:val="20"/>
      <w:szCs w:val="20"/>
      <w:u w:val="none"/>
    </w:rPr>
  </w:style>
  <w:style w:type="character" w:customStyle="1" w:styleId="21">
    <w:name w:val="font132"/>
    <w:basedOn w:val="8"/>
    <w:qFormat/>
    <w:uiPriority w:val="0"/>
    <w:rPr>
      <w:rFonts w:hint="eastAsia" w:ascii="宋体" w:hAnsi="宋体" w:eastAsia="宋体" w:cs="宋体"/>
      <w:color w:val="000000"/>
      <w:sz w:val="18"/>
      <w:szCs w:val="18"/>
      <w:u w:val="none"/>
    </w:rPr>
  </w:style>
  <w:style w:type="character" w:customStyle="1" w:styleId="22">
    <w:name w:val="font51"/>
    <w:basedOn w:val="8"/>
    <w:qFormat/>
    <w:uiPriority w:val="0"/>
    <w:rPr>
      <w:rFonts w:ascii="宋体" w:hAnsi="宋体" w:eastAsia="宋体" w:cs="宋体"/>
      <w:color w:val="000000"/>
      <w:sz w:val="20"/>
      <w:szCs w:val="20"/>
      <w:u w:val="none"/>
    </w:rPr>
  </w:style>
  <w:style w:type="character" w:customStyle="1" w:styleId="23">
    <w:name w:val="font71"/>
    <w:basedOn w:val="8"/>
    <w:qFormat/>
    <w:uiPriority w:val="0"/>
    <w:rPr>
      <w:rFonts w:hint="eastAsia" w:ascii="宋体" w:hAnsi="宋体" w:eastAsia="宋体" w:cs="宋体"/>
      <w:color w:val="000000"/>
      <w:sz w:val="24"/>
      <w:szCs w:val="24"/>
      <w:u w:val="none"/>
    </w:rPr>
  </w:style>
  <w:style w:type="character" w:customStyle="1" w:styleId="24">
    <w:name w:val="font31"/>
    <w:basedOn w:val="8"/>
    <w:qFormat/>
    <w:uiPriority w:val="0"/>
    <w:rPr>
      <w:rFonts w:ascii="方正书宋_GBK" w:hAnsi="方正书宋_GBK" w:eastAsia="方正书宋_GBK" w:cs="方正书宋_GBK"/>
      <w:color w:val="000000"/>
      <w:sz w:val="20"/>
      <w:szCs w:val="20"/>
      <w:u w:val="none"/>
    </w:rPr>
  </w:style>
  <w:style w:type="character" w:customStyle="1" w:styleId="25">
    <w:name w:val="font101"/>
    <w:basedOn w:val="8"/>
    <w:qFormat/>
    <w:uiPriority w:val="0"/>
    <w:rPr>
      <w:rFonts w:hint="default" w:ascii="Segoe UI" w:hAnsi="Segoe UI" w:eastAsia="Segoe UI" w:cs="Segoe UI"/>
      <w:color w:val="000000"/>
      <w:sz w:val="18"/>
      <w:szCs w:val="18"/>
      <w:u w:val="none"/>
    </w:rPr>
  </w:style>
  <w:style w:type="character" w:customStyle="1" w:styleId="26">
    <w:name w:val="font41"/>
    <w:basedOn w:val="8"/>
    <w:qFormat/>
    <w:uiPriority w:val="0"/>
    <w:rPr>
      <w:rFonts w:hint="default" w:ascii="Times New Roman" w:hAnsi="Times New Roman" w:cs="Times New Roman"/>
      <w:color w:val="000000"/>
      <w:sz w:val="22"/>
      <w:szCs w:val="22"/>
      <w:u w:val="none"/>
    </w:rPr>
  </w:style>
  <w:style w:type="character" w:customStyle="1" w:styleId="27">
    <w:name w:val="font122"/>
    <w:basedOn w:val="8"/>
    <w:qFormat/>
    <w:uiPriority w:val="0"/>
    <w:rPr>
      <w:rFonts w:hint="eastAsia" w:ascii="宋体" w:hAnsi="宋体" w:eastAsia="宋体" w:cs="宋体"/>
      <w:b/>
      <w:bCs/>
      <w:color w:val="000000"/>
      <w:sz w:val="32"/>
      <w:szCs w:val="32"/>
      <w:u w:val="none"/>
    </w:rPr>
  </w:style>
  <w:style w:type="character" w:customStyle="1" w:styleId="28">
    <w:name w:val="font131"/>
    <w:basedOn w:val="8"/>
    <w:qFormat/>
    <w:uiPriority w:val="0"/>
    <w:rPr>
      <w:rFonts w:ascii="宋体" w:hAnsi="宋体" w:eastAsia="宋体" w:cs="宋体"/>
      <w:color w:val="000000"/>
      <w:sz w:val="20"/>
      <w:szCs w:val="20"/>
      <w:u w:val="none"/>
    </w:rPr>
  </w:style>
  <w:style w:type="character" w:customStyle="1" w:styleId="29">
    <w:name w:val="font12"/>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1722</Words>
  <Characters>1883</Characters>
  <Lines>2</Lines>
  <Paragraphs>1</Paragraphs>
  <TotalTime>11</TotalTime>
  <ScaleCrop>false</ScaleCrop>
  <LinksUpToDate>false</LinksUpToDate>
  <CharactersWithSpaces>1928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2018-09-08T17:32:00Z</dcterms:created>
  <dc:creator>市财政局</dc:creator>
  <cp:lastModifiedBy>7.13</cp:lastModifiedBy>
  <cp:lastPrinted>2024-01-06T01:23:00Z</cp:lastPrinted>
  <dcterms:modified xsi:type="dcterms:W3CDTF">2025-02-17T07:15:25Z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3BB3EAD725E545F7B635E1171A36C3C3_13</vt:lpwstr>
  </property>
  <property fmtid="{D5CDD505-2E9C-101B-9397-08002B2CF9AE}" pid="4" name="KSOTemplateDocerSaveRecord">
    <vt:lpwstr>eyJoZGlkIjoiZjhjYmI0Njc2NjVkOGY2MGNiM2Q3YjkwMGMwN2E3ZTkifQ==</vt:lpwstr>
  </property>
  <property fmtid="{D5CDD505-2E9C-101B-9397-08002B2CF9AE}" pid="5" name="docranid">
    <vt:lpwstr>B0B7DD5860D14903A288F0FC5E3511CC</vt:lpwstr>
  </property>
</Properties>
</file>