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华宁</w:t>
      </w:r>
      <w:r>
        <w:rPr>
          <w:rFonts w:hint="eastAsia" w:ascii="方正小标宋简体" w:eastAsia="方正小标宋简体"/>
          <w:sz w:val="44"/>
          <w:szCs w:val="44"/>
        </w:rPr>
        <w:t>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公共租赁住房物业服务收费和</w:t>
      </w:r>
      <w:r>
        <w:rPr>
          <w:rFonts w:hint="eastAsia" w:ascii="方正小标宋简体" w:eastAsia="方正小标宋简体"/>
          <w:sz w:val="44"/>
          <w:szCs w:val="44"/>
        </w:rPr>
        <w:t>普通住宅前期物业服务收费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（政府指导价）</w:t>
      </w:r>
    </w:p>
    <w:p>
      <w:pPr>
        <w:spacing w:line="480" w:lineRule="exact"/>
        <w:jc w:val="center"/>
        <w:rPr>
          <w:rFonts w:ascii="仿宋_GB2312" w:eastAsia="仿宋_GB2312"/>
          <w:sz w:val="24"/>
        </w:rPr>
      </w:pPr>
    </w:p>
    <w:tbl>
      <w:tblPr>
        <w:tblStyle w:val="5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977"/>
        <w:gridCol w:w="3119"/>
        <w:gridCol w:w="3260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服务等级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一级</w:t>
            </w:r>
          </w:p>
        </w:tc>
        <w:tc>
          <w:tcPr>
            <w:tcW w:w="3119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二级</w:t>
            </w: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三级</w:t>
            </w:r>
          </w:p>
        </w:tc>
        <w:tc>
          <w:tcPr>
            <w:tcW w:w="2896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综合指导价（元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  <w:t>/平方米·月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）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31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28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948" w:type="dxa"/>
            <w:gridSpan w:val="5"/>
          </w:tcPr>
          <w:p>
            <w:pPr>
              <w:widowControl/>
              <w:shd w:val="clear" w:color="auto" w:fill="FFFFFF"/>
              <w:spacing w:line="276" w:lineRule="auto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注：此指导价为最高限价，下浮不限；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  <w:t>此指导价不含电梯维护（维保、养护、年检）及运行电费，不含二次加压维保养护及运行电费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，不含消防检测费。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948" w:type="dxa"/>
            <w:gridSpan w:val="5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  <w:t>一、综合管理服务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lang w:eastAsia="zh-CN"/>
                <w14:ligatures w14:val="none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lang w:val="en-US" w:eastAsia="zh-CN"/>
                <w14:ligatures w14:val="none"/>
              </w:rPr>
              <w:t>含房屋管理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lang w:eastAsia="zh-CN"/>
                <w14:ligatures w14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52" w:type="dxa"/>
            <w:gridSpan w:val="4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  <w:t>基本要求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1052" w:type="dxa"/>
            <w:gridSpan w:val="4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1.服务双方签订物业服务合同，明确双方权利义务，并公示；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2.在小区显著位置设置公共信息栏，按照明码标价规定公示服务内容、服务标准、收费标准等内容；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3.开发建设单位与物业服务企业按《物业承接查验办法》对住宅小区共用部位、共用设施设备等进行承接查验，手续齐全有记录；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4.建立较为完善的物业管理制度，至少包含财务管理、档案管理、岗位职责与考核、报修服务与投诉处理、保密管理等制度；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5.物业服务档案资料齐全、分类科学、管理完善、易于检索；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6.服装统一、仪表整洁、挂牌上岗、行为规范；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7.项目经理持证上岗，电工、消防、特种设备管理等特种作业员工100%持有效上岗证书；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8.设置物业管理政策法规、治安、房屋安全、消防安全、电梯安全等宣传专栏和社会主义核心价值观、创建文明城市等公益广告；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9.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按有关规定规范住宅专项维修资金的管理和使用。</w:t>
            </w:r>
          </w:p>
        </w:tc>
        <w:tc>
          <w:tcPr>
            <w:tcW w:w="2896" w:type="dxa"/>
            <w:vAlign w:val="center"/>
          </w:tcPr>
          <w:p>
            <w:pPr>
              <w:spacing w:line="276" w:lineRule="auto"/>
              <w:ind w:firstLine="360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  <w:t>1.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综合管理成本包括：管理人员工资费用、用于物业服务的固定资产折旧及办公费用、社区文化活动费用等。</w:t>
            </w:r>
          </w:p>
          <w:p>
            <w:pPr>
              <w:spacing w:line="276" w:lineRule="auto"/>
              <w:ind w:firstLine="360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  <w:t>2.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分级服务要求有二条达不到标准的，收费标准应适当下调；有三条或以上达不到标准的按低一级标准收费。</w:t>
            </w:r>
          </w:p>
          <w:p>
            <w:pPr>
              <w:spacing w:line="276" w:lineRule="auto"/>
              <w:ind w:firstLine="360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  <w:t>3.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管理人员指小区物业服务处除工程、绿化、清洁卫生、秩序维护人员等操作层以外的所有人员。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服务等级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一级</w:t>
            </w:r>
          </w:p>
        </w:tc>
        <w:tc>
          <w:tcPr>
            <w:tcW w:w="3119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二级</w:t>
            </w: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三级</w:t>
            </w:r>
          </w:p>
        </w:tc>
        <w:tc>
          <w:tcPr>
            <w:tcW w:w="2896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分项指导价（元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  <w:t>/平方米·月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）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31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3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289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设有物业服务中心，配置信息化管理系统。配备专职客户服务人员，公示24小时服务电话，受理业主来电来访、咨询、报修和投诉。物业服务人员在涉及住宅小区内水电气等急修15分钟内到场，其它报修按双方约定时间及时到达现场，有完整的报修、维修和投诉回访记录，回访率100%。建立夜间物业服务人员值班制度，能及时处理突发紧急事件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设有物业服务中心，配置信息化管理系统。配备专职客户服务人员，公示24小时服务电话，受理业主来电来访、咨询、报修和投诉。物业服务人员在涉及住宅小区内水电气等急修20分钟内到场，其它报修按双方约定时间及时到达现场，有完整的报修、维修和投诉回访记录，回访率90%。建立夜间物业服务人员值班制度，能及时处理突发紧急事件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设有物业服务中心，配置信息化管理系统。配备专职客户服务人员，公示24小时服务电话，受理业主来电来访、咨询、报修和投诉。物业服务人员在涉及住宅小区内水电气等急修30分钟内到场，其它报修按双方约定时间及时到达现场，有完整的报修、维修和投诉回访记录，回访率80%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1.设有物业服务中心，公示服务电话，受理业主来电来访、咨询、报修和投诉；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2.完善业主信息和小区信息，设置档案资料室，并配备专职档案管理员；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2.完善业主信息和小区信息，设置档案资料室，并配备档案管理员；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2.完善业主信息和小区信息，整理保存档案资料；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2.完善业主信息和小区信息，整理保存档案资料；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3.每季度公示一次物业服务收费情况、代收代缴费用情况以及电梯、消防、水质检测等重大合同签订情况；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3.每半年公示一次物业服务收费情况、代收代缴费用情况以及电梯、消防、水质检测等重大合同签订情况；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3.每年公示一次物业服务收费情况、代收代缴费用情况以及电梯、消防、水质检测等重大合同签订情况；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3.每年公示一次物业服务收费情况、代收代缴费用情况；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4.建立培训制度，对物业服务人员进行培训，覆盖率达到100%。培训时长每年每人不低于40个课时（每个课时不少于45分钟）；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4.建立培训制度，对物业服务人员进行培训，覆盖率达到100%。培训时长每年每人不低于30个课时（每个课时不少于45分钟）；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4.建立培训制度，对物业服务人员进行培训，覆盖率达到100%。培训时长每年每人不低于20个课时（每个课时不少于45分钟）；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4.建立培训制度，对物业服务人员进行培训，覆盖率达到100%。培训时长每年每人不低于10个课时（每个课时不少于45分钟）；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5.每半年进行一次物业服务满意度调查，覆盖面应达到已入住户数的90%以上，满意率达95%以上，公示满意度调查结果，并有整改报告和回访记录，回访率95%以上；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5.每年进行一次物业服务满意度调查，覆盖面应达到已入住户数的80%以上，满意率达90%以上，公示满意度调查结果，并有整改报告和回访记录，回访率90%；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5.每年进行一次物业服务满意度调查，覆盖面应达到已入住户数的70%以上，满意率达80%以上，公示满意度调查结果，并有整改报告；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5.每年进行一次物业服务满意度调查，覆盖面应达到已入住户数的60%以上，满意率达70%以上，公示满意度调查结果；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 xml:space="preserve">6.每年至少开展4次以上的健康有益的社区文化活动，做好宣传服务工作。 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6.每年至少开展2次以上的健康有益的社区文化活动，做好宣传服务工作。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6.每年至少开展1次健康有益的社区文化活动，做好宣传服务工作。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 xml:space="preserve">6.积极配合做好宣传活动。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948" w:type="dxa"/>
            <w:gridSpan w:val="5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  <w:t>房屋管理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1052" w:type="dxa"/>
            <w:gridSpan w:val="4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  <w:t>基本要求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1052" w:type="dxa"/>
            <w:gridSpan w:val="4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1.按有关法规政策规定、物业服务合同和业主公约约定对房屋及配套设施进行管理服务；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2.建立完善的房屋共用部位管理制度，实施有效的日常管理和维修养护，检修记录和保养记录齐全；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3.巡检时发现损坏需修复的，保修期内应及时保修，保修期外的，应及时告知业委会并公告，并根据业主表决结果组织维修；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4.建立住宅装饰装修管理制度，并公示：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5.及时劝阻违反规划私搭乱建和擅自改变房屋用途、违规违章装修等侵害公共利益的行为，对劝阻未果的，应及时报告当地居委会或街道办。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  <w:t>1.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房屋管理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  <w:t>成本包括：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用于房屋及配套设施的维修养护费用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  <w:t>。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  <w:t>2.分级服务要求有二条达不到标准的，收费标准应适当下调；有三条或以上达不到标准的按低一级标准收费。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96" w:type="dxa"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1.对房屋及配套设施设备进行管理，主要设施设备完好率不低于95%；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1.对房屋及配套设施设备进行管理，主要设施设备完好率不低于90%；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1.对房屋及配套设施设备进行管理，主要设施设备完好率不低于80%；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1.对房屋及配套设施设备进行管理，主要设施设备完好率不低于70%；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2.每日至少巡查1次小区房屋单元门、楼梯通道、地下室及其他共用部位的门窗、玻璃、消防器材等，做好巡查记录，并及时维修养护；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2.至少每3日巡查1次小区房屋单元门、楼梯通道、地下室及其他共用部位的门窗、玻璃、消防器材等，做好巡查记录，并及时维修养护；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2.至少每周巡查1次小区房屋单元门、楼梯通道、地下室及其他共用部位的门窗、玻璃、消防器材等，做好巡查记录，并及时维修养护；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2.至少每两周巡查1次小区房屋单元门、楼梯通道、地下室及其他共用部位的门窗、玻璃、消防器材等，做好巡查记录，并及时维修养护；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3.在装饰装修期间，每日至少巡查2次现场，并及时劝阻存在涉嫌违法违规的行为，必要时立即向相关主管部门报告；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3.在装饰装修期间，每日至少巡查1次现场，并及时劝阻存在涉嫌违法违规的行为，必要时立即向相关主管部门报告；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3.在装饰装修期间，每周至少巡查3次现场，并及时劝阻存在涉嫌违法违规的行为，必要时立即向相关主管部门报告；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3.在装饰装修期间，每周至少巡查1次现场，并及时劝阻存在涉嫌违法违规的行为，必要时立即向相关主管部门报告；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4.每半年检查1次外墙贴饰面或抹灰、屋檐、阳台、雨罩、空调室外机支撑构件等；每季度检查1次共用部位的室内地面、墙面、天棚、室外屋面、散水等。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4.每年检查1次外墙贴饰面或抹灰、屋檐、阳台、雨罩、空调室外机支撑构件等；每半年检查1次共用部位的室内地面、墙面、天棚、室外屋面、散水等。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4.每2年检查1次外墙贴饰面或抹灰、屋檐、阳台、雨罩、空调室外机支撑构件等；每年检查1次共用部位的室内地面、墙面、天棚、室外屋面、散水等。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  <w:t>.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房屋外观无重大缺损现象。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948" w:type="dxa"/>
            <w:gridSpan w:val="5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lang w:val="en-US" w:eastAsia="zh-CN"/>
                <w14:ligatures w14:val="none"/>
              </w:rPr>
              <w:t>二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  <w:t>、共用设施设备的维护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52" w:type="dxa"/>
            <w:gridSpan w:val="4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  <w:t>基本要求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1052" w:type="dxa"/>
            <w:gridSpan w:val="4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1.建立共用设施设备的维保计划及巡查维修记录；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2.建立共用设施设备安全操作规程、紧急处理预案等规章制度，对小区内安全隐患部位落实防范措施、设置警示标识；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3.专业维保人员应持证上岗；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4.共用设施设备，应达到规定的保养标准；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建立完善的电梯管理制度，委托具备相关资质的电梯维护保养机构定期保养，由具有电梯检测资质的部门进行年检，并公示年检报告，确保电梯24小时正常运行，轿厢内按钮、灯具、通话系统、监控等设备正常运行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6.确保消防设施设备完好，可随时启用。确保消防通道畅通；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7.接到相关部门停水、停电、停气等通知后，应及时通知住户。</w:t>
            </w:r>
          </w:p>
        </w:tc>
        <w:tc>
          <w:tcPr>
            <w:tcW w:w="2896" w:type="dxa"/>
          </w:tcPr>
          <w:p>
            <w:pPr>
              <w:spacing w:line="276" w:lineRule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1.共用设施设备的维护成本包括：设施设备维护人工费用、材料费用、及公共水电费。</w:t>
            </w:r>
          </w:p>
          <w:p>
            <w:pPr>
              <w:spacing w:line="276" w:lineRule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2.分级服务要求有三条达不到标准的,收费标准应适当下调，有四条或以上达不到标准的，按低一级标准收费。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3.工程人员是指设施设备管理、操作、维护人员。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服务等级</w:t>
            </w: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一级</w:t>
            </w:r>
          </w:p>
        </w:tc>
        <w:tc>
          <w:tcPr>
            <w:tcW w:w="3119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二级</w:t>
            </w: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三级</w:t>
            </w:r>
          </w:p>
        </w:tc>
        <w:tc>
          <w:tcPr>
            <w:tcW w:w="2896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696" w:type="dxa"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分项指导价（元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  <w:t>/平方米·月）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1.排水系统：每周至少巡检1次，对检查中发现的问题及时修复，保证排水（污）管道疏通；每年至少组织1次防汛演练；每年汛期过后应集中组织全面检查；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1.排水系统：每半月至少巡检1次，对检查中发现的问题及时修复，保证排水（污）管道疏通；每年至少组织1次防汛演练；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1.排水系统：每月至少巡检1次，对检查中发现的问题及时修复，保证排水（污）管道疏通；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1.排水系统：不定期巡检，对检查中发现的问题及时修复，保证排水（污）管道疏通；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2.供配电系统：每日至少巡检1次，并做好巡检记录；配电柜及主要设备每年保养不少于2次；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2.供配电系统：每周至少巡检3次，并做好巡检记录；配电柜及主要设备每年保养不少于1次；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2.供配电系统：每周至少巡检1次，并做好巡检记录；配电柜及主要设备视情况组织保养；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2.供配电系统：不定期巡检，并做好巡检记录；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3.照明系统：灯具外观整洁，无松脱，无报损，无安全隐患；照明故障12小时内修复；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3.照明系统：灯具外观整洁，无松脱，无报损，无安全隐患；照明故障24小时内修复；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3.照明系统：灯具外观整洁，无松脱，无报损，无安全隐患；照明故障48小时内修复；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3.照明系统：灯具外观整洁，无松脱，无报损，无安全隐患；照明故障及时修复；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4.对二次供水设施建立水质管理制度，每季度对蓄水池、二次供水水箱进行1次清洗、消毒，水质复核卫生要求，定期巡查；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4.每半年对二次供水设施进行1次清洗消毒，并委托专业机构对小区生活供水进行水质检测，并公示检测结果；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4.每年对二次供水设施进行1次清洗消毒，并委托专业机构对小区生活供水进行水质检测，并公示检测结果；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4.每年对二次供水设施进行1次清洗消毒；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5.其他共用设施设备，每日至少巡检1次，发现问题及时处理，并做好巡检记录。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5.其他共用设施设备，每周至少巡检3次，发现问题及时处理，并做好巡检记录。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5.其他共用设施设备，每周至少巡检1次，发现问题及时处理，并做好巡检记录。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5.其他共用设施设备，每月至少巡检1次，发现问题及时处理，并做好巡检记录。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948" w:type="dxa"/>
            <w:gridSpan w:val="5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lang w:val="en-US" w:eastAsia="zh-CN"/>
                <w14:ligatures w14:val="none"/>
              </w:rPr>
              <w:t>三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  <w:t>、公共秩序维护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52" w:type="dxa"/>
            <w:gridSpan w:val="4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  <w:t>基本要求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1052" w:type="dxa"/>
            <w:gridSpan w:val="4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1.配有专职的秩序维护员，并完善各类管理制度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2.秩序维护员上岗时佩戴统一标志或穿戴统一服装；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3.制定火警、盗警、地震、台风、爆炸、人员急救、煤气泄漏、高空掷（坠）物伤人及其他不可预见紧急事件等应急处理预案，在遇到突发事件时，采取有效措施，启动相应预案，防止事态扩大；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4.对车辆进行有效管理和疏导，车辆停放有序。</w:t>
            </w:r>
          </w:p>
        </w:tc>
        <w:tc>
          <w:tcPr>
            <w:tcW w:w="2896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  <w:r>
              <w:rPr>
                <w:rFonts w:ascii="仿宋" w:hAnsi="仿宋" w:eastAsia="仿宋"/>
                <w:color w:val="auto"/>
                <w:szCs w:val="21"/>
              </w:rPr>
              <w:t>.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公共秩序成本包括：公共秩序维护人员人工费用、安防设施设备购置费用及维护费用等。</w:t>
            </w:r>
          </w:p>
          <w:p>
            <w:pPr>
              <w:spacing w:line="276" w:lineRule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  <w:r>
              <w:rPr>
                <w:rFonts w:ascii="仿宋" w:hAnsi="仿宋" w:eastAsia="仿宋"/>
                <w:color w:val="auto"/>
                <w:szCs w:val="21"/>
              </w:rPr>
              <w:t>.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分级服务要求有一至二条达不到标准的，收费标准应适当下调；若有三条或以上达不到标准的按低一级标准收费。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</w:t>
            </w:r>
            <w:r>
              <w:rPr>
                <w:rFonts w:ascii="仿宋" w:hAnsi="仿宋" w:eastAsia="仿宋"/>
                <w:color w:val="auto"/>
                <w:szCs w:val="21"/>
              </w:rPr>
              <w:t>.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保安人员指保安主管、保安员。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服务等级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一级</w:t>
            </w:r>
          </w:p>
        </w:tc>
        <w:tc>
          <w:tcPr>
            <w:tcW w:w="3119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二级</w:t>
            </w: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三级</w:t>
            </w:r>
          </w:p>
        </w:tc>
        <w:tc>
          <w:tcPr>
            <w:tcW w:w="2896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696" w:type="dxa"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分项指导价（元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  <w:t>/平方米·月）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1.小区有安装监控设备，并设有专门的监控中心，24小时有人员值守，保证各项监控设备24小时正常运行，完好率不低于98%；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1.小区有安装监控设备，并设有专门的监控中心，24小时有人员值守，保证各项监控设备24小时正常运行，完好率不低于90%；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1.小区有安装监控设备，并设有专门的监控中心，保证各项监控设备24小时正常运行，完好率不低于85%；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1.小区有安装监控设备，并设有专门的监控中心，保证各项监控设备24小时正常运行，完好率不低于80%；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2.小区主出入口双人执勤，24小时值班看守，有详细交接班记录和外来访客和车辆的登记记录。无人值守的出入口应定期巡查并有巡查记录；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2.小区主出入口至少有1人以上执勤，24小时值班看守，有详细交接班记录和外来访客和车辆的登记记录。无人值守的出入口应定期巡查并有巡查记录；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2.小区主出入口至少有1人以上执勤，24小时值班看守，有详细交接班记录和外来访客和车辆的登记记录。无人值守的出入口应定期巡查并有巡查记录；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2.小区主出入口至少有1人以上执勤，24小时值班看守，有详细交接班记录和外来访客和车辆的登记记录。无人值守的出入口应定期巡查并有巡查记录；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3.对车辆实施有效管理，有专职人员24小时巡视和协助停车事宜，及时处理车辆停放不规范的现象；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3.对车辆实施有效管理，有专职人员协助停车事宜，及时处理车辆停放不规范的现象；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3.对车辆实施有效管理，及时处理车辆停放不规范的现象；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3.对车辆实施有效管理，及时处理车辆停放不规范的现象；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4.合理设置巡逻路线，每天巡逻不少于4次；重点部位、重点时间以及特殊情况加强巡逻，并做好记录；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4.合理设置巡逻路线，每天巡逻不少于2次；重点部位、重点时间以及特殊情况加强巡逻，并做好记录；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4.合理设置巡逻路线，每天巡逻不少于1次；重点部位、重点时间以及特殊情况加强巡逻，并做好记录；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4.合理设置巡逻路线，每天巡逻不少于1次；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5.每日对重点区域开展防火检查，做好巡查记录，保障疏散通道、安全出口、消防车通道畅通，消防车作业场地不被占用；每周对共用消防设施、器材及消防安全标志开展维护管理，确保完好有效；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每日对重点区域开展防火检查，做好巡查记录，确保消防通道畅通；每周对共用消防设施、器材及消防安全标志开展维护管理，确保完好有效；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5.每周对重点区域开展防火检查，做好巡查记录，确保消防通道畅通；每月对共用消防设施、器材及消防安全标志开展维护管理，确保完好有效；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5.加强对管理区域内共用部位的防火管理，确保消防通道畅通；加强共用消防设施、器材及消防安全标志的维护管理，确保完好有效；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6.秩序维护人员必须根据相关法律法规进行岗位流程培训后方能上岗。每半年开展2次安全防范教育培训，每年开展4次专项治安应急预案演练。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6.秩序维护人员必须根据相关法律法规进行岗位流程培训后方能上岗。每半年开展1次安全防范教育培训，每年开展2次专项治安应急预案演练。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6.秩序维护人员必须根据相关法律法规进行岗位流程培训后方能上岗。每年开展1次安全防范教育培训，每年开展1次专项治安应急预案演练。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6.秩序维护人员必须根据相关法律法规进行岗位流程培训后方能上岗。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948" w:type="dxa"/>
            <w:gridSpan w:val="5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lang w:val="en-US" w:eastAsia="zh-CN"/>
                <w14:ligatures w14:val="none"/>
              </w:rPr>
              <w:t>四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  <w:t>、保洁服务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52" w:type="dxa"/>
            <w:gridSpan w:val="4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  <w:t>基本要求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1052" w:type="dxa"/>
            <w:gridSpan w:val="4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1.各类清洁设施设备配备齐全，并有专人管理；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2.各类管理制度完善；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3.垃圾日产日清，保持公共区域整洁、无异味；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4.严禁使用不合格的清洁剂；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5.定期做好消杀工作。</w:t>
            </w:r>
          </w:p>
        </w:tc>
        <w:tc>
          <w:tcPr>
            <w:tcW w:w="2896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  <w:r>
              <w:rPr>
                <w:rFonts w:ascii="仿宋" w:hAnsi="仿宋" w:eastAsia="仿宋"/>
                <w:color w:val="auto"/>
                <w:szCs w:val="21"/>
              </w:rPr>
              <w:t>.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保洁服务成本包括：清洁人员人工费用、清洁器具及材料费用，垃圾清运费，除四害消杀费等。</w:t>
            </w:r>
          </w:p>
          <w:p>
            <w:pPr>
              <w:spacing w:line="276" w:lineRule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  <w:r>
              <w:rPr>
                <w:rFonts w:ascii="仿宋" w:hAnsi="仿宋" w:eastAsia="仿宋"/>
                <w:color w:val="auto"/>
                <w:szCs w:val="21"/>
              </w:rPr>
              <w:t>.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分级服务要求有二条达不到标准的，收费标准应适当下调；有三条或以上达不到标准的，按低一级标准收费。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</w:t>
            </w:r>
            <w:r>
              <w:rPr>
                <w:rFonts w:ascii="仿宋" w:hAnsi="仿宋" w:eastAsia="仿宋"/>
                <w:color w:val="auto"/>
                <w:szCs w:val="21"/>
              </w:rPr>
              <w:t>.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清洁卫生人员指清洁卫生管理人员、清洁工。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服务等级</w:t>
            </w: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一级</w:t>
            </w:r>
          </w:p>
        </w:tc>
        <w:tc>
          <w:tcPr>
            <w:tcW w:w="3119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二级</w:t>
            </w: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三级</w:t>
            </w:r>
          </w:p>
        </w:tc>
        <w:tc>
          <w:tcPr>
            <w:tcW w:w="2896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96" w:type="dxa"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分项指导价（元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  <w:t>/平方米·月）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0.14 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1.室外公共区域保洁，每日至少清扫2次，目视干净整洁，无卫生死角；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1.室外公共区域保洁，每日至少清扫1次，目视干净整洁，无卫生死角；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1.室外公共区域定期保洁，目视干净整洁，无卫生死角；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1.保持室外公共区域清洁；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2.水池、沟渠、检查井等至少每周清理2次，达到无灰尘、无污渍、无积土；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2.水池、沟渠、检查井等至少每周清理1次，达到无灰尘、无污渍、无积土；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2.水池、沟渠、检查井等至少每半月清理1次，达到无灰尘、无污渍、无积土；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2.水池、沟渠、检查井等至少每月清理1次，达到无灰尘、无污渍、无积土；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3.室内公共区域保洁，每日至少拖扫1次，达到无灰尘、无垃圾、地面干净；公共活动场所，每日至少拖扫2次；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3.室内公共区域保洁，每三日至少拖扫1次，达到无灰尘、无垃圾、地面干净；公共活动场所，每日至少拖扫1次；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3.室内公共区域保洁，每周至少拖扫1次，达到无灰尘、无垃圾、地面干净；公共活动场所，每日至少拖扫1次；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3.保持室内公共区域清洁；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4.室内地面根据地板材质保养，1次/2个月打蜡或清洗，目视清洁光亮、无灰尘；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4.室内地面根据地板材质保养，1次/4个月打蜡或清洗，目视清洁光亮、无灰尘；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4.室内地面根据地板材质保养，1次/6个月打蜡或清洗，目视清洁光亮、无灰尘；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4.室内地面根据地板材质保养，目视清洁；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5.垃圾分类收集，每日收集并至少清运1次。垃圾桶、垃圾房或垃圾投放点每天至少冲洗一次，保持清洁，无明显异味；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5.垃圾分类收集，每日收集并至少清运1次。垃圾桶、垃圾房或垃圾投放点每周至少冲洗一次，保持清洁，无明显异味；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5.每日收集并至少清运1次。垃圾桶、垃圾房或垃圾投放点保持清洁，无明显异味，无脏乱差现象；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5.每日收集并及时清运。垃圾桶、垃圾房或垃圾投放点保持清洁，无明显异味，无脏乱差现象；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  <w:t xml:space="preserve"> </w:t>
            </w: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  <w:t>6.雨污水井、管道及化粪池，每月检查1次，每季度疏通清理1次。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6.雨污水井、管道及化粪池，每季度检查1次，每半年疏通清理1次。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6.雨污水井、管道及化粪池，每半年度检查1次，每年疏通清理1次。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6.雨污水井、管道及化粪池，定期疏通清理。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948" w:type="dxa"/>
            <w:gridSpan w:val="5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lang w:val="en-US" w:eastAsia="zh-CN"/>
                <w14:ligatures w14:val="none"/>
              </w:rPr>
              <w:t>五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  <w:t>、绿化养护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52" w:type="dxa"/>
            <w:gridSpan w:val="4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  <w:t>基本要求</w:t>
            </w:r>
          </w:p>
        </w:tc>
        <w:tc>
          <w:tcPr>
            <w:tcW w:w="2896" w:type="dxa"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14:ligatures w14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1052" w:type="dxa"/>
            <w:gridSpan w:val="4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1.有专业人员进行绿化管理，各类制度健全；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3.草坪生长良好，及时修剪和补种，花卉、绿篱、树木根据其品种和生长情况，及时修剪整形；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4.做好病虫害防治工作；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5.使用化学药剂，必须严格执行国家现行有关规定；选用高效低毒、低残留的药剂控制有害生物的危害，并在喷药前安民告示；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6.打捞漂浮杂物，保持水体清洁，水面无漂浮物；定期对水体投放药剂或进行其它处理，保持水体无异味。</w:t>
            </w:r>
          </w:p>
        </w:tc>
        <w:tc>
          <w:tcPr>
            <w:tcW w:w="2896" w:type="dxa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  <w:r>
              <w:rPr>
                <w:rFonts w:ascii="仿宋" w:hAnsi="仿宋" w:eastAsia="仿宋"/>
                <w:color w:val="auto"/>
                <w:szCs w:val="21"/>
              </w:rPr>
              <w:t>.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园林绿化成本包括：园林绿化人员人工费用、材料费用、公共水费。</w:t>
            </w:r>
          </w:p>
          <w:p>
            <w:pPr>
              <w:spacing w:line="276" w:lineRule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  <w:r>
              <w:rPr>
                <w:rFonts w:ascii="仿宋" w:hAnsi="仿宋" w:eastAsia="仿宋"/>
                <w:color w:val="auto"/>
                <w:szCs w:val="21"/>
              </w:rPr>
              <w:t>.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分级服务要求有三条达不到标准的，收费标准应适当下调；若有四条或以上达不到标准的按低一级标准收费。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96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服务等级</w:t>
            </w: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一级</w:t>
            </w:r>
          </w:p>
        </w:tc>
        <w:tc>
          <w:tcPr>
            <w:tcW w:w="3119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二级</w:t>
            </w: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三级</w:t>
            </w:r>
          </w:p>
        </w:tc>
        <w:tc>
          <w:tcPr>
            <w:tcW w:w="2896" w:type="dxa"/>
            <w:noWrap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696" w:type="dxa"/>
            <w:vAlign w:val="center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分项指导价（元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  <w:t>/平方米·月）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1.配备专业人员实施绿化养护管理；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1.配备专业人员实施绿化养护管理；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1.有专职人员实施绿化养护管理；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1.定期修剪、养护草坪、花卉、绿篱、树木；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2.建立树木档案，对于名贵树木应单独建档并专人负责；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2.建立名贵树木档案；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2.定期修剪、养护草坪、花卉、绿篱、树木，保障各种绿化植物长势良好；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2.预防花草树木病虫害，喷洒药物前需有明显提示；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3.小区绿化成活率95%以上，长势茂盛，缺株适时进行补种；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  <w:t>.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小区绿化成活率80%以上，长势茂盛，缺株适时进行补种；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3.绿地平整清洁，无明显的杂草、杂物、垃圾和搭棚、侵占等现象；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3.保持绿地整洁；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4.按植物品种、生长状况、土壤条件适时适量施肥，满足植物生长需要。定期喷洒农药，预防病虫害；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4.按植物品种、生长状况、土壤条件适时适量施肥，满足植物生长需要。定期喷洒农药，预防病虫害；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4.定期喷洒药物，预防病虫害。喷洒药物前需有明显提示；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4.做好预防病虫害工作；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5.草坪长势良好，修剪整齐，保持常绿，基本无杂草；乔、灌木、攀缘植物每年修剪四次以上，树冠完整，形态优美，无枯枝、缺枝；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5.草坪长势良好，修剪整齐，保持常绿，基本无杂草；乔、灌木、攀缘植物每年修剪两次以上，树冠完整，形态优美，无枯枝、缺枝；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5.草坪长势良好，修剪整齐；乔、灌木、攀缘植物每年修剪一次以上，无枯枝、缺枝；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5.定期修剪，保持草坪和树木整洁；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</w:p>
        </w:tc>
        <w:tc>
          <w:tcPr>
            <w:tcW w:w="2977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6.花坛适时修剪，及时更换枯死、损毁的花木，及时清除枯萎的花蒂、黄叶、杂草、垃圾；绿化带中无堆物、搭棚、践踏、侵占等现象。</w:t>
            </w:r>
          </w:p>
        </w:tc>
        <w:tc>
          <w:tcPr>
            <w:tcW w:w="3119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6.花坛适时修剪，及时更换枯死、损毁的花木；绿化带中无堆物、搭棚、践踏、侵占等现象。</w:t>
            </w:r>
          </w:p>
        </w:tc>
        <w:tc>
          <w:tcPr>
            <w:tcW w:w="3260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6.花坛适时修剪；绿化带无杂物。</w:t>
            </w:r>
          </w:p>
        </w:tc>
        <w:tc>
          <w:tcPr>
            <w:tcW w:w="2896" w:type="dxa"/>
          </w:tcPr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14:ligatures w14:val="none"/>
              </w:rPr>
              <w:t>6.保持花坛和绿化带整洁。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5BAB15B-EF77-4FDE-9047-A34C9D6410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5859AD5-8F3C-488D-B2BF-363183C3E4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33E7F01-C126-4D33-8712-6BBBBCEA93B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4321175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0.25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gszAnWAAAACQ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22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3YjcwYTUyNDkzZDRmZGFlY2JkZDJhYmNiMjcxODcifQ=="/>
  </w:docVars>
  <w:rsids>
    <w:rsidRoot w:val="00D032EA"/>
    <w:rsid w:val="000B6BC2"/>
    <w:rsid w:val="00317A23"/>
    <w:rsid w:val="008C6A20"/>
    <w:rsid w:val="00D032EA"/>
    <w:rsid w:val="19755C4F"/>
    <w:rsid w:val="2C8F0FA7"/>
    <w:rsid w:val="2E257FDA"/>
    <w:rsid w:val="4FB42D96"/>
    <w:rsid w:val="68F645FE"/>
    <w:rsid w:val="733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12</Pages>
  <Words>1291</Words>
  <Characters>7364</Characters>
  <Lines>61</Lines>
  <Paragraphs>17</Paragraphs>
  <TotalTime>0</TotalTime>
  <ScaleCrop>false</ScaleCrop>
  <LinksUpToDate>false</LinksUpToDate>
  <CharactersWithSpaces>8638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2023-12-19T13:15:00Z</dcterms:created>
  <dc:creator>仙女 小</dc:creator>
  <cp:lastModifiedBy>瑶</cp:lastModifiedBy>
  <cp:lastPrinted>2024-01-17T02:03:00Z</cp:lastPrinted>
  <dcterms:modified xsi:type="dcterms:W3CDTF">2024-05-13T09:04:24Z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8118BA69D00A4666881F16868575A54B_12</vt:lpwstr>
  </property>
</Properties>
</file>