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5A7A9">
      <w:pPr>
        <w:keepNext w:val="0"/>
        <w:keepLines w:val="0"/>
        <w:pageBreakBefore w:val="0"/>
        <w:kinsoku/>
        <w:overflowPunct/>
        <w:topLinePunct w:val="0"/>
        <w:bidi w:val="0"/>
        <w:spacing w:line="590" w:lineRule="exact"/>
        <w:textAlignment w:val="auto"/>
        <w:rPr>
          <w:rFonts w:ascii="Arial" w:hAnsi="Arial" w:eastAsia="Arial" w:cs="Arial"/>
          <w:b/>
          <w:color w:val="auto"/>
          <w:sz w:val="36"/>
        </w:rPr>
      </w:pPr>
      <w:r>
        <w:rPr>
          <w:rFonts w:ascii="Arial" w:hAnsi="Arial" w:eastAsia="Arial" w:cs="Arial"/>
          <w:b/>
          <w:color w:val="auto"/>
          <w:sz w:val="36"/>
        </w:rPr>
        <w:t>监督索引号53042400347701000</w:t>
      </w:r>
    </w:p>
    <w:p w14:paraId="6075D7F1">
      <w:pPr>
        <w:keepNext w:val="0"/>
        <w:keepLines w:val="0"/>
        <w:pageBreakBefore w:val="0"/>
        <w:kinsoku/>
        <w:overflowPunct/>
        <w:topLinePunct w:val="0"/>
        <w:bidi w:val="0"/>
        <w:spacing w:line="590" w:lineRule="exact"/>
        <w:jc w:val="center"/>
        <w:textAlignment w:val="auto"/>
        <w:outlineLvl w:val="0"/>
        <w:rPr>
          <w:rFonts w:hint="eastAsia" w:ascii="方正小标宋简体" w:hAnsi="方正小标宋简体" w:eastAsia="方正小标宋简体"/>
          <w:color w:val="auto"/>
          <w:sz w:val="36"/>
          <w:lang w:val="zh-CN"/>
        </w:rPr>
      </w:pPr>
    </w:p>
    <w:p w14:paraId="14FBFAE2">
      <w:pPr>
        <w:keepNext w:val="0"/>
        <w:keepLines w:val="0"/>
        <w:pageBreakBefore w:val="0"/>
        <w:kinsoku/>
        <w:overflowPunct/>
        <w:topLinePunct w:val="0"/>
        <w:bidi w:val="0"/>
        <w:spacing w:line="590" w:lineRule="exact"/>
        <w:jc w:val="center"/>
        <w:textAlignment w:val="auto"/>
        <w:outlineLvl w:val="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lang w:val="zh-CN"/>
        </w:rPr>
        <w:t>华宁县工业商贸和科技信息局</w:t>
      </w:r>
      <w:r>
        <w:rPr>
          <w:rFonts w:hint="default" w:ascii="Times New Roman" w:hAnsi="Times New Roman" w:eastAsia="方正小标宋_GBK" w:cs="Times New Roman"/>
          <w:color w:val="auto"/>
          <w:sz w:val="44"/>
          <w:szCs w:val="44"/>
          <w:highlight w:val="none"/>
          <w:lang w:val="en-US" w:eastAsia="zh-CN"/>
        </w:rPr>
        <w:t>2024</w:t>
      </w:r>
      <w:r>
        <w:rPr>
          <w:rFonts w:hint="default" w:ascii="Times New Roman" w:hAnsi="Times New Roman" w:eastAsia="方正小标宋_GBK" w:cs="Times New Roman"/>
          <w:color w:val="auto"/>
          <w:sz w:val="44"/>
          <w:szCs w:val="44"/>
          <w:highlight w:val="none"/>
        </w:rPr>
        <w:t>年度</w:t>
      </w:r>
    </w:p>
    <w:p w14:paraId="68D37F6C">
      <w:pPr>
        <w:keepNext w:val="0"/>
        <w:keepLines w:val="0"/>
        <w:pageBreakBefore w:val="0"/>
        <w:kinsoku/>
        <w:overflowPunct/>
        <w:topLinePunct w:val="0"/>
        <w:bidi w:val="0"/>
        <w:spacing w:line="590" w:lineRule="exact"/>
        <w:jc w:val="center"/>
        <w:textAlignment w:val="auto"/>
        <w:outlineLvl w:val="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部门决算</w:t>
      </w:r>
    </w:p>
    <w:p w14:paraId="46AD6293">
      <w:pPr>
        <w:keepNext w:val="0"/>
        <w:keepLines w:val="0"/>
        <w:pageBreakBefore w:val="0"/>
        <w:kinsoku/>
        <w:overflowPunct/>
        <w:topLinePunct w:val="0"/>
        <w:bidi w:val="0"/>
        <w:spacing w:line="590" w:lineRule="exact"/>
        <w:jc w:val="center"/>
        <w:textAlignment w:val="auto"/>
        <w:rPr>
          <w:rFonts w:hint="eastAsia" w:ascii="方正小标宋简体" w:hAnsi="方正小标宋简体" w:eastAsia="方正小标宋简体" w:cs="方正小标宋简体"/>
          <w:color w:val="auto"/>
          <w:sz w:val="36"/>
          <w:szCs w:val="36"/>
          <w:highlight w:val="none"/>
        </w:rPr>
      </w:pPr>
    </w:p>
    <w:p w14:paraId="07494943">
      <w:pPr>
        <w:keepNext w:val="0"/>
        <w:keepLines w:val="0"/>
        <w:pageBreakBefore w:val="0"/>
        <w:kinsoku/>
        <w:overflowPunct/>
        <w:topLinePunct w:val="0"/>
        <w:bidi w:val="0"/>
        <w:spacing w:line="590" w:lineRule="exact"/>
        <w:jc w:val="center"/>
        <w:textAlignment w:val="auto"/>
        <w:outlineLvl w:val="0"/>
        <w:rPr>
          <w:rFonts w:hint="eastAsia" w:ascii="方正小标宋_GBK" w:hAnsi="方正小标宋_GBK" w:eastAsia="方正小标宋_GBK" w:cs="方正小标宋_GBK"/>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lang w:eastAsia="zh-CN"/>
        </w:rPr>
        <w:t>目录</w:t>
      </w:r>
    </w:p>
    <w:p w14:paraId="5B30BE3B">
      <w:pPr>
        <w:keepNext w:val="0"/>
        <w:keepLines w:val="0"/>
        <w:pageBreakBefore w:val="0"/>
        <w:kinsoku/>
        <w:overflowPunct/>
        <w:topLinePunct w:val="0"/>
        <w:bidi w:val="0"/>
        <w:spacing w:line="590" w:lineRule="exact"/>
        <w:jc w:val="left"/>
        <w:textAlignment w:val="auto"/>
        <w:rPr>
          <w:rFonts w:hint="eastAsia" w:ascii="黑体" w:hAnsi="黑体" w:eastAsia="黑体"/>
          <w:color w:val="auto"/>
          <w:sz w:val="30"/>
          <w:szCs w:val="30"/>
          <w:highlight w:val="none"/>
        </w:rPr>
      </w:pPr>
    </w:p>
    <w:p w14:paraId="19B4F14E">
      <w:pPr>
        <w:keepNext w:val="0"/>
        <w:keepLines w:val="0"/>
        <w:pageBreakBefore w:val="0"/>
        <w:kinsoku/>
        <w:overflowPunct/>
        <w:topLinePunct w:val="0"/>
        <w:bidi w:val="0"/>
        <w:spacing w:line="590" w:lineRule="exact"/>
        <w:jc w:val="left"/>
        <w:textAlignment w:val="auto"/>
        <w:outlineLvl w:val="0"/>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 xml:space="preserve">第一部分  </w:t>
      </w:r>
      <w:r>
        <w:rPr>
          <w:rFonts w:hint="eastAsia" w:ascii="方正黑体_GBK" w:hAnsi="方正黑体_GBK" w:eastAsia="方正黑体_GBK" w:cs="方正黑体_GBK"/>
          <w:color w:val="auto"/>
          <w:sz w:val="32"/>
          <w:szCs w:val="32"/>
          <w:highlight w:val="none"/>
          <w:lang w:eastAsia="zh-CN"/>
        </w:rPr>
        <w:t>部门</w:t>
      </w:r>
      <w:r>
        <w:rPr>
          <w:rFonts w:hint="eastAsia" w:ascii="方正黑体_GBK" w:hAnsi="方正黑体_GBK" w:eastAsia="方正黑体_GBK" w:cs="方正黑体_GBK"/>
          <w:color w:val="auto"/>
          <w:sz w:val="32"/>
          <w:szCs w:val="32"/>
          <w:highlight w:val="none"/>
        </w:rPr>
        <w:t>概况</w:t>
      </w:r>
    </w:p>
    <w:p w14:paraId="16E360ED">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rPr>
        <w:t>一、主要职</w:t>
      </w:r>
      <w:r>
        <w:rPr>
          <w:rFonts w:hint="eastAsia" w:ascii="方正楷体_GBK" w:hAnsi="方正楷体_GBK" w:eastAsia="方正楷体_GBK" w:cs="方正楷体_GBK"/>
          <w:color w:val="auto"/>
          <w:sz w:val="32"/>
          <w:szCs w:val="32"/>
          <w:highlight w:val="none"/>
          <w:lang w:eastAsia="zh-CN"/>
        </w:rPr>
        <w:t>责</w:t>
      </w:r>
    </w:p>
    <w:p w14:paraId="47596930">
      <w:pPr>
        <w:keepNext w:val="0"/>
        <w:keepLines w:val="0"/>
        <w:pageBreakBefore w:val="0"/>
        <w:kinsoku/>
        <w:overflowPunct/>
        <w:topLinePunct w:val="0"/>
        <w:bidi w:val="0"/>
        <w:spacing w:line="590" w:lineRule="exact"/>
        <w:jc w:val="left"/>
        <w:textAlignment w:val="auto"/>
        <w:outlineLvl w:val="1"/>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rPr>
        <w:t>二、</w:t>
      </w:r>
      <w:r>
        <w:rPr>
          <w:rFonts w:hint="eastAsia" w:ascii="方正楷体_GBK" w:hAnsi="方正楷体_GBK" w:eastAsia="方正楷体_GBK" w:cs="方正楷体_GBK"/>
          <w:color w:val="auto"/>
          <w:sz w:val="32"/>
          <w:szCs w:val="32"/>
          <w:highlight w:val="none"/>
          <w:lang w:eastAsia="zh-CN"/>
        </w:rPr>
        <w:t>基本情况</w:t>
      </w:r>
    </w:p>
    <w:p w14:paraId="16DD7293">
      <w:pPr>
        <w:keepNext w:val="0"/>
        <w:keepLines w:val="0"/>
        <w:pageBreakBefore w:val="0"/>
        <w:kinsoku/>
        <w:overflowPunct/>
        <w:topLinePunct w:val="0"/>
        <w:bidi w:val="0"/>
        <w:spacing w:line="590" w:lineRule="exact"/>
        <w:jc w:val="left"/>
        <w:textAlignment w:val="auto"/>
        <w:outlineLvl w:val="1"/>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eastAsia="zh-CN"/>
        </w:rPr>
        <w:t>三、重点工作概述</w:t>
      </w:r>
    </w:p>
    <w:p w14:paraId="46D266E2">
      <w:pPr>
        <w:keepNext w:val="0"/>
        <w:keepLines w:val="0"/>
        <w:pageBreakBefore w:val="0"/>
        <w:kinsoku/>
        <w:overflowPunct/>
        <w:topLinePunct w:val="0"/>
        <w:bidi w:val="0"/>
        <w:spacing w:line="590" w:lineRule="exact"/>
        <w:jc w:val="left"/>
        <w:textAlignment w:val="auto"/>
        <w:outlineLvl w:val="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第二部分  </w:t>
      </w:r>
      <w:r>
        <w:rPr>
          <w:rFonts w:hint="default" w:ascii="Times New Roman" w:hAnsi="Times New Roman" w:eastAsia="方正黑体_GBK" w:cs="Times New Roman"/>
          <w:color w:val="auto"/>
          <w:sz w:val="32"/>
          <w:szCs w:val="32"/>
          <w:highlight w:val="none"/>
          <w:lang w:val="en-US" w:eastAsia="zh-CN"/>
        </w:rPr>
        <w:t>2024</w:t>
      </w:r>
      <w:r>
        <w:rPr>
          <w:rFonts w:hint="default" w:ascii="Times New Roman" w:hAnsi="Times New Roman" w:eastAsia="方正黑体_GBK" w:cs="Times New Roman"/>
          <w:color w:val="auto"/>
          <w:sz w:val="32"/>
          <w:szCs w:val="32"/>
          <w:highlight w:val="none"/>
        </w:rPr>
        <w:t>年度部门决算表</w:t>
      </w:r>
    </w:p>
    <w:p w14:paraId="357F6201">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一、收入支出决算表</w:t>
      </w:r>
    </w:p>
    <w:p w14:paraId="4F65E2ED">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二、收入决算表</w:t>
      </w:r>
    </w:p>
    <w:p w14:paraId="1098228A">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三、支出决算表</w:t>
      </w:r>
    </w:p>
    <w:p w14:paraId="30D83CB8">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四、财政拨款收入支出决算表</w:t>
      </w:r>
    </w:p>
    <w:p w14:paraId="101023A6">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五、一般公共预算财政拨款收入支出决算表</w:t>
      </w:r>
    </w:p>
    <w:p w14:paraId="1EE20952">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六、一般公共预算财政拨款基本支出决算表</w:t>
      </w:r>
    </w:p>
    <w:p w14:paraId="4F22CBB1">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rPr>
        <w:t>七、</w:t>
      </w:r>
      <w:r>
        <w:rPr>
          <w:rFonts w:hint="eastAsia" w:ascii="方正楷体_GBK" w:hAnsi="方正楷体_GBK" w:eastAsia="方正楷体_GBK" w:cs="方正楷体_GBK"/>
          <w:color w:val="auto"/>
          <w:sz w:val="32"/>
          <w:szCs w:val="32"/>
          <w:highlight w:val="none"/>
          <w:lang w:eastAsia="zh-CN"/>
        </w:rPr>
        <w:t>一般公共预算财政拨款项目支出决算表</w:t>
      </w:r>
    </w:p>
    <w:p w14:paraId="7A967A16">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八</w:t>
      </w:r>
      <w:r>
        <w:rPr>
          <w:rFonts w:hint="eastAsia" w:ascii="方正楷体_GBK" w:hAnsi="方正楷体_GBK" w:eastAsia="方正楷体_GBK" w:cs="方正楷体_GBK"/>
          <w:color w:val="auto"/>
          <w:sz w:val="32"/>
          <w:szCs w:val="32"/>
          <w:highlight w:val="none"/>
        </w:rPr>
        <w:t>、政府性基金预算财政拨款收入支出决算表</w:t>
      </w:r>
    </w:p>
    <w:p w14:paraId="5C7212EC">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九、国有资本经营预算财政拨款收入支出决算表</w:t>
      </w:r>
    </w:p>
    <w:p w14:paraId="365D29C4">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十</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财政拨款</w:t>
      </w:r>
      <w:r>
        <w:rPr>
          <w:rFonts w:hint="eastAsia" w:ascii="方正楷体_GBK" w:hAnsi="方正楷体_GBK" w:eastAsia="方正楷体_GBK" w:cs="方正楷体_GBK"/>
          <w:color w:val="auto"/>
          <w:sz w:val="32"/>
          <w:szCs w:val="32"/>
          <w:highlight w:val="none"/>
        </w:rPr>
        <w:t>“三公”经费、行政参公单位机关运行经费情况表</w:t>
      </w:r>
    </w:p>
    <w:p w14:paraId="6F0EE55A">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val="en-US" w:eastAsia="zh-CN"/>
        </w:rPr>
        <w:t>十一、一般公共预算财政拨款“三公”经费情况表</w:t>
      </w:r>
    </w:p>
    <w:p w14:paraId="1A0C9CE6">
      <w:pPr>
        <w:keepNext w:val="0"/>
        <w:keepLines w:val="0"/>
        <w:pageBreakBefore w:val="0"/>
        <w:kinsoku/>
        <w:overflowPunct/>
        <w:topLinePunct w:val="0"/>
        <w:bidi w:val="0"/>
        <w:spacing w:line="590" w:lineRule="exact"/>
        <w:jc w:val="left"/>
        <w:textAlignment w:val="auto"/>
        <w:outlineLvl w:val="0"/>
        <w:rPr>
          <w:rFonts w:hint="eastAsia"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rPr>
        <w:t>第三部</w:t>
      </w:r>
      <w:r>
        <w:rPr>
          <w:rFonts w:hint="eastAsia" w:ascii="Times New Roman" w:hAnsi="Times New Roman" w:eastAsia="方正黑体_GBK" w:cs="Times New Roman"/>
          <w:color w:val="auto"/>
          <w:sz w:val="32"/>
          <w:szCs w:val="32"/>
          <w:highlight w:val="none"/>
          <w:lang w:eastAsia="zh-CN"/>
        </w:rPr>
        <w:t>分</w:t>
      </w:r>
      <w:r>
        <w:rPr>
          <w:rFonts w:hint="eastAsia" w:ascii="Times New Roman" w:hAnsi="Times New Roman" w:eastAsia="方正黑体_GBK" w:cs="Times New Roman"/>
          <w:color w:val="auto"/>
          <w:sz w:val="32"/>
          <w:szCs w:val="32"/>
          <w:highlight w:val="none"/>
        </w:rPr>
        <w:t xml:space="preserve">  </w:t>
      </w:r>
      <w:r>
        <w:rPr>
          <w:rFonts w:hint="eastAsia" w:ascii="Times New Roman" w:hAnsi="Times New Roman" w:eastAsia="方正黑体_GBK" w:cs="Times New Roman"/>
          <w:color w:val="auto"/>
          <w:sz w:val="32"/>
          <w:szCs w:val="32"/>
          <w:highlight w:val="none"/>
          <w:lang w:val="en-US" w:eastAsia="zh-CN"/>
        </w:rPr>
        <w:t>2024</w:t>
      </w:r>
      <w:r>
        <w:rPr>
          <w:rFonts w:hint="eastAsia" w:ascii="Times New Roman" w:hAnsi="Times New Roman" w:eastAsia="方正黑体_GBK" w:cs="Times New Roman"/>
          <w:color w:val="auto"/>
          <w:sz w:val="32"/>
          <w:szCs w:val="32"/>
          <w:highlight w:val="none"/>
        </w:rPr>
        <w:t>年度部门决算情况说明</w:t>
      </w:r>
    </w:p>
    <w:p w14:paraId="03B8331C">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一、收入决算情况说明</w:t>
      </w:r>
    </w:p>
    <w:p w14:paraId="65AAF44E">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二、支出决算情况说明</w:t>
      </w:r>
    </w:p>
    <w:p w14:paraId="61556023">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三、一般公共预算财政拨款支出决算情况说明</w:t>
      </w:r>
    </w:p>
    <w:p w14:paraId="0B2E5DF5">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四、财政拨款“三公”经费支出决算情况说明</w:t>
      </w:r>
    </w:p>
    <w:p w14:paraId="053E83B4">
      <w:pPr>
        <w:keepNext w:val="0"/>
        <w:keepLines w:val="0"/>
        <w:pageBreakBefore w:val="0"/>
        <w:kinsoku/>
        <w:overflowPunct/>
        <w:topLinePunct w:val="0"/>
        <w:bidi w:val="0"/>
        <w:spacing w:line="590" w:lineRule="exact"/>
        <w:jc w:val="left"/>
        <w:textAlignment w:val="auto"/>
        <w:outlineLvl w:val="0"/>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第四部分</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其他重要事项及相关口径情况说明</w:t>
      </w:r>
    </w:p>
    <w:p w14:paraId="54BEDE94">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eastAsia="zh-CN"/>
        </w:rPr>
        <w:t>一、</w:t>
      </w:r>
      <w:r>
        <w:rPr>
          <w:rFonts w:hint="eastAsia" w:ascii="方正楷体_GBK" w:hAnsi="方正楷体_GBK" w:eastAsia="方正楷体_GBK" w:cs="方正楷体_GBK"/>
          <w:color w:val="auto"/>
          <w:sz w:val="32"/>
          <w:szCs w:val="32"/>
          <w:highlight w:val="none"/>
        </w:rPr>
        <w:t>机关运行经费支出情况</w:t>
      </w:r>
    </w:p>
    <w:p w14:paraId="29A838AF">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eastAsia="zh-CN"/>
        </w:rPr>
        <w:t>二、</w:t>
      </w:r>
      <w:r>
        <w:rPr>
          <w:rFonts w:hint="eastAsia" w:ascii="方正楷体_GBK" w:hAnsi="方正楷体_GBK" w:eastAsia="方正楷体_GBK" w:cs="方正楷体_GBK"/>
          <w:color w:val="auto"/>
          <w:sz w:val="32"/>
          <w:szCs w:val="32"/>
          <w:highlight w:val="none"/>
        </w:rPr>
        <w:t>国有资产占用情况</w:t>
      </w:r>
    </w:p>
    <w:p w14:paraId="7BD2E653">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eastAsia="zh-CN"/>
        </w:rPr>
        <w:t>三、</w:t>
      </w:r>
      <w:r>
        <w:rPr>
          <w:rFonts w:hint="eastAsia" w:ascii="方正楷体_GBK" w:hAnsi="方正楷体_GBK" w:eastAsia="方正楷体_GBK" w:cs="方正楷体_GBK"/>
          <w:color w:val="auto"/>
          <w:sz w:val="32"/>
          <w:szCs w:val="32"/>
          <w:highlight w:val="none"/>
        </w:rPr>
        <w:t>政府采购支出情况</w:t>
      </w:r>
    </w:p>
    <w:p w14:paraId="12945456">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eastAsia="zh-CN"/>
        </w:rPr>
        <w:t>四、</w:t>
      </w:r>
      <w:r>
        <w:rPr>
          <w:rFonts w:hint="eastAsia" w:ascii="方正楷体_GBK" w:hAnsi="方正楷体_GBK" w:eastAsia="方正楷体_GBK" w:cs="方正楷体_GBK"/>
          <w:color w:val="auto"/>
          <w:sz w:val="32"/>
          <w:szCs w:val="32"/>
          <w:highlight w:val="none"/>
          <w:lang w:val="en-US" w:eastAsia="zh-CN"/>
        </w:rPr>
        <w:t>部门绩效自评情况</w:t>
      </w:r>
    </w:p>
    <w:p w14:paraId="4A0B10A8">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eastAsia="zh-CN"/>
        </w:rPr>
        <w:t>五、</w:t>
      </w:r>
      <w:r>
        <w:rPr>
          <w:rFonts w:hint="eastAsia" w:ascii="方正楷体_GBK" w:hAnsi="方正楷体_GBK" w:eastAsia="方正楷体_GBK" w:cs="方正楷体_GBK"/>
          <w:color w:val="auto"/>
          <w:sz w:val="32"/>
          <w:szCs w:val="32"/>
          <w:highlight w:val="none"/>
          <w:lang w:val="en-US" w:eastAsia="zh-CN"/>
        </w:rPr>
        <w:t>其他重要事项情况说明</w:t>
      </w:r>
    </w:p>
    <w:p w14:paraId="5E565E76">
      <w:pPr>
        <w:keepNext w:val="0"/>
        <w:keepLines w:val="0"/>
        <w:pageBreakBefore w:val="0"/>
        <w:kinsoku/>
        <w:overflowPunct/>
        <w:topLinePunct w:val="0"/>
        <w:bidi w:val="0"/>
        <w:spacing w:line="590" w:lineRule="exact"/>
        <w:jc w:val="left"/>
        <w:textAlignment w:val="auto"/>
        <w:outlineLvl w:val="0"/>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六、相关口径说明</w:t>
      </w:r>
    </w:p>
    <w:p w14:paraId="09BCBD62">
      <w:pPr>
        <w:keepNext w:val="0"/>
        <w:keepLines w:val="0"/>
        <w:pageBreakBefore w:val="0"/>
        <w:kinsoku/>
        <w:overflowPunct/>
        <w:topLinePunct w:val="0"/>
        <w:bidi w:val="0"/>
        <w:spacing w:line="590" w:lineRule="exact"/>
        <w:jc w:val="left"/>
        <w:textAlignment w:val="auto"/>
        <w:outlineLvl w:val="0"/>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第五部分  名词解释</w:t>
      </w:r>
    </w:p>
    <w:p w14:paraId="0E561CE7">
      <w:pPr>
        <w:keepNext w:val="0"/>
        <w:keepLines w:val="0"/>
        <w:pageBreakBefore w:val="0"/>
        <w:kinsoku/>
        <w:overflowPunct/>
        <w:topLinePunct w:val="0"/>
        <w:bidi w:val="0"/>
        <w:spacing w:line="590" w:lineRule="exact"/>
        <w:jc w:val="center"/>
        <w:textAlignment w:val="auto"/>
        <w:rPr>
          <w:rFonts w:hint="eastAsia" w:ascii="黑体" w:hAnsi="黑体" w:eastAsia="黑体"/>
          <w:color w:val="auto"/>
          <w:sz w:val="32"/>
          <w:szCs w:val="32"/>
          <w:highlight w:val="none"/>
        </w:rPr>
      </w:pPr>
    </w:p>
    <w:p w14:paraId="73C7000F">
      <w:pPr>
        <w:keepNext w:val="0"/>
        <w:keepLines w:val="0"/>
        <w:pageBreakBefore w:val="0"/>
        <w:kinsoku/>
        <w:overflowPunct/>
        <w:topLinePunct w:val="0"/>
        <w:bidi w:val="0"/>
        <w:spacing w:line="590" w:lineRule="exact"/>
        <w:jc w:val="center"/>
        <w:textAlignment w:val="auto"/>
        <w:rPr>
          <w:rFonts w:hint="eastAsia" w:ascii="黑体" w:hAnsi="黑体" w:eastAsia="黑体"/>
          <w:color w:val="auto"/>
          <w:sz w:val="32"/>
          <w:szCs w:val="32"/>
          <w:highlight w:val="none"/>
        </w:rPr>
      </w:pPr>
    </w:p>
    <w:p w14:paraId="60F7AF24">
      <w:pPr>
        <w:keepNext w:val="0"/>
        <w:keepLines w:val="0"/>
        <w:pageBreakBefore w:val="0"/>
        <w:kinsoku/>
        <w:overflowPunct/>
        <w:topLinePunct w:val="0"/>
        <w:bidi w:val="0"/>
        <w:spacing w:line="590" w:lineRule="exact"/>
        <w:jc w:val="center"/>
        <w:textAlignment w:val="auto"/>
        <w:rPr>
          <w:rFonts w:hint="eastAsia" w:ascii="黑体" w:hAnsi="黑体" w:eastAsia="黑体"/>
          <w:color w:val="auto"/>
          <w:sz w:val="32"/>
          <w:szCs w:val="32"/>
          <w:highlight w:val="none"/>
        </w:rPr>
      </w:pPr>
    </w:p>
    <w:p w14:paraId="762401E4">
      <w:pPr>
        <w:keepNext w:val="0"/>
        <w:keepLines w:val="0"/>
        <w:pageBreakBefore w:val="0"/>
        <w:kinsoku/>
        <w:overflowPunct/>
        <w:topLinePunct w:val="0"/>
        <w:bidi w:val="0"/>
        <w:spacing w:line="590" w:lineRule="exact"/>
        <w:jc w:val="center"/>
        <w:textAlignment w:val="auto"/>
        <w:rPr>
          <w:rFonts w:hint="eastAsia" w:ascii="黑体" w:hAnsi="黑体" w:eastAsia="黑体"/>
          <w:color w:val="auto"/>
          <w:sz w:val="32"/>
          <w:szCs w:val="32"/>
          <w:highlight w:val="none"/>
        </w:rPr>
      </w:pPr>
    </w:p>
    <w:p w14:paraId="4B37F250">
      <w:pPr>
        <w:keepNext w:val="0"/>
        <w:keepLines w:val="0"/>
        <w:pageBreakBefore w:val="0"/>
        <w:kinsoku/>
        <w:overflowPunct/>
        <w:topLinePunct w:val="0"/>
        <w:bidi w:val="0"/>
        <w:spacing w:line="590" w:lineRule="exact"/>
        <w:jc w:val="center"/>
        <w:textAlignment w:val="auto"/>
        <w:rPr>
          <w:rFonts w:hint="eastAsia" w:ascii="黑体" w:hAnsi="黑体" w:eastAsia="黑体"/>
          <w:color w:val="auto"/>
          <w:sz w:val="32"/>
          <w:szCs w:val="32"/>
          <w:highlight w:val="none"/>
        </w:rPr>
      </w:pPr>
    </w:p>
    <w:p w14:paraId="5062379B">
      <w:pPr>
        <w:keepNext w:val="0"/>
        <w:keepLines w:val="0"/>
        <w:pageBreakBefore w:val="0"/>
        <w:kinsoku/>
        <w:overflowPunct/>
        <w:topLinePunct w:val="0"/>
        <w:bidi w:val="0"/>
        <w:spacing w:line="590" w:lineRule="exact"/>
        <w:jc w:val="center"/>
        <w:textAlignment w:val="auto"/>
        <w:rPr>
          <w:rFonts w:hint="eastAsia" w:ascii="黑体" w:hAnsi="黑体" w:eastAsia="黑体"/>
          <w:color w:val="auto"/>
          <w:sz w:val="32"/>
          <w:szCs w:val="32"/>
          <w:highlight w:val="none"/>
        </w:rPr>
      </w:pPr>
    </w:p>
    <w:p w14:paraId="40AD675D">
      <w:pPr>
        <w:keepNext w:val="0"/>
        <w:keepLines w:val="0"/>
        <w:pageBreakBefore w:val="0"/>
        <w:kinsoku/>
        <w:overflowPunct/>
        <w:topLinePunct w:val="0"/>
        <w:bidi w:val="0"/>
        <w:spacing w:line="590" w:lineRule="exact"/>
        <w:jc w:val="center"/>
        <w:textAlignment w:val="auto"/>
        <w:rPr>
          <w:rFonts w:hint="eastAsia" w:ascii="黑体" w:hAnsi="黑体" w:eastAsia="黑体"/>
          <w:color w:val="auto"/>
          <w:sz w:val="32"/>
          <w:szCs w:val="32"/>
          <w:highlight w:val="none"/>
        </w:rPr>
      </w:pPr>
    </w:p>
    <w:p w14:paraId="2D3D9A9A">
      <w:pPr>
        <w:keepNext w:val="0"/>
        <w:keepLines w:val="0"/>
        <w:pageBreakBefore w:val="0"/>
        <w:kinsoku/>
        <w:overflowPunct/>
        <w:topLinePunct w:val="0"/>
        <w:bidi w:val="0"/>
        <w:spacing w:line="590" w:lineRule="exact"/>
        <w:jc w:val="both"/>
        <w:textAlignment w:val="auto"/>
        <w:rPr>
          <w:rFonts w:hint="eastAsia" w:ascii="黑体" w:hAnsi="黑体" w:eastAsia="黑体"/>
          <w:color w:val="auto"/>
          <w:sz w:val="32"/>
          <w:szCs w:val="32"/>
          <w:highlight w:val="none"/>
        </w:rPr>
      </w:pPr>
    </w:p>
    <w:p w14:paraId="3A5035BE">
      <w:pPr>
        <w:keepNext w:val="0"/>
        <w:keepLines w:val="0"/>
        <w:pageBreakBefore w:val="0"/>
        <w:kinsoku/>
        <w:overflowPunct/>
        <w:topLinePunct w:val="0"/>
        <w:bidi w:val="0"/>
        <w:spacing w:line="590" w:lineRule="exact"/>
        <w:jc w:val="center"/>
        <w:textAlignment w:val="auto"/>
        <w:outlineLvl w:val="0"/>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 xml:space="preserve">第一部分  </w:t>
      </w:r>
      <w:r>
        <w:rPr>
          <w:rFonts w:hint="eastAsia" w:ascii="方正黑体_GBK" w:hAnsi="方正黑体_GBK" w:eastAsia="方正黑体_GBK" w:cs="方正黑体_GBK"/>
          <w:color w:val="auto"/>
          <w:sz w:val="32"/>
          <w:szCs w:val="32"/>
          <w:highlight w:val="none"/>
          <w:lang w:eastAsia="zh-CN"/>
        </w:rPr>
        <w:t>部门概况</w:t>
      </w:r>
    </w:p>
    <w:p w14:paraId="5BF59065">
      <w:pPr>
        <w:keepNext w:val="0"/>
        <w:keepLines w:val="0"/>
        <w:pageBreakBefore w:val="0"/>
        <w:kinsoku/>
        <w:overflowPunct/>
        <w:topLinePunct w:val="0"/>
        <w:bidi w:val="0"/>
        <w:spacing w:line="590" w:lineRule="exact"/>
        <w:ind w:firstLine="640" w:firstLineChars="200"/>
        <w:textAlignment w:val="auto"/>
        <w:outlineLvl w:val="1"/>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一、主要</w:t>
      </w:r>
      <w:r>
        <w:rPr>
          <w:rFonts w:hint="eastAsia" w:ascii="方正黑体_GBK" w:hAnsi="方正黑体_GBK" w:eastAsia="方正黑体_GBK" w:cs="方正黑体_GBK"/>
          <w:color w:val="auto"/>
          <w:sz w:val="32"/>
          <w:szCs w:val="32"/>
          <w:highlight w:val="none"/>
          <w:lang w:eastAsia="zh-CN"/>
        </w:rPr>
        <w:t>职责</w:t>
      </w:r>
    </w:p>
    <w:p w14:paraId="6462D5CC">
      <w:pPr>
        <w:keepNext w:val="0"/>
        <w:keepLines w:val="0"/>
        <w:pageBreakBefore w:val="0"/>
        <w:kinsoku/>
        <w:overflowPunct/>
        <w:topLinePunct w:val="0"/>
        <w:bidi w:val="0"/>
        <w:spacing w:line="590" w:lineRule="exact"/>
        <w:ind w:firstLine="600"/>
        <w:jc w:val="both"/>
        <w:textAlignment w:val="auto"/>
        <w:rPr>
          <w:rFonts w:hint="eastAsia" w:ascii="方正楷体_GBK" w:hAnsi="方正楷体_GBK" w:eastAsia="方正楷体_GBK" w:cs="方正楷体_GBK"/>
          <w:bCs/>
          <w:color w:val="auto"/>
          <w:kern w:val="2"/>
          <w:sz w:val="32"/>
          <w:szCs w:val="32"/>
          <w:highlight w:val="none"/>
          <w:lang w:val="en-US" w:eastAsia="zh-CN" w:bidi="ar-SA"/>
        </w:rPr>
      </w:pPr>
      <w:r>
        <w:rPr>
          <w:rFonts w:hint="eastAsia" w:ascii="方正楷体_GBK" w:hAnsi="方正楷体_GBK" w:eastAsia="方正楷体_GBK" w:cs="方正楷体_GBK"/>
          <w:bCs/>
          <w:color w:val="auto"/>
          <w:kern w:val="2"/>
          <w:sz w:val="32"/>
          <w:szCs w:val="32"/>
          <w:highlight w:val="none"/>
          <w:lang w:val="zh-CN" w:eastAsia="zh-CN" w:bidi="ar-SA"/>
        </w:rPr>
        <w:t>（一）主要职能</w:t>
      </w:r>
    </w:p>
    <w:p w14:paraId="2D5E175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（1）贯彻落实国家、省、市工业和信息产业法律法规及方针政策。</w:t>
      </w:r>
    </w:p>
    <w:p w14:paraId="64BA672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（2）研究和提出工业和信息产业发展政策。</w:t>
      </w:r>
    </w:p>
    <w:p w14:paraId="79C2F51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（3）制定并组织实施产业投资政策建议和工业与信息产业重大项目规划。</w:t>
      </w:r>
    </w:p>
    <w:p w14:paraId="4A901726">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（4）监测分析工业、信息产业运行态势并发布有关信息，进行预测预警和信息引导，协调解决行业运行发展中的有关问题并提出政策建议。</w:t>
      </w:r>
    </w:p>
    <w:p w14:paraId="0D641267">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（5）负责工业和信息产业行业管理。</w:t>
      </w:r>
    </w:p>
    <w:p w14:paraId="1D369F56">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6）指导中小企业和非公有制经济发展，会同有关部门拟订促进中小企业发展和非公有制经济发展的有关政策和措施，参与拟订并组织实施工业企业的能源节约、资源综合利用、污染控制和清洁生产促进规划和政策。</w:t>
      </w:r>
    </w:p>
    <w:p w14:paraId="0011B014">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（7）拟订信息产业和通信基础设施建设发展规划，负责推进信息通信基础设施建设，加强信息产业的管理。负责制定数字经济发展规划和政策措施。</w:t>
      </w:r>
    </w:p>
    <w:p w14:paraId="63DE5E29">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（8）拟订市场流通发展规划，拟订全县内贸发展规划，贯彻执行国家、省、市、县引导市场体系建设、对外贸易、外商投资、电子商务、现代物流发展的政策措施。</w:t>
      </w:r>
    </w:p>
    <w:p w14:paraId="089095BB">
      <w:pPr>
        <w:keepNext w:val="0"/>
        <w:keepLines w:val="0"/>
        <w:pageBreakBefore w:val="0"/>
        <w:kinsoku/>
        <w:overflowPunct/>
        <w:topLinePunct w:val="0"/>
        <w:bidi w:val="0"/>
        <w:spacing w:line="590" w:lineRule="exact"/>
        <w:ind w:firstLine="600"/>
        <w:jc w:val="both"/>
        <w:textAlignment w:val="auto"/>
        <w:rPr>
          <w:rFonts w:hint="default" w:ascii="Times New Roman" w:hAnsi="Times New Roman" w:eastAsia="方正仿宋_GBK" w:cs="Times New Roman"/>
          <w:bCs/>
          <w:color w:val="auto"/>
          <w:kern w:val="2"/>
          <w:sz w:val="32"/>
          <w:szCs w:val="32"/>
          <w:highlight w:val="none"/>
          <w:lang w:val="zh-CN" w:eastAsia="zh-CN" w:bidi="ar-SA"/>
        </w:rPr>
      </w:pPr>
      <w:r>
        <w:rPr>
          <w:rFonts w:hint="default" w:ascii="Times New Roman" w:hAnsi="Times New Roman" w:eastAsia="方正仿宋_GBK" w:cs="Times New Roman"/>
          <w:bCs/>
          <w:color w:val="auto"/>
          <w:kern w:val="2"/>
          <w:sz w:val="32"/>
          <w:szCs w:val="32"/>
          <w:highlight w:val="none"/>
          <w:lang w:val="en-US" w:eastAsia="zh-CN" w:bidi="ar-SA"/>
        </w:rPr>
        <w:t>（9）拟订全县科技创新中长期发展规划、计划，制定全县科技创新工作政策措施及管理办法，会同有关部门做好高新技术产业化及应用技术的开发与推广，指导科技成果转化，组织科技型企业和科技创新平台和科技孵化平台认定的申报。</w:t>
      </w:r>
    </w:p>
    <w:p w14:paraId="7EDC3B02">
      <w:pPr>
        <w:keepNext w:val="0"/>
        <w:keepLines w:val="0"/>
        <w:pageBreakBefore w:val="0"/>
        <w:kinsoku/>
        <w:overflowPunct/>
        <w:topLinePunct w:val="0"/>
        <w:bidi w:val="0"/>
        <w:spacing w:line="590" w:lineRule="exact"/>
        <w:ind w:firstLine="640" w:firstLineChars="200"/>
        <w:textAlignment w:val="auto"/>
        <w:outlineLvl w:val="1"/>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二、基本情况</w:t>
      </w:r>
    </w:p>
    <w:p w14:paraId="4D0D81A9">
      <w:pPr>
        <w:keepNext w:val="0"/>
        <w:keepLines w:val="0"/>
        <w:pageBreakBefore w:val="0"/>
        <w:kinsoku/>
        <w:overflowPunct/>
        <w:topLinePunct w:val="0"/>
        <w:bidi w:val="0"/>
        <w:spacing w:line="590" w:lineRule="exact"/>
        <w:ind w:firstLine="600"/>
        <w:jc w:val="both"/>
        <w:textAlignment w:val="auto"/>
        <w:rPr>
          <w:rFonts w:hint="eastAsia" w:ascii="方正楷体_GBK" w:hAnsi="方正楷体_GBK" w:eastAsia="方正楷体_GBK" w:cs="方正楷体_GBK"/>
          <w:bCs/>
          <w:color w:val="auto"/>
          <w:kern w:val="2"/>
          <w:sz w:val="32"/>
          <w:szCs w:val="32"/>
          <w:highlight w:val="none"/>
          <w:lang w:val="zh-CN" w:eastAsia="zh-CN" w:bidi="ar-SA"/>
        </w:rPr>
      </w:pPr>
      <w:r>
        <w:rPr>
          <w:rFonts w:hint="eastAsia" w:ascii="方正楷体_GBK" w:hAnsi="方正楷体_GBK" w:eastAsia="方正楷体_GBK" w:cs="方正楷体_GBK"/>
          <w:bCs/>
          <w:color w:val="auto"/>
          <w:kern w:val="2"/>
          <w:sz w:val="32"/>
          <w:szCs w:val="32"/>
          <w:highlight w:val="none"/>
          <w:lang w:val="zh-CN" w:eastAsia="zh-CN" w:bidi="ar-SA"/>
        </w:rPr>
        <w:t>（一）机构设置情况</w:t>
      </w:r>
    </w:p>
    <w:p w14:paraId="7641CA3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我部门共设置</w:t>
      </w:r>
      <w:r>
        <w:rPr>
          <w:rFonts w:hint="default" w:ascii="Times New Roman" w:hAnsi="Times New Roman" w:eastAsia="方正仿宋_GBK" w:cs="Times New Roman"/>
          <w:bCs/>
          <w:color w:val="auto"/>
          <w:kern w:val="2"/>
          <w:sz w:val="32"/>
          <w:szCs w:val="32"/>
          <w:highlight w:val="none"/>
          <w:lang w:val="en-US" w:eastAsia="zh-CN" w:bidi="ar-SA"/>
        </w:rPr>
        <w:t>9个内设机构，包括：办公室、政策法规和技术创新股、经济运行股、工业股、数字经济股、安全生产股、商务股、科技股、商务主体服务中心。</w:t>
      </w:r>
    </w:p>
    <w:p w14:paraId="14D4208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所属单位1个，分别是：</w:t>
      </w:r>
    </w:p>
    <w:p w14:paraId="5877552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zh-CN" w:eastAsia="zh-CN" w:bidi="ar-SA"/>
        </w:rPr>
      </w:pPr>
      <w:r>
        <w:rPr>
          <w:rFonts w:hint="default" w:ascii="Times New Roman" w:hAnsi="Times New Roman" w:eastAsia="方正仿宋_GBK" w:cs="Times New Roman"/>
          <w:bCs/>
          <w:color w:val="auto"/>
          <w:kern w:val="2"/>
          <w:sz w:val="32"/>
          <w:szCs w:val="32"/>
          <w:highlight w:val="none"/>
          <w:lang w:val="en-US" w:eastAsia="zh-CN" w:bidi="ar-SA"/>
        </w:rPr>
        <w:t>1.全额拨款事业单位—华宁县科技创新与成果转化中心</w:t>
      </w:r>
    </w:p>
    <w:p w14:paraId="2F542B54">
      <w:pPr>
        <w:keepNext w:val="0"/>
        <w:keepLines w:val="0"/>
        <w:pageBreakBefore w:val="0"/>
        <w:kinsoku/>
        <w:overflowPunct/>
        <w:topLinePunct w:val="0"/>
        <w:bidi w:val="0"/>
        <w:spacing w:line="590" w:lineRule="exact"/>
        <w:ind w:firstLine="600"/>
        <w:jc w:val="both"/>
        <w:textAlignment w:val="auto"/>
        <w:rPr>
          <w:rFonts w:hint="eastAsia" w:ascii="方正楷体_GBK" w:hAnsi="方正楷体_GBK" w:eastAsia="方正楷体_GBK" w:cs="方正楷体_GBK"/>
          <w:bCs/>
          <w:color w:val="auto"/>
          <w:kern w:val="2"/>
          <w:sz w:val="32"/>
          <w:szCs w:val="32"/>
          <w:highlight w:val="none"/>
          <w:lang w:val="zh-CN" w:eastAsia="zh-CN" w:bidi="ar-SA"/>
        </w:rPr>
      </w:pPr>
      <w:r>
        <w:rPr>
          <w:rFonts w:hint="eastAsia" w:ascii="方正楷体_GBK" w:hAnsi="方正楷体_GBK" w:eastAsia="方正楷体_GBK" w:cs="方正楷体_GBK"/>
          <w:bCs/>
          <w:color w:val="auto"/>
          <w:kern w:val="2"/>
          <w:sz w:val="32"/>
          <w:szCs w:val="32"/>
          <w:highlight w:val="none"/>
          <w:lang w:val="zh-CN" w:eastAsia="zh-CN" w:bidi="ar-SA"/>
        </w:rPr>
        <w:t>（二）决算单位构成情况</w:t>
      </w:r>
    </w:p>
    <w:p w14:paraId="0BD361F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纳入我部门2024年度部门决算编报的单位共2个。分别是：</w:t>
      </w:r>
    </w:p>
    <w:p w14:paraId="3250F3F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zh-CN" w:eastAsia="zh-CN" w:bidi="ar-SA"/>
        </w:rPr>
      </w:pPr>
      <w:r>
        <w:rPr>
          <w:rFonts w:hint="default" w:ascii="Times New Roman" w:hAnsi="Times New Roman" w:eastAsia="方正仿宋_GBK" w:cs="Times New Roman"/>
          <w:bCs/>
          <w:color w:val="auto"/>
          <w:kern w:val="2"/>
          <w:sz w:val="32"/>
          <w:szCs w:val="32"/>
          <w:highlight w:val="none"/>
          <w:lang w:val="zh-CN" w:eastAsia="zh-CN" w:bidi="ar-SA"/>
        </w:rPr>
        <w:t>1.全额拨款行政单位—华宁县工业商贸和科技信息局（本级）</w:t>
      </w:r>
    </w:p>
    <w:p w14:paraId="325C6D8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zh-CN" w:eastAsia="zh-CN" w:bidi="ar-SA"/>
        </w:rPr>
      </w:pPr>
      <w:r>
        <w:rPr>
          <w:rFonts w:hint="default" w:ascii="Times New Roman" w:hAnsi="Times New Roman" w:eastAsia="方正仿宋_GBK" w:cs="Times New Roman"/>
          <w:bCs/>
          <w:color w:val="auto"/>
          <w:kern w:val="2"/>
          <w:sz w:val="32"/>
          <w:szCs w:val="32"/>
          <w:highlight w:val="none"/>
          <w:lang w:val="zh-CN" w:eastAsia="zh-CN" w:bidi="ar-SA"/>
        </w:rPr>
        <w:t>2.全额拨款事业单位—华宁县科技创新与成果转化中心</w:t>
      </w:r>
    </w:p>
    <w:p w14:paraId="1E8C266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纳入我部门2024年度部门决算编报的单位与我部门所属单位范围保持一致。</w:t>
      </w:r>
    </w:p>
    <w:p w14:paraId="40830627">
      <w:pPr>
        <w:keepNext w:val="0"/>
        <w:keepLines w:val="0"/>
        <w:pageBreakBefore w:val="0"/>
        <w:widowControl/>
        <w:kinsoku/>
        <w:overflowPunct/>
        <w:topLinePunct w:val="0"/>
        <w:bidi w:val="0"/>
        <w:snapToGrid w:val="0"/>
        <w:spacing w:line="590" w:lineRule="exact"/>
        <w:ind w:firstLine="640" w:firstLineChars="200"/>
        <w:jc w:val="left"/>
        <w:textAlignment w:val="auto"/>
        <w:outlineLvl w:val="2"/>
        <w:rPr>
          <w:rFonts w:hint="eastAsia" w:ascii="方正楷体_GBK" w:hAnsi="方正楷体_GBK" w:eastAsia="方正楷体_GBK" w:cs="方正楷体_GBK"/>
          <w:bCs/>
          <w:color w:val="auto"/>
          <w:kern w:val="2"/>
          <w:sz w:val="32"/>
          <w:szCs w:val="32"/>
          <w:highlight w:val="none"/>
          <w:lang w:val="zh-CN" w:eastAsia="zh-CN" w:bidi="ar-SA"/>
        </w:rPr>
      </w:pPr>
      <w:r>
        <w:rPr>
          <w:rFonts w:hint="eastAsia" w:ascii="方正楷体_GBK" w:hAnsi="方正楷体_GBK" w:eastAsia="方正楷体_GBK" w:cs="方正楷体_GBK"/>
          <w:bCs/>
          <w:color w:val="auto"/>
          <w:kern w:val="2"/>
          <w:sz w:val="32"/>
          <w:szCs w:val="32"/>
          <w:highlight w:val="none"/>
          <w:lang w:val="zh-CN" w:eastAsia="zh-CN" w:bidi="ar-SA"/>
        </w:rPr>
        <w:t>（</w:t>
      </w:r>
      <w:r>
        <w:rPr>
          <w:rFonts w:hint="eastAsia" w:ascii="方正楷体_GBK" w:hAnsi="方正楷体_GBK" w:eastAsia="方正楷体_GBK" w:cs="方正楷体_GBK"/>
          <w:bCs/>
          <w:color w:val="auto"/>
          <w:kern w:val="2"/>
          <w:sz w:val="32"/>
          <w:szCs w:val="32"/>
          <w:highlight w:val="none"/>
          <w:lang w:val="zh-CN" w:eastAsia="zh-CN" w:bidi="ar-SA"/>
        </w:rPr>
        <w:t>三）部门人员和车辆的编制及实有情况</w:t>
      </w:r>
    </w:p>
    <w:p w14:paraId="767718F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我部门2024年末编制内实有人员33人。包括财政拨款开支经费的：公务员19人，参照公务员法管理人员0人，事业管理人员和专业技术人员12人，机关和事业工人2人；经费自理人员0人。</w:t>
      </w:r>
    </w:p>
    <w:p w14:paraId="4CD2DE7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我部门2024年末其他人员2人。包括财政拨款开支经费的人员1人；经费自理人员1人。</w:t>
      </w:r>
    </w:p>
    <w:p w14:paraId="7F71009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年末尚未移交养老保险基金发放养老金的离退休人员共计0人（离休0人，退休0人）。年末由养老保险基金发放养老金的离退休人员58人（离休0人，退休58人）。年末遗属8人。</w:t>
      </w:r>
    </w:p>
    <w:p w14:paraId="19DFD3A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车辆编制1辆，在编实有车辆1辆，超编0辆。</w:t>
      </w:r>
    </w:p>
    <w:p w14:paraId="41C1FD1C">
      <w:pPr>
        <w:keepNext w:val="0"/>
        <w:keepLines w:val="0"/>
        <w:pageBreakBefore w:val="0"/>
        <w:kinsoku/>
        <w:overflowPunct/>
        <w:topLinePunct w:val="0"/>
        <w:bidi w:val="0"/>
        <w:spacing w:line="590" w:lineRule="exact"/>
        <w:ind w:firstLine="640" w:firstLineChars="200"/>
        <w:textAlignment w:val="auto"/>
        <w:outlineLvl w:val="1"/>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三、重点工作概述</w:t>
      </w:r>
    </w:p>
    <w:p w14:paraId="4522CF2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1.电子商务示范县项目正常推进。一是建成县级电子商务公共服务中心，目前入驻企业达28家，2023年10月31日，华宁县电子商务产业园被省商务厅评选为省级直播电商示范基地。二是目前已整合圆通、申通、中通等快递进驻物流中心，通过4条物流主线路把电商物流分拨中心及43个镇村服务站点串联起来，实现快递物流“一张网”，打通农村物流“最后一公里”。三是实施本土电商人才计划，2023年1—9月，开展电商培训35场，完成培训1,451人次，其中创业孵化服务转化73人。四是打造农产品上行质量</w:t>
      </w:r>
      <w:bookmarkStart w:id="0" w:name="_Hlk105918912"/>
      <w:r>
        <w:rPr>
          <w:rFonts w:hint="default" w:ascii="Times New Roman" w:hAnsi="Times New Roman" w:eastAsia="方正仿宋_GBK" w:cs="Times New Roman"/>
          <w:bCs/>
          <w:color w:val="auto"/>
          <w:kern w:val="2"/>
          <w:sz w:val="32"/>
          <w:szCs w:val="32"/>
          <w:highlight w:val="none"/>
          <w:lang w:val="en-US" w:eastAsia="zh-CN" w:bidi="ar-SA"/>
        </w:rPr>
        <w:t>溯源</w:t>
      </w:r>
      <w:bookmarkEnd w:id="0"/>
      <w:r>
        <w:rPr>
          <w:rFonts w:hint="default" w:ascii="Times New Roman" w:hAnsi="Times New Roman" w:eastAsia="方正仿宋_GBK" w:cs="Times New Roman"/>
          <w:bCs/>
          <w:color w:val="auto"/>
          <w:kern w:val="2"/>
          <w:sz w:val="32"/>
          <w:szCs w:val="32"/>
          <w:highlight w:val="none"/>
          <w:lang w:val="en-US" w:eastAsia="zh-CN" w:bidi="ar-SA"/>
        </w:rPr>
        <w:t>平台，对本土品牌的网售农产品实现全流程追溯，目前已发放10家企业30万枚溯源码。</w:t>
      </w:r>
    </w:p>
    <w:p w14:paraId="31A66E4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2.科技创新与成果转化有序推进。截止2023年10月新认定国家科技型中小企业8户，省级科技型中小企业5户，新申报高新技术企业1户，再申报认定高新技术企业2户。2023年新选派科技特派员12人，新增华宁县优质鲜食玉米产业科技特派团一个，华溪镇华溪社区（村）申报的云南省乡村振兴科技创新村获立项实施。</w:t>
      </w:r>
    </w:p>
    <w:p w14:paraId="5BA4355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3.推进数字基础设施建设。加大5G基站覆盖范围，推动光纤及5G网络向自然村延伸，1—10月，5G弱覆盖补点68个、4G电信普遍服务站点验收3个，千兆小区改造78个。</w:t>
      </w:r>
    </w:p>
    <w:p w14:paraId="7A38590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4.成品油管理规范有序。顺利完成2023年度成品油经营资格年度检查和加油站验收工作，强化加油站日常监督检查工作，目前全县成品油市场流通秩序良好。</w:t>
      </w:r>
    </w:p>
    <w:p w14:paraId="5E85C87A">
      <w:pPr>
        <w:keepNext w:val="0"/>
        <w:keepLines w:val="0"/>
        <w:pageBreakBefore w:val="0"/>
        <w:kinsoku/>
        <w:overflowPunct/>
        <w:topLinePunct w:val="0"/>
        <w:bidi w:val="0"/>
        <w:spacing w:line="590" w:lineRule="exact"/>
        <w:jc w:val="left"/>
        <w:textAlignment w:val="auto"/>
        <w:rPr>
          <w:rFonts w:hint="default" w:ascii="仿宋_GB2312" w:hAnsi="宋体" w:eastAsia="仿宋_GB2312" w:cs="Arial"/>
          <w:color w:val="auto"/>
          <w:kern w:val="0"/>
          <w:sz w:val="30"/>
          <w:szCs w:val="30"/>
          <w:highlight w:val="none"/>
          <w:lang w:val="en-US" w:eastAsia="zh-CN"/>
        </w:rPr>
      </w:pPr>
    </w:p>
    <w:p w14:paraId="0BDE4822">
      <w:pPr>
        <w:keepNext w:val="0"/>
        <w:keepLines w:val="0"/>
        <w:pageBreakBefore w:val="0"/>
        <w:kinsoku/>
        <w:overflowPunct/>
        <w:topLinePunct w:val="0"/>
        <w:bidi w:val="0"/>
        <w:spacing w:line="590" w:lineRule="exact"/>
        <w:jc w:val="center"/>
        <w:textAlignment w:val="auto"/>
        <w:outlineLvl w:val="1"/>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eastAsia="zh-CN"/>
        </w:rPr>
        <w:t xml:space="preserve">第二部分  </w:t>
      </w:r>
      <w:r>
        <w:rPr>
          <w:rFonts w:hint="default" w:ascii="Times New Roman" w:hAnsi="Times New Roman" w:eastAsia="方正黑体_GBK" w:cs="Times New Roman"/>
          <w:color w:val="auto"/>
          <w:sz w:val="32"/>
          <w:szCs w:val="32"/>
          <w:highlight w:val="none"/>
          <w:lang w:val="en-US" w:eastAsia="zh-CN"/>
        </w:rPr>
        <w:t>2024</w:t>
      </w:r>
      <w:r>
        <w:rPr>
          <w:rFonts w:hint="default" w:ascii="Times New Roman" w:hAnsi="Times New Roman" w:eastAsia="方正黑体_GBK" w:cs="Times New Roman"/>
          <w:color w:val="auto"/>
          <w:sz w:val="32"/>
          <w:szCs w:val="32"/>
          <w:highlight w:val="none"/>
          <w:lang w:eastAsia="zh-CN"/>
        </w:rPr>
        <w:t>年度部门决算表</w:t>
      </w:r>
    </w:p>
    <w:p w14:paraId="31ACDCF3">
      <w:pPr>
        <w:keepNext w:val="0"/>
        <w:keepLines w:val="0"/>
        <w:pageBreakBefore w:val="0"/>
        <w:kinsoku/>
        <w:overflowPunct/>
        <w:topLinePunct w:val="0"/>
        <w:bidi w:val="0"/>
        <w:spacing w:line="590" w:lineRule="exact"/>
        <w:ind w:firstLine="640" w:firstLineChars="200"/>
        <w:jc w:val="center"/>
        <w:textAlignment w:val="auto"/>
        <w:outlineLvl w:val="1"/>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（详见附件）</w:t>
      </w:r>
    </w:p>
    <w:p w14:paraId="6F3D238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华宁县工业商贸和科技信息局2023年度无政府性基金收入，也未使用政府性基金安排的支出，故《政府性基金预算财政拨款收入支出决算表》为空表。</w:t>
      </w:r>
    </w:p>
    <w:p w14:paraId="56D04F9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default" w:ascii="Times New Roman" w:hAnsi="Times New Roman" w:eastAsia="方正仿宋_GBK" w:cs="Times New Roman"/>
          <w:bCs/>
          <w:color w:val="auto"/>
          <w:kern w:val="2"/>
          <w:sz w:val="32"/>
          <w:szCs w:val="32"/>
          <w:highlight w:val="none"/>
          <w:lang w:val="en-US" w:eastAsia="zh-CN" w:bidi="ar-SA"/>
        </w:rPr>
        <w:t>华宁县工业商贸和科技信息局2023年度无国有资本经营收入，也未使用国有资本经营安排的支出，故《国有资本经营预算财政拨款收入支出决算表》为空表。</w:t>
      </w:r>
    </w:p>
    <w:p w14:paraId="52ABC4B5">
      <w:pPr>
        <w:keepNext w:val="0"/>
        <w:keepLines w:val="0"/>
        <w:pageBreakBefore w:val="0"/>
        <w:kinsoku/>
        <w:overflowPunct/>
        <w:topLinePunct w:val="0"/>
        <w:bidi w:val="0"/>
        <w:spacing w:line="590" w:lineRule="exact"/>
        <w:ind w:firstLine="600" w:firstLineChars="200"/>
        <w:jc w:val="left"/>
        <w:textAlignment w:val="auto"/>
        <w:rPr>
          <w:rFonts w:hint="eastAsia" w:ascii="仿宋_GB2312" w:eastAsia="仿宋_GB2312"/>
          <w:color w:val="auto"/>
          <w:sz w:val="30"/>
          <w:szCs w:val="30"/>
          <w:highlight w:val="none"/>
          <w:lang w:eastAsia="zh-CN"/>
        </w:rPr>
      </w:pPr>
    </w:p>
    <w:p w14:paraId="52763102">
      <w:pPr>
        <w:keepNext w:val="0"/>
        <w:keepLines w:val="0"/>
        <w:pageBreakBefore w:val="0"/>
        <w:kinsoku/>
        <w:overflowPunct/>
        <w:topLinePunct w:val="0"/>
        <w:bidi w:val="0"/>
        <w:spacing w:line="590" w:lineRule="exact"/>
        <w:jc w:val="center"/>
        <w:textAlignment w:val="auto"/>
        <w:outlineLvl w:val="1"/>
        <w:rPr>
          <w:rFonts w:hint="eastAsia" w:ascii="Times New Roman" w:hAnsi="Times New Roman" w:eastAsia="方正黑体_GBK" w:cs="Times New Roman"/>
          <w:color w:val="auto"/>
          <w:sz w:val="32"/>
          <w:szCs w:val="32"/>
          <w:highlight w:val="none"/>
          <w:lang w:eastAsia="zh-CN"/>
        </w:rPr>
      </w:pPr>
      <w:r>
        <w:rPr>
          <w:rFonts w:hint="eastAsia" w:ascii="Times New Roman" w:hAnsi="Times New Roman" w:eastAsia="方正黑体_GBK" w:cs="Times New Roman"/>
          <w:color w:val="auto"/>
          <w:sz w:val="32"/>
          <w:szCs w:val="32"/>
          <w:highlight w:val="none"/>
          <w:lang w:eastAsia="zh-CN"/>
        </w:rPr>
        <w:t xml:space="preserve">第三部分  </w:t>
      </w:r>
      <w:r>
        <w:rPr>
          <w:rFonts w:hint="eastAsia" w:ascii="Times New Roman" w:hAnsi="Times New Roman" w:eastAsia="方正黑体_GBK" w:cs="Times New Roman"/>
          <w:color w:val="auto"/>
          <w:sz w:val="32"/>
          <w:szCs w:val="32"/>
          <w:highlight w:val="none"/>
          <w:lang w:val="en-US" w:eastAsia="zh-CN"/>
        </w:rPr>
        <w:t>2024</w:t>
      </w:r>
      <w:r>
        <w:rPr>
          <w:rFonts w:hint="eastAsia" w:ascii="Times New Roman" w:hAnsi="Times New Roman" w:eastAsia="方正黑体_GBK" w:cs="Times New Roman"/>
          <w:color w:val="auto"/>
          <w:sz w:val="32"/>
          <w:szCs w:val="32"/>
          <w:highlight w:val="none"/>
          <w:lang w:eastAsia="zh-CN"/>
        </w:rPr>
        <w:t>年度部门决算情况说明</w:t>
      </w:r>
    </w:p>
    <w:p w14:paraId="58F0C740">
      <w:pPr>
        <w:keepNext w:val="0"/>
        <w:keepLines w:val="0"/>
        <w:pageBreakBefore w:val="0"/>
        <w:kinsoku/>
        <w:overflowPunct/>
        <w:topLinePunct w:val="0"/>
        <w:bidi w:val="0"/>
        <w:spacing w:line="590" w:lineRule="exact"/>
        <w:ind w:firstLine="640" w:firstLineChars="200"/>
        <w:jc w:val="left"/>
        <w:textAlignment w:val="auto"/>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一、收入决算情况说明</w:t>
      </w:r>
    </w:p>
    <w:p w14:paraId="0060D29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zh-CN" w:eastAsia="zh-CN" w:bidi="ar-SA"/>
        </w:rPr>
        <w:t>华宁县工业商贸和科技信息局</w:t>
      </w:r>
      <w:r>
        <w:rPr>
          <w:rFonts w:hint="eastAsia" w:ascii="Times New Roman" w:hAnsi="Times New Roman" w:eastAsia="方正仿宋_GBK" w:cs="Times New Roman"/>
          <w:bCs/>
          <w:color w:val="auto"/>
          <w:kern w:val="2"/>
          <w:sz w:val="32"/>
          <w:szCs w:val="32"/>
          <w:highlight w:val="none"/>
          <w:lang w:val="en-US" w:eastAsia="zh-CN" w:bidi="ar-SA"/>
        </w:rPr>
        <w:t>2024年度收入合计</w:t>
      </w:r>
      <w:r>
        <w:rPr>
          <w:rFonts w:hint="eastAsia" w:ascii="Times New Roman" w:hAnsi="Times New Roman" w:eastAsia="方正仿宋_GBK" w:cs="Times New Roman"/>
          <w:bCs/>
          <w:color w:val="auto"/>
          <w:kern w:val="2"/>
          <w:sz w:val="32"/>
          <w:szCs w:val="32"/>
          <w:highlight w:val="none"/>
          <w:lang w:val="zh-CN" w:eastAsia="zh-CN" w:bidi="ar-SA"/>
        </w:rPr>
        <w:t>12543221.90</w:t>
      </w:r>
      <w:r>
        <w:rPr>
          <w:rFonts w:hint="eastAsia" w:ascii="Times New Roman" w:hAnsi="Times New Roman" w:eastAsia="方正仿宋_GBK" w:cs="Times New Roman"/>
          <w:bCs/>
          <w:color w:val="auto"/>
          <w:kern w:val="2"/>
          <w:sz w:val="32"/>
          <w:szCs w:val="32"/>
          <w:highlight w:val="none"/>
          <w:lang w:val="en-US" w:eastAsia="zh-CN" w:bidi="ar-SA"/>
        </w:rPr>
        <w:t>元。其中：财政拨款收入</w:t>
      </w:r>
      <w:r>
        <w:rPr>
          <w:rFonts w:hint="eastAsia" w:ascii="Times New Roman" w:hAnsi="Times New Roman" w:eastAsia="方正仿宋_GBK" w:cs="Times New Roman"/>
          <w:bCs/>
          <w:color w:val="auto"/>
          <w:kern w:val="2"/>
          <w:sz w:val="32"/>
          <w:szCs w:val="32"/>
          <w:highlight w:val="none"/>
          <w:lang w:val="zh-CN" w:eastAsia="zh-CN" w:bidi="ar-SA"/>
        </w:rPr>
        <w:t>12505754.81</w:t>
      </w:r>
      <w:r>
        <w:rPr>
          <w:rFonts w:hint="eastAsia" w:ascii="Times New Roman" w:hAnsi="Times New Roman" w:eastAsia="方正仿宋_GBK" w:cs="Times New Roman"/>
          <w:bCs/>
          <w:color w:val="auto"/>
          <w:kern w:val="2"/>
          <w:sz w:val="32"/>
          <w:szCs w:val="32"/>
          <w:highlight w:val="none"/>
          <w:lang w:val="en-US" w:eastAsia="zh-CN" w:bidi="ar-SA"/>
        </w:rPr>
        <w:t>元，占总收入的</w:t>
      </w:r>
      <w:r>
        <w:rPr>
          <w:rFonts w:hint="eastAsia" w:ascii="Times New Roman" w:hAnsi="Times New Roman" w:eastAsia="方正仿宋_GBK" w:cs="Times New Roman"/>
          <w:bCs/>
          <w:color w:val="auto"/>
          <w:kern w:val="2"/>
          <w:sz w:val="32"/>
          <w:szCs w:val="32"/>
          <w:highlight w:val="none"/>
          <w:lang w:val="zh-CN" w:eastAsia="zh-CN" w:bidi="ar-SA"/>
        </w:rPr>
        <w:t>99.70</w:t>
      </w:r>
      <w:r>
        <w:rPr>
          <w:rFonts w:hint="eastAsia" w:ascii="Times New Roman" w:hAnsi="Times New Roman" w:eastAsia="方正仿宋_GBK" w:cs="Times New Roman"/>
          <w:bCs/>
          <w:color w:val="auto"/>
          <w:kern w:val="2"/>
          <w:sz w:val="32"/>
          <w:szCs w:val="32"/>
          <w:highlight w:val="none"/>
          <w:lang w:val="en-US" w:eastAsia="zh-CN" w:bidi="ar-SA"/>
        </w:rPr>
        <w:t>%；上级补助收入</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元，占总收入的</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%；事业收入</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元（含教育收费</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元），占总收入的</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%；经营收入</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元，占总收入的</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%；附属单位上缴收入</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元，占总收入的</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%；其他收入</w:t>
      </w:r>
      <w:r>
        <w:rPr>
          <w:rFonts w:hint="eastAsia" w:ascii="Times New Roman" w:hAnsi="Times New Roman" w:eastAsia="方正仿宋_GBK" w:cs="Times New Roman"/>
          <w:bCs/>
          <w:color w:val="auto"/>
          <w:kern w:val="2"/>
          <w:sz w:val="32"/>
          <w:szCs w:val="32"/>
          <w:highlight w:val="none"/>
          <w:lang w:val="zh-CN" w:eastAsia="zh-CN" w:bidi="ar-SA"/>
        </w:rPr>
        <w:t>37467.09</w:t>
      </w:r>
      <w:r>
        <w:rPr>
          <w:rFonts w:hint="eastAsia" w:ascii="Times New Roman" w:hAnsi="Times New Roman" w:eastAsia="方正仿宋_GBK" w:cs="Times New Roman"/>
          <w:bCs/>
          <w:color w:val="auto"/>
          <w:kern w:val="2"/>
          <w:sz w:val="32"/>
          <w:szCs w:val="32"/>
          <w:highlight w:val="none"/>
          <w:lang w:val="en-US" w:eastAsia="zh-CN" w:bidi="ar-SA"/>
        </w:rPr>
        <w:t>元，占总收入的</w:t>
      </w:r>
      <w:r>
        <w:rPr>
          <w:rFonts w:hint="eastAsia" w:ascii="Times New Roman" w:hAnsi="Times New Roman" w:eastAsia="方正仿宋_GBK" w:cs="Times New Roman"/>
          <w:bCs/>
          <w:color w:val="auto"/>
          <w:kern w:val="2"/>
          <w:sz w:val="32"/>
          <w:szCs w:val="32"/>
          <w:highlight w:val="none"/>
          <w:lang w:val="zh-CN" w:eastAsia="zh-CN" w:bidi="ar-SA"/>
        </w:rPr>
        <w:t>0.30</w:t>
      </w:r>
      <w:r>
        <w:rPr>
          <w:rFonts w:hint="eastAsia" w:ascii="Times New Roman" w:hAnsi="Times New Roman" w:eastAsia="方正仿宋_GBK" w:cs="Times New Roman"/>
          <w:bCs/>
          <w:color w:val="auto"/>
          <w:kern w:val="2"/>
          <w:sz w:val="32"/>
          <w:szCs w:val="32"/>
          <w:highlight w:val="none"/>
          <w:lang w:val="en-US" w:eastAsia="zh-CN" w:bidi="ar-SA"/>
        </w:rPr>
        <w:t>%。</w:t>
      </w:r>
    </w:p>
    <w:p w14:paraId="5C471AB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与上年相比，收入合计增加</w:t>
      </w:r>
      <w:r>
        <w:rPr>
          <w:rFonts w:hint="eastAsia" w:ascii="Times New Roman" w:hAnsi="Times New Roman" w:eastAsia="方正仿宋_GBK" w:cs="Times New Roman"/>
          <w:bCs/>
          <w:color w:val="auto"/>
          <w:kern w:val="2"/>
          <w:sz w:val="32"/>
          <w:szCs w:val="32"/>
          <w:highlight w:val="none"/>
          <w:lang w:val="zh-CN" w:eastAsia="zh-CN" w:bidi="ar-SA"/>
        </w:rPr>
        <w:t>2886546.44</w:t>
      </w:r>
      <w:r>
        <w:rPr>
          <w:rFonts w:hint="eastAsia" w:ascii="Times New Roman" w:hAnsi="Times New Roman" w:eastAsia="方正仿宋_GBK" w:cs="Times New Roman"/>
          <w:bCs/>
          <w:color w:val="auto"/>
          <w:kern w:val="2"/>
          <w:sz w:val="32"/>
          <w:szCs w:val="32"/>
          <w:highlight w:val="none"/>
          <w:lang w:val="en-US" w:eastAsia="zh-CN" w:bidi="ar-SA"/>
        </w:rPr>
        <w:t>元，增长</w:t>
      </w:r>
      <w:r>
        <w:rPr>
          <w:rFonts w:hint="eastAsia" w:ascii="Times New Roman" w:hAnsi="Times New Roman" w:eastAsia="方正仿宋_GBK" w:cs="Times New Roman"/>
          <w:bCs/>
          <w:color w:val="auto"/>
          <w:kern w:val="2"/>
          <w:sz w:val="32"/>
          <w:szCs w:val="32"/>
          <w:highlight w:val="none"/>
          <w:lang w:val="zh-CN" w:eastAsia="zh-CN" w:bidi="ar-SA"/>
        </w:rPr>
        <w:t>29.89</w:t>
      </w:r>
      <w:r>
        <w:rPr>
          <w:rFonts w:hint="eastAsia" w:ascii="Times New Roman" w:hAnsi="Times New Roman" w:eastAsia="方正仿宋_GBK" w:cs="Times New Roman"/>
          <w:bCs/>
          <w:color w:val="auto"/>
          <w:kern w:val="2"/>
          <w:sz w:val="32"/>
          <w:szCs w:val="32"/>
          <w:highlight w:val="none"/>
          <w:lang w:val="en-US" w:eastAsia="zh-CN" w:bidi="ar-SA"/>
        </w:rPr>
        <w:t>%。其中：财政拨款收入增加</w:t>
      </w:r>
      <w:r>
        <w:rPr>
          <w:rFonts w:hint="eastAsia" w:ascii="Times New Roman" w:hAnsi="Times New Roman" w:eastAsia="方正仿宋_GBK" w:cs="Times New Roman"/>
          <w:bCs/>
          <w:color w:val="auto"/>
          <w:kern w:val="2"/>
          <w:sz w:val="32"/>
          <w:szCs w:val="32"/>
          <w:highlight w:val="none"/>
          <w:lang w:val="zh-CN" w:eastAsia="zh-CN" w:bidi="ar-SA"/>
        </w:rPr>
        <w:t>2849079.35</w:t>
      </w:r>
      <w:r>
        <w:rPr>
          <w:rFonts w:hint="eastAsia" w:ascii="Times New Roman" w:hAnsi="Times New Roman" w:eastAsia="方正仿宋_GBK" w:cs="Times New Roman"/>
          <w:bCs/>
          <w:color w:val="auto"/>
          <w:kern w:val="2"/>
          <w:sz w:val="32"/>
          <w:szCs w:val="32"/>
          <w:highlight w:val="none"/>
          <w:lang w:val="en-US" w:eastAsia="zh-CN" w:bidi="ar-SA"/>
        </w:rPr>
        <w:t>元，增长</w:t>
      </w:r>
      <w:r>
        <w:rPr>
          <w:rFonts w:hint="eastAsia" w:ascii="Times New Roman" w:hAnsi="Times New Roman" w:eastAsia="方正仿宋_GBK" w:cs="Times New Roman"/>
          <w:bCs/>
          <w:color w:val="auto"/>
          <w:kern w:val="2"/>
          <w:sz w:val="32"/>
          <w:szCs w:val="32"/>
          <w:highlight w:val="none"/>
          <w:lang w:val="zh-CN" w:eastAsia="zh-CN" w:bidi="ar-SA"/>
        </w:rPr>
        <w:t>29.50</w:t>
      </w:r>
      <w:r>
        <w:rPr>
          <w:rFonts w:hint="eastAsia" w:ascii="Times New Roman" w:hAnsi="Times New Roman" w:eastAsia="方正仿宋_GBK" w:cs="Times New Roman"/>
          <w:bCs/>
          <w:color w:val="auto"/>
          <w:kern w:val="2"/>
          <w:sz w:val="32"/>
          <w:szCs w:val="32"/>
          <w:highlight w:val="none"/>
          <w:lang w:val="en-US" w:eastAsia="zh-CN" w:bidi="ar-SA"/>
        </w:rPr>
        <w:t>%；无上级补助收入；无事业收入</w:t>
      </w:r>
      <w:r>
        <w:rPr>
          <w:rFonts w:hint="eastAsia" w:ascii="Times New Roman" w:hAnsi="Times New Roman" w:eastAsia="方正仿宋_GBK" w:cs="Times New Roman"/>
          <w:bCs/>
          <w:color w:val="auto"/>
          <w:kern w:val="2"/>
          <w:sz w:val="32"/>
          <w:szCs w:val="32"/>
          <w:highlight w:val="none"/>
          <w:lang w:val="zh-CN" w:eastAsia="zh-CN" w:bidi="ar-SA"/>
        </w:rPr>
        <w:t>；</w:t>
      </w:r>
      <w:r>
        <w:rPr>
          <w:rFonts w:hint="eastAsia" w:ascii="Times New Roman" w:hAnsi="Times New Roman" w:eastAsia="方正仿宋_GBK" w:cs="Times New Roman"/>
          <w:bCs/>
          <w:color w:val="auto"/>
          <w:kern w:val="2"/>
          <w:sz w:val="32"/>
          <w:szCs w:val="32"/>
          <w:highlight w:val="none"/>
          <w:lang w:val="en-US" w:eastAsia="zh-CN" w:bidi="ar-SA"/>
        </w:rPr>
        <w:t>无经营收入；无附属单位上缴收入；其他收入增加</w:t>
      </w:r>
      <w:r>
        <w:rPr>
          <w:rFonts w:hint="eastAsia" w:ascii="Times New Roman" w:hAnsi="Times New Roman" w:eastAsia="方正仿宋_GBK" w:cs="Times New Roman"/>
          <w:bCs/>
          <w:color w:val="auto"/>
          <w:kern w:val="2"/>
          <w:sz w:val="32"/>
          <w:szCs w:val="32"/>
          <w:highlight w:val="none"/>
          <w:lang w:val="zh-CN" w:eastAsia="zh-CN" w:bidi="ar-SA"/>
        </w:rPr>
        <w:t>37467.09</w:t>
      </w:r>
      <w:r>
        <w:rPr>
          <w:rFonts w:hint="eastAsia" w:ascii="Times New Roman" w:hAnsi="Times New Roman" w:eastAsia="方正仿宋_GBK" w:cs="Times New Roman"/>
          <w:bCs/>
          <w:color w:val="auto"/>
          <w:kern w:val="2"/>
          <w:sz w:val="32"/>
          <w:szCs w:val="32"/>
          <w:highlight w:val="none"/>
          <w:lang w:val="en-US" w:eastAsia="zh-CN" w:bidi="ar-SA"/>
        </w:rPr>
        <w:t>元，主要原因是：</w:t>
      </w:r>
      <w:r>
        <w:rPr>
          <w:rFonts w:hint="default" w:ascii="Times New Roman" w:hAnsi="Times New Roman" w:eastAsia="方正仿宋_GBK" w:cs="Times New Roman"/>
          <w:bCs/>
          <w:color w:val="auto"/>
          <w:kern w:val="2"/>
          <w:sz w:val="32"/>
          <w:szCs w:val="32"/>
          <w:highlight w:val="none"/>
          <w:lang w:val="en-US" w:eastAsia="zh-CN" w:bidi="ar-SA"/>
        </w:rPr>
        <w:t>202</w:t>
      </w:r>
      <w:r>
        <w:rPr>
          <w:rFonts w:hint="eastAsia" w:ascii="Times New Roman" w:hAnsi="Times New Roman" w:eastAsia="方正仿宋_GBK" w:cs="Times New Roman"/>
          <w:bCs/>
          <w:color w:val="auto"/>
          <w:kern w:val="2"/>
          <w:sz w:val="32"/>
          <w:szCs w:val="32"/>
          <w:highlight w:val="none"/>
          <w:lang w:val="en-US" w:eastAsia="zh-CN" w:bidi="ar-SA"/>
        </w:rPr>
        <w:t>4</w:t>
      </w:r>
      <w:r>
        <w:rPr>
          <w:rFonts w:hint="default" w:ascii="Times New Roman" w:hAnsi="Times New Roman" w:eastAsia="方正仿宋_GBK" w:cs="Times New Roman"/>
          <w:bCs/>
          <w:color w:val="auto"/>
          <w:kern w:val="2"/>
          <w:sz w:val="32"/>
          <w:szCs w:val="32"/>
          <w:highlight w:val="none"/>
          <w:lang w:val="en-US" w:eastAsia="zh-CN" w:bidi="ar-SA"/>
        </w:rPr>
        <w:t>年度本部门使用其他收入</w:t>
      </w:r>
      <w:r>
        <w:rPr>
          <w:rFonts w:hint="eastAsia" w:ascii="Times New Roman" w:hAnsi="Times New Roman" w:eastAsia="方正仿宋_GBK" w:cs="Times New Roman"/>
          <w:bCs/>
          <w:color w:val="auto"/>
          <w:kern w:val="2"/>
          <w:sz w:val="32"/>
          <w:szCs w:val="32"/>
          <w:highlight w:val="none"/>
          <w:lang w:val="en-US" w:eastAsia="zh-CN" w:bidi="ar-SA"/>
        </w:rPr>
        <w:t>支出的</w:t>
      </w:r>
      <w:r>
        <w:rPr>
          <w:rFonts w:hint="default" w:ascii="Times New Roman" w:hAnsi="Times New Roman" w:eastAsia="方正仿宋_GBK" w:cs="Times New Roman"/>
          <w:bCs/>
          <w:color w:val="auto"/>
          <w:kern w:val="2"/>
          <w:sz w:val="32"/>
          <w:szCs w:val="32"/>
          <w:highlight w:val="none"/>
          <w:lang w:val="en-US" w:eastAsia="zh-CN" w:bidi="ar-SA"/>
        </w:rPr>
        <w:t>经费</w:t>
      </w:r>
      <w:r>
        <w:rPr>
          <w:rFonts w:hint="eastAsia" w:ascii="Times New Roman" w:hAnsi="Times New Roman" w:eastAsia="方正仿宋_GBK" w:cs="Times New Roman"/>
          <w:bCs/>
          <w:color w:val="auto"/>
          <w:kern w:val="2"/>
          <w:sz w:val="32"/>
          <w:szCs w:val="32"/>
          <w:highlight w:val="none"/>
          <w:lang w:val="en-US" w:eastAsia="zh-CN" w:bidi="ar-SA"/>
        </w:rPr>
        <w:t>增加，以及</w:t>
      </w:r>
      <w:r>
        <w:rPr>
          <w:rFonts w:hint="default" w:ascii="Times New Roman" w:hAnsi="Times New Roman" w:eastAsia="方正仿宋_GBK" w:cs="Times New Roman"/>
          <w:bCs/>
          <w:color w:val="auto"/>
          <w:kern w:val="2"/>
          <w:sz w:val="32"/>
          <w:szCs w:val="32"/>
          <w:highlight w:val="none"/>
          <w:lang w:val="en-US" w:eastAsia="zh-CN" w:bidi="ar-SA"/>
        </w:rPr>
        <w:t>项目专项资金收入</w:t>
      </w:r>
      <w:r>
        <w:rPr>
          <w:rFonts w:hint="eastAsia" w:ascii="Times New Roman" w:hAnsi="Times New Roman" w:eastAsia="方正仿宋_GBK" w:cs="Times New Roman"/>
          <w:bCs/>
          <w:color w:val="auto"/>
          <w:kern w:val="2"/>
          <w:sz w:val="32"/>
          <w:szCs w:val="32"/>
          <w:highlight w:val="none"/>
          <w:lang w:val="en-US" w:eastAsia="zh-CN" w:bidi="ar-SA"/>
        </w:rPr>
        <w:t>增加。</w:t>
      </w:r>
    </w:p>
    <w:p w14:paraId="486192D3">
      <w:pPr>
        <w:keepNext w:val="0"/>
        <w:keepLines w:val="0"/>
        <w:pageBreakBefore w:val="0"/>
        <w:kinsoku/>
        <w:overflowPunct/>
        <w:topLinePunct w:val="0"/>
        <w:bidi w:val="0"/>
        <w:spacing w:line="590" w:lineRule="exact"/>
        <w:ind w:firstLine="640" w:firstLineChars="200"/>
        <w:jc w:val="left"/>
        <w:textAlignment w:val="auto"/>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二、支出决算情况说明</w:t>
      </w:r>
    </w:p>
    <w:p w14:paraId="3968245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华宁县工业商贸和科技信息局</w:t>
      </w:r>
      <w:r>
        <w:rPr>
          <w:rFonts w:hint="eastAsia" w:ascii="Times New Roman" w:hAnsi="Times New Roman" w:eastAsia="方正仿宋_GBK" w:cs="Times New Roman"/>
          <w:bCs/>
          <w:color w:val="auto"/>
          <w:kern w:val="2"/>
          <w:sz w:val="32"/>
          <w:szCs w:val="32"/>
          <w:highlight w:val="none"/>
          <w:lang w:val="en-US" w:eastAsia="zh-CN" w:bidi="ar-SA"/>
        </w:rPr>
        <w:t>2024</w:t>
      </w:r>
      <w:r>
        <w:rPr>
          <w:rFonts w:hint="eastAsia" w:ascii="Times New Roman" w:hAnsi="Times New Roman" w:eastAsia="方正仿宋_GBK" w:cs="Times New Roman"/>
          <w:bCs/>
          <w:color w:val="auto"/>
          <w:kern w:val="2"/>
          <w:sz w:val="32"/>
          <w:szCs w:val="32"/>
          <w:highlight w:val="none"/>
          <w:lang w:val="zh-CN" w:eastAsia="zh-CN" w:bidi="ar-SA"/>
        </w:rPr>
        <w:t>年度支出合计12543221.90元。其中：基本支出5330203.35元，占总支出的42.49％；项目支出7213018.55元，占总支出的57.51％；上缴上级支出0.00元，占总支出的0.00％；经营支出0.00元，占总支出的0.00％；对附属单位补助支出0.00元，占总支出的0.00％。</w:t>
      </w:r>
    </w:p>
    <w:p w14:paraId="127C291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与上年相比，支出合计增加2884841.34元，增长29.87%。其中：基本支出</w:t>
      </w:r>
      <w:r>
        <w:rPr>
          <w:rFonts w:hint="eastAsia" w:ascii="Times New Roman" w:hAnsi="Times New Roman" w:eastAsia="方正仿宋_GBK" w:cs="Times New Roman"/>
          <w:bCs/>
          <w:color w:val="auto"/>
          <w:kern w:val="2"/>
          <w:sz w:val="32"/>
          <w:szCs w:val="32"/>
          <w:highlight w:val="none"/>
          <w:lang w:val="en-US" w:eastAsia="zh-CN" w:bidi="ar-SA"/>
        </w:rPr>
        <w:t>减少</w:t>
      </w:r>
      <w:r>
        <w:rPr>
          <w:rFonts w:hint="eastAsia" w:ascii="Times New Roman" w:hAnsi="Times New Roman" w:eastAsia="方正仿宋_GBK" w:cs="Times New Roman"/>
          <w:bCs/>
          <w:color w:val="auto"/>
          <w:kern w:val="2"/>
          <w:sz w:val="32"/>
          <w:szCs w:val="32"/>
          <w:highlight w:val="none"/>
          <w:lang w:val="zh-CN" w:eastAsia="zh-CN" w:bidi="ar-SA"/>
        </w:rPr>
        <w:t>509135.21元，</w:t>
      </w:r>
      <w:r>
        <w:rPr>
          <w:rFonts w:hint="eastAsia" w:ascii="Times New Roman" w:hAnsi="Times New Roman" w:eastAsia="方正仿宋_GBK" w:cs="Times New Roman"/>
          <w:bCs/>
          <w:color w:val="auto"/>
          <w:kern w:val="2"/>
          <w:sz w:val="32"/>
          <w:szCs w:val="32"/>
          <w:highlight w:val="none"/>
          <w:lang w:val="en-US" w:eastAsia="zh-CN" w:bidi="ar-SA"/>
        </w:rPr>
        <w:t>下降</w:t>
      </w:r>
      <w:r>
        <w:rPr>
          <w:rFonts w:hint="eastAsia" w:ascii="Times New Roman" w:hAnsi="Times New Roman" w:eastAsia="方正仿宋_GBK" w:cs="Times New Roman"/>
          <w:bCs/>
          <w:color w:val="auto"/>
          <w:kern w:val="2"/>
          <w:sz w:val="32"/>
          <w:szCs w:val="32"/>
          <w:highlight w:val="none"/>
          <w:lang w:val="zh-CN" w:eastAsia="zh-CN" w:bidi="ar-SA"/>
        </w:rPr>
        <w:t>8.72%；项目支出增加3393976.55元，增长88.87%；</w:t>
      </w:r>
      <w:r>
        <w:rPr>
          <w:rFonts w:hint="eastAsia" w:ascii="Times New Roman" w:hAnsi="Times New Roman" w:eastAsia="方正仿宋_GBK" w:cs="Times New Roman"/>
          <w:bCs/>
          <w:color w:val="auto"/>
          <w:kern w:val="2"/>
          <w:sz w:val="32"/>
          <w:szCs w:val="32"/>
          <w:highlight w:val="none"/>
          <w:lang w:val="en-US" w:eastAsia="zh-CN" w:bidi="ar-SA"/>
        </w:rPr>
        <w:t>无</w:t>
      </w:r>
      <w:r>
        <w:rPr>
          <w:rFonts w:hint="eastAsia" w:ascii="Times New Roman" w:hAnsi="Times New Roman" w:eastAsia="方正仿宋_GBK" w:cs="Times New Roman"/>
          <w:bCs/>
          <w:color w:val="auto"/>
          <w:kern w:val="2"/>
          <w:sz w:val="32"/>
          <w:szCs w:val="32"/>
          <w:highlight w:val="none"/>
          <w:lang w:val="zh-CN" w:eastAsia="zh-CN" w:bidi="ar-SA"/>
        </w:rPr>
        <w:t>上缴上级支出；</w:t>
      </w:r>
      <w:r>
        <w:rPr>
          <w:rFonts w:hint="eastAsia" w:ascii="Times New Roman" w:hAnsi="Times New Roman" w:eastAsia="方正仿宋_GBK" w:cs="Times New Roman"/>
          <w:bCs/>
          <w:color w:val="auto"/>
          <w:kern w:val="2"/>
          <w:sz w:val="32"/>
          <w:szCs w:val="32"/>
          <w:highlight w:val="none"/>
          <w:lang w:val="en-US" w:eastAsia="zh-CN" w:bidi="ar-SA"/>
        </w:rPr>
        <w:t>无</w:t>
      </w:r>
      <w:r>
        <w:rPr>
          <w:rFonts w:hint="eastAsia" w:ascii="Times New Roman" w:hAnsi="Times New Roman" w:eastAsia="方正仿宋_GBK" w:cs="Times New Roman"/>
          <w:bCs/>
          <w:color w:val="auto"/>
          <w:kern w:val="2"/>
          <w:sz w:val="32"/>
          <w:szCs w:val="32"/>
          <w:highlight w:val="none"/>
          <w:lang w:val="zh-CN" w:eastAsia="zh-CN" w:bidi="ar-SA"/>
        </w:rPr>
        <w:t>经营支出；</w:t>
      </w:r>
      <w:r>
        <w:rPr>
          <w:rFonts w:hint="eastAsia" w:ascii="Times New Roman" w:hAnsi="Times New Roman" w:eastAsia="方正仿宋_GBK" w:cs="Times New Roman"/>
          <w:bCs/>
          <w:color w:val="auto"/>
          <w:kern w:val="2"/>
          <w:sz w:val="32"/>
          <w:szCs w:val="32"/>
          <w:highlight w:val="none"/>
          <w:lang w:val="en-US" w:eastAsia="zh-CN" w:bidi="ar-SA"/>
        </w:rPr>
        <w:t>无</w:t>
      </w:r>
      <w:r>
        <w:rPr>
          <w:rFonts w:hint="eastAsia" w:ascii="Times New Roman" w:hAnsi="Times New Roman" w:eastAsia="方正仿宋_GBK" w:cs="Times New Roman"/>
          <w:bCs/>
          <w:color w:val="auto"/>
          <w:kern w:val="2"/>
          <w:sz w:val="32"/>
          <w:szCs w:val="32"/>
          <w:highlight w:val="none"/>
          <w:lang w:val="zh-CN" w:eastAsia="zh-CN" w:bidi="ar-SA"/>
        </w:rPr>
        <w:t>对附属单位补助支出。主要原因是：</w:t>
      </w:r>
      <w:r>
        <w:rPr>
          <w:rFonts w:hint="default" w:ascii="Times New Roman" w:hAnsi="Times New Roman" w:eastAsia="方正仿宋_GBK" w:cs="Times New Roman"/>
          <w:bCs/>
          <w:color w:val="auto"/>
          <w:kern w:val="2"/>
          <w:sz w:val="32"/>
          <w:szCs w:val="32"/>
          <w:highlight w:val="none"/>
          <w:lang w:val="zh-CN" w:eastAsia="zh-CN" w:bidi="ar-SA"/>
        </w:rPr>
        <w:t>202</w:t>
      </w:r>
      <w:r>
        <w:rPr>
          <w:rFonts w:hint="eastAsia" w:ascii="Times New Roman" w:hAnsi="Times New Roman" w:eastAsia="方正仿宋_GBK" w:cs="Times New Roman"/>
          <w:bCs/>
          <w:color w:val="auto"/>
          <w:kern w:val="2"/>
          <w:sz w:val="32"/>
          <w:szCs w:val="32"/>
          <w:highlight w:val="none"/>
          <w:lang w:val="en-US" w:eastAsia="zh-CN" w:bidi="ar-SA"/>
        </w:rPr>
        <w:t>4</w:t>
      </w:r>
      <w:r>
        <w:rPr>
          <w:rFonts w:hint="default" w:ascii="Times New Roman" w:hAnsi="Times New Roman" w:eastAsia="方正仿宋_GBK" w:cs="Times New Roman"/>
          <w:bCs/>
          <w:color w:val="auto"/>
          <w:kern w:val="2"/>
          <w:sz w:val="32"/>
          <w:szCs w:val="32"/>
          <w:highlight w:val="none"/>
          <w:lang w:val="zh-CN" w:eastAsia="zh-CN" w:bidi="ar-SA"/>
        </w:rPr>
        <w:t>年度本部门使用其他收入</w:t>
      </w:r>
      <w:r>
        <w:rPr>
          <w:rFonts w:hint="eastAsia" w:ascii="Times New Roman" w:hAnsi="Times New Roman" w:eastAsia="方正仿宋_GBK" w:cs="Times New Roman"/>
          <w:bCs/>
          <w:color w:val="auto"/>
          <w:kern w:val="2"/>
          <w:sz w:val="32"/>
          <w:szCs w:val="32"/>
          <w:highlight w:val="none"/>
          <w:lang w:val="en-US" w:eastAsia="zh-CN" w:bidi="ar-SA"/>
        </w:rPr>
        <w:t>支出的</w:t>
      </w:r>
      <w:r>
        <w:rPr>
          <w:rFonts w:hint="default" w:ascii="Times New Roman" w:hAnsi="Times New Roman" w:eastAsia="方正仿宋_GBK" w:cs="Times New Roman"/>
          <w:bCs/>
          <w:color w:val="auto"/>
          <w:kern w:val="2"/>
          <w:sz w:val="32"/>
          <w:szCs w:val="32"/>
          <w:highlight w:val="none"/>
          <w:lang w:val="zh-CN" w:eastAsia="zh-CN" w:bidi="ar-SA"/>
        </w:rPr>
        <w:t>经费</w:t>
      </w:r>
      <w:r>
        <w:rPr>
          <w:rFonts w:hint="eastAsia" w:ascii="Times New Roman" w:hAnsi="Times New Roman" w:eastAsia="方正仿宋_GBK" w:cs="Times New Roman"/>
          <w:bCs/>
          <w:color w:val="auto"/>
          <w:kern w:val="2"/>
          <w:sz w:val="32"/>
          <w:szCs w:val="32"/>
          <w:highlight w:val="none"/>
          <w:lang w:val="en-US" w:eastAsia="zh-CN" w:bidi="ar-SA"/>
        </w:rPr>
        <w:t>增加，以及</w:t>
      </w:r>
      <w:r>
        <w:rPr>
          <w:rFonts w:hint="default" w:ascii="Times New Roman" w:hAnsi="Times New Roman" w:eastAsia="方正仿宋_GBK" w:cs="Times New Roman"/>
          <w:bCs/>
          <w:color w:val="auto"/>
          <w:kern w:val="2"/>
          <w:sz w:val="32"/>
          <w:szCs w:val="32"/>
          <w:highlight w:val="none"/>
          <w:lang w:val="zh-CN" w:eastAsia="zh-CN" w:bidi="ar-SA"/>
        </w:rPr>
        <w:t>项目专项资金收入</w:t>
      </w:r>
      <w:r>
        <w:rPr>
          <w:rFonts w:hint="eastAsia" w:ascii="Times New Roman" w:hAnsi="Times New Roman" w:eastAsia="方正仿宋_GBK" w:cs="Times New Roman"/>
          <w:bCs/>
          <w:color w:val="auto"/>
          <w:kern w:val="2"/>
          <w:sz w:val="32"/>
          <w:szCs w:val="32"/>
          <w:highlight w:val="none"/>
          <w:lang w:val="en-US" w:eastAsia="zh-CN" w:bidi="ar-SA"/>
        </w:rPr>
        <w:t>增加，本年度退休1人</w:t>
      </w:r>
      <w:r>
        <w:rPr>
          <w:rFonts w:hint="eastAsia" w:ascii="Times New Roman" w:hAnsi="Times New Roman" w:eastAsia="方正仿宋_GBK" w:cs="Times New Roman"/>
          <w:bCs/>
          <w:color w:val="auto"/>
          <w:kern w:val="2"/>
          <w:sz w:val="32"/>
          <w:szCs w:val="32"/>
          <w:highlight w:val="none"/>
          <w:lang w:val="zh-CN" w:eastAsia="zh-CN" w:bidi="ar-SA"/>
        </w:rPr>
        <w:t>。</w:t>
      </w:r>
    </w:p>
    <w:p w14:paraId="48E051A6">
      <w:pPr>
        <w:keepNext w:val="0"/>
        <w:keepLines w:val="0"/>
        <w:pageBreakBefore w:val="0"/>
        <w:widowControl/>
        <w:kinsoku/>
        <w:overflowPunct/>
        <w:topLinePunct w:val="0"/>
        <w:bidi w:val="0"/>
        <w:snapToGrid w:val="0"/>
        <w:spacing w:line="590" w:lineRule="exact"/>
        <w:ind w:firstLine="640" w:firstLineChars="200"/>
        <w:jc w:val="left"/>
        <w:textAlignment w:val="auto"/>
        <w:outlineLvl w:val="2"/>
        <w:rPr>
          <w:rFonts w:hint="eastAsia" w:ascii="方正楷体_GBK" w:hAnsi="方正楷体_GBK" w:eastAsia="方正楷体_GBK" w:cs="方正楷体_GBK"/>
          <w:bCs/>
          <w:color w:val="auto"/>
          <w:kern w:val="2"/>
          <w:sz w:val="32"/>
          <w:szCs w:val="32"/>
          <w:highlight w:val="none"/>
          <w:lang w:val="zh-CN" w:eastAsia="zh-CN" w:bidi="ar-SA"/>
        </w:rPr>
      </w:pPr>
      <w:r>
        <w:rPr>
          <w:rFonts w:hint="eastAsia" w:ascii="方正楷体_GBK" w:hAnsi="方正楷体_GBK" w:eastAsia="方正楷体_GBK" w:cs="方正楷体_GBK"/>
          <w:bCs/>
          <w:color w:val="auto"/>
          <w:kern w:val="2"/>
          <w:sz w:val="32"/>
          <w:szCs w:val="32"/>
          <w:highlight w:val="none"/>
          <w:lang w:val="zh-CN" w:eastAsia="zh-CN" w:bidi="ar-SA"/>
        </w:rPr>
        <w:t>（一）基本支出情况</w:t>
      </w:r>
    </w:p>
    <w:p w14:paraId="4796031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2024</w:t>
      </w:r>
      <w:r>
        <w:rPr>
          <w:rFonts w:hint="eastAsia" w:ascii="Times New Roman" w:hAnsi="Times New Roman" w:eastAsia="方正仿宋_GBK" w:cs="Times New Roman"/>
          <w:bCs/>
          <w:color w:val="auto"/>
          <w:kern w:val="2"/>
          <w:sz w:val="32"/>
          <w:szCs w:val="32"/>
          <w:highlight w:val="none"/>
          <w:lang w:val="zh-CN" w:eastAsia="zh-CN" w:bidi="ar-SA"/>
        </w:rPr>
        <w:t>年度用于保障华宁县工业商贸和科技信息局机关、下属事业单位等机构正常运转的日常支出5330203.35元。其中：基本工资、津贴补贴等人员经费支出5080711.55元，占基本支出的95.32％；办公费、印刷费、水电费、办公设备购置等公用经费249491.80元，占基本支出的4.68％。</w:t>
      </w:r>
    </w:p>
    <w:p w14:paraId="007D282A">
      <w:pPr>
        <w:keepNext w:val="0"/>
        <w:keepLines w:val="0"/>
        <w:pageBreakBefore w:val="0"/>
        <w:widowControl/>
        <w:kinsoku/>
        <w:overflowPunct/>
        <w:topLinePunct w:val="0"/>
        <w:bidi w:val="0"/>
        <w:snapToGrid w:val="0"/>
        <w:spacing w:line="590" w:lineRule="exact"/>
        <w:ind w:firstLine="640" w:firstLineChars="200"/>
        <w:jc w:val="left"/>
        <w:textAlignment w:val="auto"/>
        <w:outlineLvl w:val="2"/>
        <w:rPr>
          <w:rFonts w:hint="eastAsia" w:ascii="方正楷体_GBK" w:hAnsi="方正楷体_GBK" w:eastAsia="方正楷体_GBK" w:cs="方正楷体_GBK"/>
          <w:bCs/>
          <w:color w:val="auto"/>
          <w:kern w:val="2"/>
          <w:sz w:val="32"/>
          <w:szCs w:val="32"/>
          <w:highlight w:val="none"/>
          <w:lang w:val="zh-CN" w:eastAsia="zh-CN" w:bidi="ar-SA"/>
        </w:rPr>
      </w:pPr>
      <w:r>
        <w:rPr>
          <w:rFonts w:hint="eastAsia" w:ascii="方正楷体_GBK" w:hAnsi="方正楷体_GBK" w:eastAsia="方正楷体_GBK" w:cs="方正楷体_GBK"/>
          <w:bCs/>
          <w:color w:val="auto"/>
          <w:kern w:val="2"/>
          <w:sz w:val="32"/>
          <w:szCs w:val="32"/>
          <w:highlight w:val="none"/>
          <w:lang w:val="zh-CN" w:eastAsia="zh-CN" w:bidi="ar-SA"/>
        </w:rPr>
        <w:t>（二）项目支出情况</w:t>
      </w:r>
    </w:p>
    <w:p w14:paraId="13414DB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2024年度用于保障</w:t>
      </w:r>
      <w:r>
        <w:rPr>
          <w:rFonts w:hint="eastAsia" w:ascii="Times New Roman" w:hAnsi="Times New Roman" w:eastAsia="方正仿宋_GBK" w:cs="Times New Roman"/>
          <w:bCs/>
          <w:color w:val="auto"/>
          <w:kern w:val="2"/>
          <w:sz w:val="32"/>
          <w:szCs w:val="32"/>
          <w:highlight w:val="none"/>
          <w:lang w:val="zh-CN" w:eastAsia="zh-CN" w:bidi="ar-SA"/>
        </w:rPr>
        <w:t>华宁县工业商贸和科技信息局</w:t>
      </w:r>
      <w:r>
        <w:rPr>
          <w:rFonts w:hint="eastAsia" w:ascii="Times New Roman" w:hAnsi="Times New Roman" w:eastAsia="方正仿宋_GBK" w:cs="Times New Roman"/>
          <w:bCs/>
          <w:color w:val="auto"/>
          <w:kern w:val="2"/>
          <w:sz w:val="32"/>
          <w:szCs w:val="32"/>
          <w:highlight w:val="none"/>
          <w:lang w:val="en-US" w:eastAsia="zh-CN" w:bidi="ar-SA"/>
        </w:rPr>
        <w:t>机关、下属事业单位等机构为完成特定的行政工作任务或事业发展目标，用于专项业务工作的经费支出</w:t>
      </w:r>
      <w:r>
        <w:rPr>
          <w:rFonts w:hint="eastAsia" w:ascii="Times New Roman" w:hAnsi="Times New Roman" w:eastAsia="方正仿宋_GBK" w:cs="Times New Roman"/>
          <w:bCs/>
          <w:color w:val="auto"/>
          <w:kern w:val="2"/>
          <w:sz w:val="32"/>
          <w:szCs w:val="32"/>
          <w:highlight w:val="none"/>
          <w:lang w:val="zh-CN" w:eastAsia="zh-CN" w:bidi="ar-SA"/>
        </w:rPr>
        <w:t>7213018.55</w:t>
      </w:r>
      <w:r>
        <w:rPr>
          <w:rFonts w:hint="eastAsia" w:ascii="Times New Roman" w:hAnsi="Times New Roman" w:eastAsia="方正仿宋_GBK" w:cs="Times New Roman"/>
          <w:bCs/>
          <w:color w:val="auto"/>
          <w:kern w:val="2"/>
          <w:sz w:val="32"/>
          <w:szCs w:val="32"/>
          <w:highlight w:val="none"/>
          <w:lang w:val="en-US" w:eastAsia="zh-CN" w:bidi="ar-SA"/>
        </w:rPr>
        <w:t>元。其中：基本建设类项目支出</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w:t>
      </w:r>
      <w:r>
        <w:rPr>
          <w:rFonts w:hint="default" w:ascii="Times New Roman" w:hAnsi="Times New Roman" w:eastAsia="方正仿宋_GBK" w:cs="Times New Roman"/>
          <w:bCs/>
          <w:color w:val="auto"/>
          <w:kern w:val="2"/>
          <w:sz w:val="32"/>
          <w:szCs w:val="32"/>
          <w:highlight w:val="none"/>
          <w:lang w:val="en-US" w:eastAsia="zh-CN" w:bidi="ar-SA"/>
        </w:rPr>
        <w:t>发展与改革事务支出37467.09</w:t>
      </w:r>
      <w:r>
        <w:rPr>
          <w:rFonts w:hint="eastAsia" w:ascii="Times New Roman" w:hAnsi="Times New Roman" w:eastAsia="方正仿宋_GBK" w:cs="Times New Roman"/>
          <w:bCs/>
          <w:color w:val="auto"/>
          <w:kern w:val="2"/>
          <w:sz w:val="32"/>
          <w:szCs w:val="32"/>
          <w:highlight w:val="none"/>
          <w:lang w:val="en-US" w:eastAsia="zh-CN" w:bidi="ar-SA"/>
        </w:rPr>
        <w:t>元；</w:t>
      </w:r>
      <w:r>
        <w:rPr>
          <w:rFonts w:hint="default" w:ascii="Times New Roman" w:hAnsi="Times New Roman" w:eastAsia="方正仿宋_GBK" w:cs="Times New Roman"/>
          <w:bCs/>
          <w:color w:val="auto"/>
          <w:kern w:val="2"/>
          <w:sz w:val="32"/>
          <w:szCs w:val="32"/>
          <w:highlight w:val="none"/>
          <w:lang w:val="en-US" w:eastAsia="zh-CN" w:bidi="ar-SA"/>
        </w:rPr>
        <w:t>社会保障和就业支出</w:t>
      </w:r>
      <w:r>
        <w:rPr>
          <w:rFonts w:hint="eastAsia" w:ascii="Times New Roman" w:hAnsi="Times New Roman" w:eastAsia="方正仿宋_GBK" w:cs="Times New Roman"/>
          <w:bCs/>
          <w:color w:val="auto"/>
          <w:kern w:val="2"/>
          <w:sz w:val="32"/>
          <w:szCs w:val="32"/>
          <w:highlight w:val="none"/>
          <w:lang w:val="en-US" w:eastAsia="zh-CN" w:bidi="ar-SA"/>
        </w:rPr>
        <w:t>852724.60元；</w:t>
      </w:r>
      <w:r>
        <w:rPr>
          <w:rFonts w:hint="default" w:ascii="Times New Roman" w:hAnsi="Times New Roman" w:eastAsia="方正仿宋_GBK" w:cs="Times New Roman"/>
          <w:bCs/>
          <w:color w:val="auto"/>
          <w:kern w:val="2"/>
          <w:sz w:val="32"/>
          <w:szCs w:val="32"/>
          <w:highlight w:val="none"/>
          <w:lang w:val="en-US" w:eastAsia="zh-CN" w:bidi="ar-SA"/>
        </w:rPr>
        <w:t>节能环保支出</w:t>
      </w:r>
      <w:r>
        <w:rPr>
          <w:rFonts w:hint="eastAsia" w:ascii="Times New Roman" w:hAnsi="Times New Roman" w:eastAsia="方正仿宋_GBK" w:cs="Times New Roman"/>
          <w:bCs/>
          <w:color w:val="auto"/>
          <w:kern w:val="2"/>
          <w:sz w:val="32"/>
          <w:szCs w:val="32"/>
          <w:highlight w:val="none"/>
          <w:lang w:val="en-US" w:eastAsia="zh-CN" w:bidi="ar-SA"/>
        </w:rPr>
        <w:t>元600000.00；城乡社区支出2000000.00元；</w:t>
      </w:r>
      <w:r>
        <w:rPr>
          <w:rFonts w:hint="default" w:ascii="Times New Roman" w:hAnsi="Times New Roman" w:eastAsia="方正仿宋_GBK" w:cs="Times New Roman"/>
          <w:bCs/>
          <w:color w:val="auto"/>
          <w:kern w:val="2"/>
          <w:sz w:val="32"/>
          <w:szCs w:val="32"/>
          <w:highlight w:val="none"/>
          <w:lang w:val="en-US" w:eastAsia="zh-CN" w:bidi="ar-SA"/>
        </w:rPr>
        <w:t>资源勘探工业信息等支出</w:t>
      </w:r>
      <w:r>
        <w:rPr>
          <w:rFonts w:hint="eastAsia" w:ascii="Times New Roman" w:hAnsi="Times New Roman" w:eastAsia="方正仿宋_GBK" w:cs="Times New Roman"/>
          <w:bCs/>
          <w:color w:val="auto"/>
          <w:kern w:val="2"/>
          <w:sz w:val="32"/>
          <w:szCs w:val="32"/>
          <w:highlight w:val="none"/>
          <w:lang w:val="en-US" w:eastAsia="zh-CN" w:bidi="ar-SA"/>
        </w:rPr>
        <w:t>29826.86元；</w:t>
      </w:r>
      <w:r>
        <w:rPr>
          <w:rFonts w:hint="default" w:ascii="Times New Roman" w:hAnsi="Times New Roman" w:eastAsia="方正仿宋_GBK" w:cs="Times New Roman"/>
          <w:bCs/>
          <w:color w:val="auto"/>
          <w:kern w:val="2"/>
          <w:sz w:val="32"/>
          <w:szCs w:val="32"/>
          <w:highlight w:val="none"/>
          <w:lang w:val="en-US" w:eastAsia="zh-CN" w:bidi="ar-SA"/>
        </w:rPr>
        <w:t>商业服务业等支出</w:t>
      </w:r>
      <w:r>
        <w:rPr>
          <w:rFonts w:hint="eastAsia" w:ascii="Times New Roman" w:hAnsi="Times New Roman" w:eastAsia="方正仿宋_GBK" w:cs="Times New Roman"/>
          <w:bCs/>
          <w:color w:val="auto"/>
          <w:kern w:val="2"/>
          <w:sz w:val="32"/>
          <w:szCs w:val="32"/>
          <w:highlight w:val="none"/>
          <w:lang w:val="en-US" w:eastAsia="zh-CN" w:bidi="ar-SA"/>
        </w:rPr>
        <w:t>3693000.00元。</w:t>
      </w:r>
    </w:p>
    <w:p w14:paraId="5F9592C4">
      <w:pPr>
        <w:keepNext w:val="0"/>
        <w:keepLines w:val="0"/>
        <w:pageBreakBefore w:val="0"/>
        <w:kinsoku/>
        <w:overflowPunct/>
        <w:topLinePunct w:val="0"/>
        <w:bidi w:val="0"/>
        <w:spacing w:line="590" w:lineRule="exact"/>
        <w:ind w:firstLine="640" w:firstLineChars="200"/>
        <w:jc w:val="left"/>
        <w:textAlignment w:val="auto"/>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三、一般公共预算财政拨款支出决算情况说明</w:t>
      </w:r>
    </w:p>
    <w:p w14:paraId="00BBF60C">
      <w:pPr>
        <w:keepNext w:val="0"/>
        <w:keepLines w:val="0"/>
        <w:pageBreakBefore w:val="0"/>
        <w:widowControl/>
        <w:kinsoku/>
        <w:overflowPunct/>
        <w:topLinePunct w:val="0"/>
        <w:bidi w:val="0"/>
        <w:snapToGrid w:val="0"/>
        <w:spacing w:line="590" w:lineRule="exact"/>
        <w:ind w:firstLine="640" w:firstLineChars="200"/>
        <w:jc w:val="left"/>
        <w:textAlignment w:val="auto"/>
        <w:outlineLvl w:val="2"/>
        <w:rPr>
          <w:rFonts w:hint="eastAsia" w:ascii="方正楷体_GBK" w:hAnsi="方正楷体_GBK" w:eastAsia="方正楷体_GBK" w:cs="方正楷体_GBK"/>
          <w:bCs/>
          <w:color w:val="auto"/>
          <w:kern w:val="2"/>
          <w:sz w:val="32"/>
          <w:szCs w:val="32"/>
          <w:highlight w:val="none"/>
          <w:lang w:val="zh-CN" w:eastAsia="zh-CN" w:bidi="ar-SA"/>
        </w:rPr>
      </w:pPr>
      <w:r>
        <w:rPr>
          <w:rFonts w:hint="eastAsia" w:ascii="方正楷体_GBK" w:hAnsi="方正楷体_GBK" w:eastAsia="方正楷体_GBK" w:cs="方正楷体_GBK"/>
          <w:bCs/>
          <w:color w:val="auto"/>
          <w:kern w:val="2"/>
          <w:sz w:val="32"/>
          <w:szCs w:val="32"/>
          <w:highlight w:val="none"/>
          <w:lang w:val="zh-CN" w:eastAsia="zh-CN" w:bidi="ar-SA"/>
        </w:rPr>
        <w:t>（一）一般公共预算财政拨款支出决算总体情况</w:t>
      </w:r>
    </w:p>
    <w:p w14:paraId="7F965D6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zh-CN" w:eastAsia="zh-CN" w:bidi="ar-SA"/>
        </w:rPr>
        <w:t>华宁县工业商贸和科技信息局</w:t>
      </w:r>
      <w:r>
        <w:rPr>
          <w:rFonts w:hint="eastAsia" w:ascii="Times New Roman" w:hAnsi="Times New Roman" w:eastAsia="方正仿宋_GBK" w:cs="Times New Roman"/>
          <w:bCs/>
          <w:color w:val="auto"/>
          <w:kern w:val="2"/>
          <w:sz w:val="32"/>
          <w:szCs w:val="32"/>
          <w:highlight w:val="none"/>
          <w:lang w:val="en-US" w:eastAsia="zh-CN" w:bidi="ar-SA"/>
        </w:rPr>
        <w:t>2024年度一般公共预算财政拨款支出</w:t>
      </w:r>
      <w:r>
        <w:rPr>
          <w:rFonts w:hint="eastAsia" w:ascii="Times New Roman" w:hAnsi="Times New Roman" w:eastAsia="方正仿宋_GBK" w:cs="Times New Roman"/>
          <w:bCs/>
          <w:color w:val="auto"/>
          <w:kern w:val="2"/>
          <w:sz w:val="32"/>
          <w:szCs w:val="32"/>
          <w:highlight w:val="none"/>
          <w:lang w:val="zh-CN" w:eastAsia="zh-CN" w:bidi="ar-SA"/>
        </w:rPr>
        <w:t>10505754.81</w:t>
      </w:r>
      <w:r>
        <w:rPr>
          <w:rFonts w:hint="eastAsia" w:ascii="Times New Roman" w:hAnsi="Times New Roman" w:eastAsia="方正仿宋_GBK" w:cs="Times New Roman"/>
          <w:bCs/>
          <w:color w:val="auto"/>
          <w:kern w:val="2"/>
          <w:sz w:val="32"/>
          <w:szCs w:val="32"/>
          <w:highlight w:val="none"/>
          <w:lang w:val="en-US" w:eastAsia="zh-CN" w:bidi="ar-SA"/>
        </w:rPr>
        <w:t>元,占本年支出合计的</w:t>
      </w:r>
      <w:r>
        <w:rPr>
          <w:rFonts w:hint="eastAsia" w:ascii="Times New Roman" w:hAnsi="Times New Roman" w:eastAsia="方正仿宋_GBK" w:cs="Times New Roman"/>
          <w:bCs/>
          <w:color w:val="auto"/>
          <w:kern w:val="2"/>
          <w:sz w:val="32"/>
          <w:szCs w:val="32"/>
          <w:highlight w:val="none"/>
          <w:lang w:val="zh-CN" w:eastAsia="zh-CN" w:bidi="ar-SA"/>
        </w:rPr>
        <w:t>83.76</w:t>
      </w:r>
      <w:r>
        <w:rPr>
          <w:rFonts w:hint="eastAsia" w:ascii="Times New Roman" w:hAnsi="Times New Roman" w:eastAsia="方正仿宋_GBK" w:cs="Times New Roman"/>
          <w:bCs/>
          <w:color w:val="auto"/>
          <w:kern w:val="2"/>
          <w:sz w:val="32"/>
          <w:szCs w:val="32"/>
          <w:highlight w:val="none"/>
          <w:lang w:val="en-US" w:eastAsia="zh-CN" w:bidi="ar-SA"/>
        </w:rPr>
        <w:t>%。与上年相比增加</w:t>
      </w:r>
      <w:r>
        <w:rPr>
          <w:rFonts w:hint="eastAsia" w:ascii="Times New Roman" w:hAnsi="Times New Roman" w:eastAsia="方正仿宋_GBK" w:cs="Times New Roman"/>
          <w:bCs/>
          <w:color w:val="auto"/>
          <w:kern w:val="2"/>
          <w:sz w:val="32"/>
          <w:szCs w:val="32"/>
          <w:highlight w:val="none"/>
          <w:lang w:val="zh-CN" w:eastAsia="zh-CN" w:bidi="ar-SA"/>
        </w:rPr>
        <w:t>849079.35</w:t>
      </w:r>
      <w:r>
        <w:rPr>
          <w:rFonts w:hint="eastAsia" w:ascii="Times New Roman" w:hAnsi="Times New Roman" w:eastAsia="方正仿宋_GBK" w:cs="Times New Roman"/>
          <w:bCs/>
          <w:color w:val="auto"/>
          <w:kern w:val="2"/>
          <w:sz w:val="32"/>
          <w:szCs w:val="32"/>
          <w:highlight w:val="none"/>
          <w:lang w:val="en-US" w:eastAsia="zh-CN" w:bidi="ar-SA"/>
        </w:rPr>
        <w:t>元，增长</w:t>
      </w:r>
      <w:r>
        <w:rPr>
          <w:rFonts w:hint="eastAsia" w:ascii="Times New Roman" w:hAnsi="Times New Roman" w:eastAsia="方正仿宋_GBK" w:cs="Times New Roman"/>
          <w:bCs/>
          <w:color w:val="auto"/>
          <w:kern w:val="2"/>
          <w:sz w:val="32"/>
          <w:szCs w:val="32"/>
          <w:highlight w:val="none"/>
          <w:lang w:val="zh-CN" w:eastAsia="zh-CN" w:bidi="ar-SA"/>
        </w:rPr>
        <w:t>8.</w:t>
      </w:r>
      <w:bookmarkStart w:id="1" w:name="_GoBack"/>
      <w:bookmarkEnd w:id="1"/>
      <w:r>
        <w:rPr>
          <w:rFonts w:hint="eastAsia" w:ascii="Times New Roman" w:hAnsi="Times New Roman" w:eastAsia="方正仿宋_GBK" w:cs="Times New Roman"/>
          <w:bCs/>
          <w:color w:val="auto"/>
          <w:kern w:val="2"/>
          <w:sz w:val="32"/>
          <w:szCs w:val="32"/>
          <w:highlight w:val="none"/>
          <w:lang w:val="zh-CN" w:eastAsia="zh-CN" w:bidi="ar-SA"/>
        </w:rPr>
        <w:t>79</w:t>
      </w:r>
      <w:r>
        <w:rPr>
          <w:rFonts w:hint="eastAsia" w:ascii="Times New Roman" w:hAnsi="Times New Roman" w:eastAsia="方正仿宋_GBK" w:cs="Times New Roman"/>
          <w:bCs/>
          <w:color w:val="auto"/>
          <w:kern w:val="2"/>
          <w:sz w:val="32"/>
          <w:szCs w:val="32"/>
          <w:highlight w:val="none"/>
          <w:lang w:val="en-US" w:eastAsia="zh-CN" w:bidi="ar-SA"/>
        </w:rPr>
        <w:t>%,完成年初预算的</w:t>
      </w:r>
      <w:r>
        <w:rPr>
          <w:rFonts w:hint="eastAsia" w:ascii="Times New Roman" w:hAnsi="Times New Roman" w:eastAsia="方正仿宋_GBK" w:cs="Times New Roman"/>
          <w:bCs/>
          <w:color w:val="auto"/>
          <w:kern w:val="2"/>
          <w:sz w:val="32"/>
          <w:szCs w:val="32"/>
          <w:highlight w:val="none"/>
          <w:lang w:val="zh-CN" w:eastAsia="zh-CN" w:bidi="ar-SA"/>
        </w:rPr>
        <w:t>158.14</w:t>
      </w:r>
      <w:r>
        <w:rPr>
          <w:rFonts w:hint="eastAsia" w:ascii="Times New Roman" w:hAnsi="Times New Roman" w:eastAsia="方正仿宋_GBK" w:cs="Times New Roman"/>
          <w:bCs/>
          <w:color w:val="auto"/>
          <w:kern w:val="2"/>
          <w:sz w:val="32"/>
          <w:szCs w:val="32"/>
          <w:highlight w:val="none"/>
          <w:lang w:val="en-US" w:eastAsia="zh-CN" w:bidi="ar-SA"/>
        </w:rPr>
        <w:t>%。</w:t>
      </w:r>
    </w:p>
    <w:p w14:paraId="11D5B860">
      <w:pPr>
        <w:keepNext w:val="0"/>
        <w:keepLines w:val="0"/>
        <w:pageBreakBefore w:val="0"/>
        <w:widowControl/>
        <w:kinsoku/>
        <w:overflowPunct/>
        <w:topLinePunct w:val="0"/>
        <w:bidi w:val="0"/>
        <w:snapToGrid w:val="0"/>
        <w:spacing w:line="590" w:lineRule="exact"/>
        <w:ind w:firstLine="600" w:firstLineChars="200"/>
        <w:jc w:val="left"/>
        <w:textAlignment w:val="auto"/>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（二）一般公共预算财政拨款支出决算</w:t>
      </w:r>
      <w:r>
        <w:rPr>
          <w:rFonts w:hint="eastAsia" w:ascii="楷体" w:hAnsi="楷体" w:eastAsia="楷体"/>
          <w:color w:val="auto"/>
          <w:sz w:val="30"/>
          <w:szCs w:val="30"/>
          <w:highlight w:val="none"/>
          <w:lang w:eastAsia="zh-CN"/>
        </w:rPr>
        <w:t>分功能分类科目情况</w:t>
      </w:r>
      <w:r>
        <w:rPr>
          <w:rFonts w:hint="eastAsia" w:ascii="楷体" w:hAnsi="楷体" w:eastAsia="楷体"/>
          <w:color w:val="auto"/>
          <w:sz w:val="30"/>
          <w:szCs w:val="30"/>
          <w:highlight w:val="none"/>
        </w:rPr>
        <w:tab/>
      </w:r>
    </w:p>
    <w:p w14:paraId="37D2CC4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1.一般公共服务（类）支出3877828.89元，占一般公共预算财政拨款总支出的36.91%,完成年初预算的98.59</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。主要用于：</w:t>
      </w:r>
      <w:r>
        <w:rPr>
          <w:rFonts w:hint="default" w:ascii="Times New Roman" w:hAnsi="Times New Roman" w:eastAsia="方正仿宋_GBK" w:cs="Times New Roman"/>
          <w:bCs/>
          <w:color w:val="auto"/>
          <w:kern w:val="2"/>
          <w:sz w:val="32"/>
          <w:szCs w:val="32"/>
          <w:highlight w:val="none"/>
          <w:lang w:val="zh-CN" w:eastAsia="zh-CN" w:bidi="ar-SA"/>
        </w:rPr>
        <w:t>2010401行政运行（工资福利支出和商品和服务</w:t>
      </w:r>
      <w:r>
        <w:rPr>
          <w:rFonts w:hint="eastAsia" w:ascii="Times New Roman" w:hAnsi="Times New Roman" w:eastAsia="方正仿宋_GBK" w:cs="Times New Roman"/>
          <w:bCs/>
          <w:color w:val="auto"/>
          <w:kern w:val="2"/>
          <w:sz w:val="32"/>
          <w:szCs w:val="32"/>
          <w:highlight w:val="none"/>
          <w:lang w:val="zh-CN" w:eastAsia="zh-CN" w:bidi="ar-SA"/>
        </w:rPr>
        <w:t>）；造成预决算差异的主要原因是：</w:t>
      </w:r>
      <w:r>
        <w:rPr>
          <w:rFonts w:hint="eastAsia" w:ascii="Times New Roman" w:hAnsi="Times New Roman" w:eastAsia="方正仿宋_GBK" w:cs="Times New Roman"/>
          <w:bCs/>
          <w:color w:val="auto"/>
          <w:kern w:val="2"/>
          <w:sz w:val="32"/>
          <w:szCs w:val="32"/>
          <w:highlight w:val="none"/>
          <w:lang w:val="en-US" w:eastAsia="zh-CN" w:bidi="ar-SA"/>
        </w:rPr>
        <w:t>在职在编职工调整保险基数，事业人员正常晋薪等</w:t>
      </w:r>
      <w:r>
        <w:rPr>
          <w:rFonts w:hint="eastAsia" w:ascii="Times New Roman" w:hAnsi="Times New Roman" w:eastAsia="方正仿宋_GBK" w:cs="Times New Roman"/>
          <w:bCs/>
          <w:color w:val="auto"/>
          <w:kern w:val="2"/>
          <w:sz w:val="32"/>
          <w:szCs w:val="32"/>
          <w:highlight w:val="none"/>
          <w:lang w:val="zh-CN" w:eastAsia="zh-CN" w:bidi="ar-SA"/>
        </w:rPr>
        <w:t>。</w:t>
      </w:r>
    </w:p>
    <w:p w14:paraId="3F697C0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2.外交（类）支出0.00元，占一般公共预算财政拨款总支出的0.00%,年初无此项预算。</w:t>
      </w:r>
    </w:p>
    <w:p w14:paraId="4917230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3.国防（类）支出0.00元，占一般公共预算财政拨款总支出的0.00%,年初无此项预算。</w:t>
      </w:r>
    </w:p>
    <w:p w14:paraId="7A32C80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4.公共安全（类）支出0.00元，占一般公共预算财政拨款总支出的0.00%,年初无此项预算。</w:t>
      </w:r>
    </w:p>
    <w:p w14:paraId="4E9A57F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5.教育（类）支出0.00元，占一般公共预算财政拨款总支出的0.00%</w:t>
      </w:r>
      <w:r>
        <w:rPr>
          <w:rFonts w:hint="eastAsia" w:ascii="Times New Roman" w:hAnsi="Times New Roman" w:eastAsia="方正仿宋_GBK" w:cs="Times New Roman"/>
          <w:bCs/>
          <w:color w:val="auto"/>
          <w:kern w:val="2"/>
          <w:sz w:val="32"/>
          <w:szCs w:val="32"/>
          <w:highlight w:val="none"/>
          <w:lang w:val="zh-CN" w:eastAsia="zh-CN" w:bidi="ar-SA"/>
        </w:rPr>
        <w:t>,年初无此项预算。</w:t>
      </w:r>
    </w:p>
    <w:p w14:paraId="7488A15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6.科学技术（类）支出0.00元，占一般公共预算财政拨款总支出的0.00%</w:t>
      </w:r>
      <w:r>
        <w:rPr>
          <w:rFonts w:hint="eastAsia" w:ascii="Times New Roman" w:hAnsi="Times New Roman" w:eastAsia="方正仿宋_GBK" w:cs="Times New Roman"/>
          <w:bCs/>
          <w:color w:val="auto"/>
          <w:kern w:val="2"/>
          <w:sz w:val="32"/>
          <w:szCs w:val="32"/>
          <w:highlight w:val="none"/>
          <w:lang w:val="zh-CN" w:eastAsia="zh-CN" w:bidi="ar-SA"/>
        </w:rPr>
        <w:t>,年初无此项预算。</w:t>
      </w:r>
    </w:p>
    <w:p w14:paraId="2801F18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7.文化旅游体育与传媒（类）支出0.00元，占一般公共预算财政拨款总支出的0.00%</w:t>
      </w:r>
      <w:r>
        <w:rPr>
          <w:rFonts w:hint="eastAsia" w:ascii="Times New Roman" w:hAnsi="Times New Roman" w:eastAsia="方正仿宋_GBK" w:cs="Times New Roman"/>
          <w:bCs/>
          <w:color w:val="auto"/>
          <w:kern w:val="2"/>
          <w:sz w:val="32"/>
          <w:szCs w:val="32"/>
          <w:highlight w:val="none"/>
          <w:lang w:val="zh-CN" w:eastAsia="zh-CN" w:bidi="ar-SA"/>
        </w:rPr>
        <w:t>,年初无此项预算。</w:t>
      </w:r>
    </w:p>
    <w:p w14:paraId="204A0D1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8.社会保障和就业（类）支出1339480.28元，占一般公共预算财政拨款总支出的12.75%</w:t>
      </w:r>
      <w:r>
        <w:rPr>
          <w:rFonts w:hint="eastAsia" w:ascii="Times New Roman" w:hAnsi="Times New Roman" w:eastAsia="方正仿宋_GBK" w:cs="Times New Roman"/>
          <w:bCs/>
          <w:color w:val="auto"/>
          <w:kern w:val="2"/>
          <w:sz w:val="32"/>
          <w:szCs w:val="32"/>
          <w:highlight w:val="none"/>
          <w:lang w:val="zh-CN" w:eastAsia="zh-CN" w:bidi="ar-SA"/>
        </w:rPr>
        <w:t>,完成年初预算的80.92</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。主要用于</w:t>
      </w:r>
      <w:r>
        <w:rPr>
          <w:rFonts w:hint="default" w:ascii="Times New Roman" w:hAnsi="Times New Roman" w:eastAsia="方正仿宋_GBK" w:cs="Times New Roman"/>
          <w:bCs/>
          <w:color w:val="auto"/>
          <w:kern w:val="2"/>
          <w:sz w:val="32"/>
          <w:szCs w:val="32"/>
          <w:highlight w:val="none"/>
          <w:lang w:val="en-US" w:eastAsia="zh-CN" w:bidi="ar-SA"/>
        </w:rPr>
        <w:t>2080505机关事业单位基本养老保险缴费支出486755.68元，2080801死亡抚恤</w:t>
      </w:r>
      <w:r>
        <w:rPr>
          <w:rFonts w:hint="eastAsia" w:ascii="Times New Roman" w:hAnsi="Times New Roman" w:eastAsia="方正仿宋_GBK" w:cs="Times New Roman"/>
          <w:bCs/>
          <w:color w:val="auto"/>
          <w:kern w:val="2"/>
          <w:sz w:val="32"/>
          <w:szCs w:val="32"/>
          <w:highlight w:val="none"/>
          <w:lang w:val="en-US" w:eastAsia="zh-CN" w:bidi="ar-SA"/>
        </w:rPr>
        <w:t>852724.6</w:t>
      </w:r>
      <w:r>
        <w:rPr>
          <w:rFonts w:hint="default" w:ascii="Times New Roman" w:hAnsi="Times New Roman" w:eastAsia="方正仿宋_GBK" w:cs="Times New Roman"/>
          <w:bCs/>
          <w:color w:val="auto"/>
          <w:kern w:val="2"/>
          <w:sz w:val="32"/>
          <w:szCs w:val="32"/>
          <w:highlight w:val="none"/>
          <w:lang w:val="en-US" w:eastAsia="zh-CN" w:bidi="ar-SA"/>
        </w:rPr>
        <w:t>元</w:t>
      </w:r>
      <w:r>
        <w:rPr>
          <w:rFonts w:hint="eastAsia" w:ascii="Times New Roman" w:hAnsi="Times New Roman" w:eastAsia="方正仿宋_GBK" w:cs="Times New Roman"/>
          <w:bCs/>
          <w:color w:val="auto"/>
          <w:kern w:val="2"/>
          <w:sz w:val="32"/>
          <w:szCs w:val="32"/>
          <w:highlight w:val="none"/>
          <w:lang w:val="en-US" w:eastAsia="zh-CN" w:bidi="ar-SA"/>
        </w:rPr>
        <w:t>，造成预决算差异的主要原因是：在职在编职工调整养老保险基数。</w:t>
      </w:r>
    </w:p>
    <w:p w14:paraId="6C5B49A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9.卫生健康（类）支出</w:t>
      </w:r>
      <w:r>
        <w:rPr>
          <w:rFonts w:hint="eastAsia" w:ascii="Times New Roman" w:hAnsi="Times New Roman" w:eastAsia="方正仿宋_GBK" w:cs="Times New Roman"/>
          <w:bCs/>
          <w:color w:val="auto"/>
          <w:kern w:val="2"/>
          <w:sz w:val="32"/>
          <w:szCs w:val="32"/>
          <w:highlight w:val="none"/>
          <w:lang w:val="zh-CN" w:eastAsia="zh-CN" w:bidi="ar-SA"/>
        </w:rPr>
        <w:t>680039.78元，占一般公共预算财政拨款总支出的6.47%,完成年初预算的114.72</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。主要用于：</w:t>
      </w:r>
      <w:r>
        <w:rPr>
          <w:rFonts w:hint="default" w:ascii="Times New Roman" w:hAnsi="Times New Roman" w:eastAsia="方正仿宋_GBK" w:cs="Times New Roman"/>
          <w:bCs/>
          <w:color w:val="auto"/>
          <w:kern w:val="2"/>
          <w:sz w:val="32"/>
          <w:szCs w:val="32"/>
          <w:highlight w:val="none"/>
          <w:lang w:val="en-US" w:eastAsia="zh-CN" w:bidi="ar-SA"/>
        </w:rPr>
        <w:t>2101101行政单位医疗323656.62元，2101102</w:t>
      </w:r>
      <w:r>
        <w:rPr>
          <w:rFonts w:hint="eastAsia" w:ascii="Times New Roman" w:hAnsi="Times New Roman" w:eastAsia="方正仿宋_GBK" w:cs="Times New Roman"/>
          <w:bCs/>
          <w:color w:val="auto"/>
          <w:kern w:val="2"/>
          <w:sz w:val="32"/>
          <w:szCs w:val="32"/>
          <w:highlight w:val="none"/>
          <w:lang w:val="en-US" w:eastAsia="zh-CN" w:bidi="ar-SA"/>
        </w:rPr>
        <w:t>事业单位医疗27073.54元，</w:t>
      </w:r>
      <w:r>
        <w:rPr>
          <w:rFonts w:hint="default" w:ascii="Times New Roman" w:hAnsi="Times New Roman" w:eastAsia="方正仿宋_GBK" w:cs="Times New Roman"/>
          <w:bCs/>
          <w:color w:val="auto"/>
          <w:kern w:val="2"/>
          <w:sz w:val="32"/>
          <w:szCs w:val="32"/>
          <w:highlight w:val="none"/>
          <w:lang w:val="en-US" w:eastAsia="zh-CN" w:bidi="ar-SA"/>
        </w:rPr>
        <w:t>2101103公务员医疗补助290451.35元，2101199其他行政事业单位医疗支出38858.27元</w:t>
      </w:r>
      <w:r>
        <w:rPr>
          <w:rFonts w:hint="eastAsia" w:ascii="Times New Roman" w:hAnsi="Times New Roman" w:eastAsia="方正仿宋_GBK" w:cs="Times New Roman"/>
          <w:bCs/>
          <w:color w:val="auto"/>
          <w:kern w:val="2"/>
          <w:sz w:val="32"/>
          <w:szCs w:val="32"/>
          <w:highlight w:val="none"/>
          <w:lang w:val="en-US" w:eastAsia="zh-CN" w:bidi="ar-SA"/>
        </w:rPr>
        <w:t>，造成预决算差异的主要原因是：在职在编职工调整医疗保险，公务员补助等保险基数。</w:t>
      </w:r>
    </w:p>
    <w:p w14:paraId="20B0D94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10.节能环保（类）支出</w:t>
      </w:r>
      <w:r>
        <w:rPr>
          <w:rFonts w:hint="eastAsia" w:ascii="Times New Roman" w:hAnsi="Times New Roman" w:eastAsia="方正仿宋_GBK" w:cs="Times New Roman"/>
          <w:bCs/>
          <w:color w:val="auto"/>
          <w:kern w:val="2"/>
          <w:sz w:val="32"/>
          <w:szCs w:val="32"/>
          <w:highlight w:val="none"/>
          <w:lang w:val="zh-CN" w:eastAsia="zh-CN" w:bidi="ar-SA"/>
        </w:rPr>
        <w:t>600000.00元，占一般公共预算财政拨款总支出的5.71%,</w:t>
      </w:r>
      <w:r>
        <w:rPr>
          <w:rFonts w:hint="eastAsia" w:ascii="Times New Roman" w:hAnsi="Times New Roman" w:eastAsia="方正仿宋_GBK" w:cs="Times New Roman"/>
          <w:bCs/>
          <w:color w:val="auto"/>
          <w:kern w:val="2"/>
          <w:sz w:val="32"/>
          <w:szCs w:val="32"/>
          <w:highlight w:val="none"/>
          <w:lang w:val="en-US" w:eastAsia="zh-CN" w:bidi="ar-SA"/>
        </w:rPr>
        <w:t>无</w:t>
      </w:r>
      <w:r>
        <w:rPr>
          <w:rFonts w:hint="eastAsia" w:ascii="Times New Roman" w:hAnsi="Times New Roman" w:eastAsia="方正仿宋_GBK" w:cs="Times New Roman"/>
          <w:bCs/>
          <w:color w:val="auto"/>
          <w:kern w:val="2"/>
          <w:sz w:val="32"/>
          <w:szCs w:val="32"/>
          <w:highlight w:val="none"/>
          <w:lang w:val="zh-CN" w:eastAsia="zh-CN" w:bidi="ar-SA"/>
        </w:rPr>
        <w:t>年初预算</w:t>
      </w:r>
      <w:r>
        <w:rPr>
          <w:rFonts w:hint="default" w:ascii="Times New Roman" w:hAnsi="Times New Roman" w:eastAsia="方正仿宋_GBK" w:cs="Times New Roman"/>
          <w:bCs/>
          <w:color w:val="auto"/>
          <w:kern w:val="2"/>
          <w:sz w:val="32"/>
          <w:szCs w:val="32"/>
          <w:highlight w:val="none"/>
          <w:lang w:val="en-US" w:eastAsia="zh-CN" w:bidi="ar-SA"/>
        </w:rPr>
        <w:t>。主要用于</w:t>
      </w:r>
      <w:r>
        <w:rPr>
          <w:rFonts w:hint="default" w:ascii="Times New Roman" w:hAnsi="Times New Roman" w:eastAsia="方正仿宋_GBK" w:cs="Times New Roman"/>
          <w:bCs/>
          <w:color w:val="auto"/>
          <w:kern w:val="2"/>
          <w:sz w:val="32"/>
          <w:szCs w:val="32"/>
          <w:highlight w:val="none"/>
          <w:lang w:val="zh-CN" w:eastAsia="zh-CN" w:bidi="ar-SA"/>
        </w:rPr>
        <w:t>2110301</w:t>
      </w:r>
      <w:r>
        <w:rPr>
          <w:rFonts w:hint="eastAsia" w:ascii="Times New Roman" w:hAnsi="Times New Roman" w:eastAsia="方正仿宋_GBK" w:cs="Times New Roman"/>
          <w:bCs/>
          <w:color w:val="auto"/>
          <w:kern w:val="2"/>
          <w:sz w:val="32"/>
          <w:szCs w:val="32"/>
          <w:highlight w:val="none"/>
          <w:lang w:val="en-US" w:eastAsia="zh-CN" w:bidi="ar-SA"/>
        </w:rPr>
        <w:t>大气</w:t>
      </w:r>
      <w:r>
        <w:rPr>
          <w:rFonts w:hint="default" w:ascii="Times New Roman" w:hAnsi="Times New Roman" w:eastAsia="方正仿宋_GBK" w:cs="Times New Roman"/>
          <w:bCs/>
          <w:color w:val="auto"/>
          <w:kern w:val="2"/>
          <w:sz w:val="32"/>
          <w:szCs w:val="32"/>
          <w:highlight w:val="none"/>
          <w:lang w:val="zh-CN" w:eastAsia="zh-CN" w:bidi="ar-SA"/>
        </w:rPr>
        <w:t>支出</w:t>
      </w:r>
      <w:r>
        <w:rPr>
          <w:rFonts w:hint="default" w:ascii="Times New Roman" w:hAnsi="Times New Roman" w:eastAsia="方正仿宋_GBK" w:cs="Times New Roman"/>
          <w:bCs/>
          <w:color w:val="auto"/>
          <w:kern w:val="2"/>
          <w:sz w:val="32"/>
          <w:szCs w:val="32"/>
          <w:highlight w:val="none"/>
          <w:lang w:val="en-US" w:eastAsia="zh-CN" w:bidi="ar-SA"/>
        </w:rPr>
        <w:t>600000</w:t>
      </w:r>
      <w:r>
        <w:rPr>
          <w:rFonts w:hint="default" w:ascii="Times New Roman" w:hAnsi="Times New Roman" w:eastAsia="方正仿宋_GBK" w:cs="Times New Roman"/>
          <w:bCs/>
          <w:color w:val="auto"/>
          <w:kern w:val="2"/>
          <w:sz w:val="32"/>
          <w:szCs w:val="32"/>
          <w:highlight w:val="none"/>
          <w:lang w:val="zh-CN" w:eastAsia="zh-CN" w:bidi="ar-SA"/>
        </w:rPr>
        <w:t>元</w:t>
      </w:r>
      <w:r>
        <w:rPr>
          <w:rFonts w:hint="eastAsia" w:ascii="Times New Roman" w:hAnsi="Times New Roman" w:eastAsia="方正仿宋_GBK" w:cs="Times New Roman"/>
          <w:bCs/>
          <w:color w:val="auto"/>
          <w:kern w:val="2"/>
          <w:sz w:val="32"/>
          <w:szCs w:val="32"/>
          <w:highlight w:val="none"/>
          <w:lang w:val="en-US" w:eastAsia="zh-CN" w:bidi="ar-SA"/>
        </w:rPr>
        <w:t>。</w:t>
      </w:r>
    </w:p>
    <w:p w14:paraId="6E06F98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11.城乡社区（类）支出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08F1FBA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12.农林水（类）支出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13D3CA6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13.交通运输（类）支出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17A118A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14.资源勘探工业信息等（类）支出</w:t>
      </w:r>
      <w:r>
        <w:rPr>
          <w:rFonts w:hint="eastAsia" w:ascii="Times New Roman" w:hAnsi="Times New Roman" w:eastAsia="方正仿宋_GBK" w:cs="Times New Roman"/>
          <w:bCs/>
          <w:color w:val="auto"/>
          <w:kern w:val="2"/>
          <w:sz w:val="32"/>
          <w:szCs w:val="32"/>
          <w:highlight w:val="none"/>
          <w:lang w:val="zh-CN" w:eastAsia="zh-CN" w:bidi="ar-SA"/>
        </w:rPr>
        <w:t>29826.86元，占一般公共预算财政拨款总支出的0.28%,年初无此项预算。主要用于</w:t>
      </w:r>
      <w:r>
        <w:rPr>
          <w:rFonts w:hint="eastAsia" w:ascii="Times New Roman" w:hAnsi="Times New Roman" w:eastAsia="方正仿宋_GBK" w:cs="Times New Roman"/>
          <w:bCs/>
          <w:color w:val="auto"/>
          <w:kern w:val="2"/>
          <w:sz w:val="32"/>
          <w:szCs w:val="32"/>
          <w:highlight w:val="none"/>
          <w:lang w:val="en-US" w:eastAsia="zh-CN" w:bidi="ar-SA"/>
        </w:rPr>
        <w:t>2150599其他工业和信息产业监管支出29826.86</w:t>
      </w:r>
      <w:r>
        <w:rPr>
          <w:rFonts w:hint="default" w:ascii="Times New Roman" w:hAnsi="Times New Roman" w:eastAsia="方正仿宋_GBK" w:cs="Times New Roman"/>
          <w:bCs/>
          <w:color w:val="auto"/>
          <w:kern w:val="2"/>
          <w:sz w:val="32"/>
          <w:szCs w:val="32"/>
          <w:highlight w:val="none"/>
          <w:lang w:val="zh-CN" w:eastAsia="zh-CN" w:bidi="ar-SA"/>
        </w:rPr>
        <w:t>元</w:t>
      </w:r>
      <w:r>
        <w:rPr>
          <w:rFonts w:hint="eastAsia" w:ascii="Times New Roman" w:hAnsi="Times New Roman" w:eastAsia="方正仿宋_GBK" w:cs="Times New Roman"/>
          <w:bCs/>
          <w:color w:val="auto"/>
          <w:kern w:val="2"/>
          <w:sz w:val="32"/>
          <w:szCs w:val="32"/>
          <w:highlight w:val="none"/>
          <w:lang w:val="zh-CN" w:eastAsia="zh-CN" w:bidi="ar-SA"/>
        </w:rPr>
        <w:t>，造成预决算差异的主要原因是：</w:t>
      </w:r>
      <w:r>
        <w:rPr>
          <w:rFonts w:hint="eastAsia" w:ascii="Times New Roman" w:hAnsi="Times New Roman" w:eastAsia="方正仿宋_GBK" w:cs="Times New Roman"/>
          <w:bCs/>
          <w:color w:val="auto"/>
          <w:kern w:val="2"/>
          <w:sz w:val="32"/>
          <w:szCs w:val="32"/>
          <w:highlight w:val="none"/>
          <w:lang w:val="en-US" w:eastAsia="zh-CN" w:bidi="ar-SA"/>
        </w:rPr>
        <w:t>年中增加了该项目</w:t>
      </w:r>
      <w:r>
        <w:rPr>
          <w:rFonts w:hint="eastAsia" w:ascii="Times New Roman" w:hAnsi="Times New Roman" w:eastAsia="方正仿宋_GBK" w:cs="Times New Roman"/>
          <w:bCs/>
          <w:color w:val="auto"/>
          <w:kern w:val="2"/>
          <w:sz w:val="32"/>
          <w:szCs w:val="32"/>
          <w:highlight w:val="none"/>
          <w:lang w:val="zh-CN" w:eastAsia="zh-CN" w:bidi="ar-SA"/>
        </w:rPr>
        <w:t>。</w:t>
      </w:r>
    </w:p>
    <w:p w14:paraId="2FCC3F1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15.商业服务业等（类）支出</w:t>
      </w:r>
      <w:r>
        <w:rPr>
          <w:rFonts w:hint="eastAsia" w:ascii="Times New Roman" w:hAnsi="Times New Roman" w:eastAsia="方正仿宋_GBK" w:cs="Times New Roman"/>
          <w:bCs/>
          <w:color w:val="auto"/>
          <w:kern w:val="2"/>
          <w:sz w:val="32"/>
          <w:szCs w:val="32"/>
          <w:highlight w:val="none"/>
          <w:lang w:val="zh-CN" w:eastAsia="zh-CN" w:bidi="ar-SA"/>
        </w:rPr>
        <w:t>3693000.00元，占一般公共预算财政拨款总支出的35.15%,完成年初预算的0.00</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年初无此项预算。主要用于：</w:t>
      </w:r>
      <w:r>
        <w:rPr>
          <w:rFonts w:hint="eastAsia" w:ascii="Times New Roman" w:hAnsi="Times New Roman" w:eastAsia="方正仿宋_GBK" w:cs="Times New Roman"/>
          <w:bCs/>
          <w:color w:val="auto"/>
          <w:kern w:val="2"/>
          <w:sz w:val="32"/>
          <w:szCs w:val="32"/>
          <w:highlight w:val="none"/>
          <w:lang w:val="en-US" w:eastAsia="zh-CN" w:bidi="ar-SA"/>
        </w:rPr>
        <w:t>2160299其他商业流通事务支出1350000.00元，2169999其他商业流通事务支出2343000.00元</w:t>
      </w:r>
      <w:r>
        <w:rPr>
          <w:rFonts w:hint="eastAsia" w:ascii="Times New Roman" w:hAnsi="Times New Roman" w:eastAsia="方正仿宋_GBK" w:cs="Times New Roman"/>
          <w:bCs/>
          <w:color w:val="auto"/>
          <w:kern w:val="2"/>
          <w:sz w:val="32"/>
          <w:szCs w:val="32"/>
          <w:highlight w:val="none"/>
          <w:lang w:val="zh-CN" w:eastAsia="zh-CN" w:bidi="ar-SA"/>
        </w:rPr>
        <w:t>；造成预决算差异的主要原因是：</w:t>
      </w:r>
      <w:r>
        <w:rPr>
          <w:rFonts w:hint="eastAsia" w:ascii="Times New Roman" w:hAnsi="Times New Roman" w:eastAsia="方正仿宋_GBK" w:cs="Times New Roman"/>
          <w:bCs/>
          <w:color w:val="auto"/>
          <w:kern w:val="2"/>
          <w:sz w:val="32"/>
          <w:szCs w:val="32"/>
          <w:highlight w:val="none"/>
          <w:lang w:val="en-US" w:eastAsia="zh-CN" w:bidi="ar-SA"/>
        </w:rPr>
        <w:t>年中增加了该项目</w:t>
      </w:r>
      <w:r>
        <w:rPr>
          <w:rFonts w:hint="eastAsia" w:ascii="Times New Roman" w:hAnsi="Times New Roman" w:eastAsia="方正仿宋_GBK" w:cs="Times New Roman"/>
          <w:bCs/>
          <w:color w:val="auto"/>
          <w:kern w:val="2"/>
          <w:sz w:val="32"/>
          <w:szCs w:val="32"/>
          <w:highlight w:val="none"/>
          <w:lang w:val="zh-CN" w:eastAsia="zh-CN" w:bidi="ar-SA"/>
        </w:rPr>
        <w:t>。</w:t>
      </w:r>
    </w:p>
    <w:p w14:paraId="078D777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16.金融（类）支出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72008B2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17.援助其他地区（类）支出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4E2BFBF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18.自然资源海洋气象等（类）支出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5F2DA43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19.住房保障（类）支出</w:t>
      </w:r>
      <w:r>
        <w:rPr>
          <w:rFonts w:hint="eastAsia" w:ascii="Times New Roman" w:hAnsi="Times New Roman" w:eastAsia="方正仿宋_GBK" w:cs="Times New Roman"/>
          <w:bCs/>
          <w:color w:val="auto"/>
          <w:kern w:val="2"/>
          <w:sz w:val="32"/>
          <w:szCs w:val="32"/>
          <w:highlight w:val="none"/>
          <w:lang w:val="zh-CN" w:eastAsia="zh-CN" w:bidi="ar-SA"/>
        </w:rPr>
        <w:t>285579.00元，占一般公共预算财政拨款总支出的2.72%,完成年初预算的61.83</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。主要用于</w:t>
      </w:r>
      <w:r>
        <w:rPr>
          <w:rFonts w:hint="eastAsia" w:ascii="Times New Roman" w:hAnsi="Times New Roman" w:eastAsia="方正仿宋_GBK" w:cs="Times New Roman"/>
          <w:bCs/>
          <w:color w:val="auto"/>
          <w:kern w:val="2"/>
          <w:sz w:val="32"/>
          <w:szCs w:val="32"/>
          <w:highlight w:val="none"/>
          <w:lang w:val="en-US" w:eastAsia="zh-CN" w:bidi="ar-SA"/>
        </w:rPr>
        <w:t>2210201住房公积金</w:t>
      </w:r>
      <w:r>
        <w:rPr>
          <w:rFonts w:hint="eastAsia" w:ascii="Times New Roman" w:hAnsi="Times New Roman" w:eastAsia="方正仿宋_GBK" w:cs="Times New Roman"/>
          <w:bCs/>
          <w:color w:val="auto"/>
          <w:kern w:val="2"/>
          <w:sz w:val="32"/>
          <w:szCs w:val="32"/>
          <w:highlight w:val="none"/>
          <w:lang w:val="zh-CN" w:eastAsia="zh-CN" w:bidi="ar-SA"/>
        </w:rPr>
        <w:t>285579.00</w:t>
      </w:r>
      <w:r>
        <w:rPr>
          <w:rFonts w:hint="eastAsia" w:ascii="Times New Roman" w:hAnsi="Times New Roman" w:eastAsia="方正仿宋_GBK" w:cs="Times New Roman"/>
          <w:bCs/>
          <w:color w:val="auto"/>
          <w:kern w:val="2"/>
          <w:sz w:val="32"/>
          <w:szCs w:val="32"/>
          <w:highlight w:val="none"/>
          <w:lang w:val="en-US" w:eastAsia="zh-CN" w:bidi="ar-SA"/>
        </w:rPr>
        <w:t>元</w:t>
      </w:r>
      <w:r>
        <w:rPr>
          <w:rFonts w:hint="default"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en-US" w:eastAsia="zh-CN" w:bidi="ar-SA"/>
        </w:rPr>
        <w:t>造成预决算差异的主要原因是：在职在编职工调整住房公积金基数及退休1人。</w:t>
      </w:r>
    </w:p>
    <w:p w14:paraId="7396781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20.粮油物资储备（类）支出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3C07DAD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21.国有资本经营预算（类）支出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70D8F28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22.灾害防治及应急管理（类）支出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0D9E2AF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23.其他（类）支出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6DC523E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24.债务还本（类）支出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5499559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25.债务付息（类）支出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042C749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26.抗疫特别国债安排（类）支出</w:t>
      </w:r>
      <w:r>
        <w:rPr>
          <w:rFonts w:hint="eastAsia" w:ascii="Times New Roman" w:hAnsi="Times New Roman" w:eastAsia="方正仿宋_GBK" w:cs="Times New Roman"/>
          <w:bCs/>
          <w:color w:val="auto"/>
          <w:kern w:val="2"/>
          <w:sz w:val="32"/>
          <w:szCs w:val="32"/>
          <w:highlight w:val="none"/>
          <w:lang w:val="zh-CN" w:eastAsia="zh-CN" w:bidi="ar-SA"/>
        </w:rPr>
        <w:t>0.00元，占一般公共预算财政拨款总支出的0.00%,年初无此项预算。</w:t>
      </w:r>
    </w:p>
    <w:p w14:paraId="1F0B3864">
      <w:pPr>
        <w:keepNext w:val="0"/>
        <w:keepLines w:val="0"/>
        <w:pageBreakBefore w:val="0"/>
        <w:kinsoku/>
        <w:overflowPunct/>
        <w:topLinePunct w:val="0"/>
        <w:bidi w:val="0"/>
        <w:spacing w:line="590" w:lineRule="exact"/>
        <w:ind w:firstLine="640" w:firstLineChars="200"/>
        <w:jc w:val="left"/>
        <w:textAlignment w:val="auto"/>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四、</w:t>
      </w:r>
      <w:r>
        <w:rPr>
          <w:rFonts w:hint="eastAsia" w:ascii="方正黑体_GBK" w:hAnsi="方正黑体_GBK" w:eastAsia="方正黑体_GBK" w:cs="方正黑体_GBK"/>
          <w:color w:val="auto"/>
          <w:sz w:val="32"/>
          <w:szCs w:val="32"/>
          <w:highlight w:val="none"/>
        </w:rPr>
        <w:t>财政拨款“三公”经费支出决算情况说明</w:t>
      </w:r>
    </w:p>
    <w:p w14:paraId="2563DA2C">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40" w:firstLineChars="200"/>
        <w:jc w:val="left"/>
        <w:textAlignment w:val="auto"/>
        <w:outlineLvl w:val="2"/>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（一）总体情况</w:t>
      </w:r>
    </w:p>
    <w:p w14:paraId="4C9545A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en-US" w:eastAsia="zh-CN" w:bidi="ar-SA"/>
        </w:rPr>
        <w:t>2024</w:t>
      </w:r>
      <w:r>
        <w:rPr>
          <w:rFonts w:hint="eastAsia" w:ascii="Times New Roman" w:hAnsi="Times New Roman" w:eastAsia="方正仿宋_GBK" w:cs="Times New Roman"/>
          <w:bCs/>
          <w:color w:val="auto"/>
          <w:kern w:val="2"/>
          <w:sz w:val="32"/>
          <w:szCs w:val="32"/>
          <w:highlight w:val="none"/>
          <w:lang w:val="zh-CN" w:eastAsia="zh-CN" w:bidi="ar-SA"/>
        </w:rPr>
        <w:t>年度财政拨款“三公”经费支出决算中，财政拨款“三公”经费支出年初预算为</w:t>
      </w:r>
      <w:r>
        <w:rPr>
          <w:rFonts w:hint="eastAsia" w:ascii="Times New Roman" w:hAnsi="Times New Roman" w:eastAsia="方正仿宋_GBK" w:cs="Times New Roman"/>
          <w:bCs/>
          <w:color w:val="auto"/>
          <w:kern w:val="2"/>
          <w:sz w:val="32"/>
          <w:szCs w:val="32"/>
          <w:highlight w:val="none"/>
          <w:lang w:val="en-US" w:eastAsia="zh-CN" w:bidi="ar-SA"/>
        </w:rPr>
        <w:t>37600.00</w:t>
      </w:r>
      <w:r>
        <w:rPr>
          <w:rFonts w:hint="eastAsia" w:ascii="Times New Roman" w:hAnsi="Times New Roman" w:eastAsia="方正仿宋_GBK" w:cs="Times New Roman"/>
          <w:bCs/>
          <w:color w:val="auto"/>
          <w:kern w:val="2"/>
          <w:sz w:val="32"/>
          <w:szCs w:val="32"/>
          <w:highlight w:val="none"/>
          <w:lang w:val="zh-CN" w:eastAsia="zh-CN" w:bidi="ar-SA"/>
        </w:rPr>
        <w:t>元，决算为5657.00元，完成年初预算的15.05%；支出决算较上年</w:t>
      </w:r>
      <w:r>
        <w:rPr>
          <w:rFonts w:hint="eastAsia" w:ascii="Times New Roman" w:hAnsi="Times New Roman" w:eastAsia="方正仿宋_GBK" w:cs="Times New Roman"/>
          <w:bCs/>
          <w:color w:val="auto"/>
          <w:kern w:val="2"/>
          <w:sz w:val="32"/>
          <w:szCs w:val="32"/>
          <w:highlight w:val="none"/>
          <w:lang w:val="en-US" w:eastAsia="zh-CN" w:bidi="ar-SA"/>
        </w:rPr>
        <w:t>减少</w:t>
      </w:r>
      <w:r>
        <w:rPr>
          <w:rFonts w:hint="eastAsia" w:ascii="Times New Roman" w:hAnsi="Times New Roman" w:eastAsia="方正仿宋_GBK" w:cs="Times New Roman"/>
          <w:bCs/>
          <w:color w:val="auto"/>
          <w:kern w:val="2"/>
          <w:sz w:val="32"/>
          <w:szCs w:val="32"/>
          <w:highlight w:val="none"/>
          <w:lang w:val="zh-CN" w:eastAsia="zh-CN" w:bidi="ar-SA"/>
        </w:rPr>
        <w:t>3587.32</w:t>
      </w:r>
      <w:r>
        <w:rPr>
          <w:rFonts w:hint="eastAsia" w:ascii="Times New Roman" w:hAnsi="Times New Roman" w:eastAsia="方正仿宋_GBK" w:cs="Times New Roman"/>
          <w:bCs/>
          <w:color w:val="auto"/>
          <w:kern w:val="2"/>
          <w:sz w:val="32"/>
          <w:szCs w:val="32"/>
          <w:highlight w:val="none"/>
          <w:lang w:val="en-US" w:eastAsia="zh-CN" w:bidi="ar-SA"/>
        </w:rPr>
        <w:t>元，下降</w:t>
      </w:r>
      <w:r>
        <w:rPr>
          <w:rFonts w:hint="eastAsia" w:ascii="Times New Roman" w:hAnsi="Times New Roman" w:eastAsia="方正仿宋_GBK" w:cs="Times New Roman"/>
          <w:bCs/>
          <w:color w:val="auto"/>
          <w:kern w:val="2"/>
          <w:sz w:val="32"/>
          <w:szCs w:val="32"/>
          <w:highlight w:val="none"/>
          <w:lang w:val="zh-CN" w:eastAsia="zh-CN" w:bidi="ar-SA"/>
        </w:rPr>
        <w:t>38.81</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w:t>
      </w:r>
    </w:p>
    <w:p w14:paraId="37B251F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因公出国（境）费支出年初预算为0.00元，决算为0.00元，占财政拨款“三公”经费总支出决算的0.00%；公务用车购置费支出年初预算为0.00元，决算为0.00元，占财政拨款“三公”经费总支出决算的0.00%，；公务用车运行维护费支出年初预算为12000.00元，决算为1100.00元，占财政拨款“三公”经费总支出决算的19.44%，完成年初预算的9.17</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公务接待费支出年初预算为25600.00元，决算为4557.00元，占财政拨款“三公”经费总支出决算的80.56%，完成年初预算的17.80</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w:t>
      </w:r>
    </w:p>
    <w:p w14:paraId="7A79ED9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因公出国（境）费支出决算较上年增加0.00</w:t>
      </w:r>
      <w:r>
        <w:rPr>
          <w:rFonts w:hint="eastAsia" w:ascii="Times New Roman" w:hAnsi="Times New Roman" w:eastAsia="方正仿宋_GBK" w:cs="Times New Roman"/>
          <w:bCs/>
          <w:color w:val="auto"/>
          <w:kern w:val="2"/>
          <w:sz w:val="32"/>
          <w:szCs w:val="32"/>
          <w:highlight w:val="none"/>
          <w:lang w:val="en-US" w:eastAsia="zh-CN" w:bidi="ar-SA"/>
        </w:rPr>
        <w:t>元</w:t>
      </w:r>
      <w:r>
        <w:rPr>
          <w:rFonts w:hint="eastAsia" w:ascii="Times New Roman" w:hAnsi="Times New Roman" w:eastAsia="方正仿宋_GBK" w:cs="Times New Roman"/>
          <w:bCs/>
          <w:color w:val="auto"/>
          <w:kern w:val="2"/>
          <w:sz w:val="32"/>
          <w:szCs w:val="32"/>
          <w:highlight w:val="none"/>
          <w:lang w:val="zh-CN" w:eastAsia="zh-CN" w:bidi="ar-SA"/>
        </w:rPr>
        <w:t>，上年无此项支出；公务用车购置费支出决算较上年增加</w:t>
      </w:r>
      <w:r>
        <w:rPr>
          <w:rFonts w:hint="eastAsia" w:ascii="Times New Roman" w:hAnsi="Times New Roman" w:eastAsia="方正仿宋_GBK" w:cs="Times New Roman"/>
          <w:bCs/>
          <w:color w:val="auto"/>
          <w:kern w:val="2"/>
          <w:sz w:val="32"/>
          <w:szCs w:val="32"/>
          <w:highlight w:val="none"/>
          <w:lang w:val="en-US" w:eastAsia="zh-CN" w:bidi="ar-SA"/>
        </w:rPr>
        <w:t>0.00元，</w:t>
      </w:r>
      <w:r>
        <w:rPr>
          <w:rFonts w:hint="eastAsia" w:ascii="Times New Roman" w:hAnsi="Times New Roman" w:eastAsia="方正仿宋_GBK" w:cs="Times New Roman"/>
          <w:bCs/>
          <w:color w:val="auto"/>
          <w:kern w:val="2"/>
          <w:sz w:val="32"/>
          <w:szCs w:val="32"/>
          <w:highlight w:val="none"/>
          <w:lang w:val="zh-CN" w:eastAsia="zh-CN" w:bidi="ar-SA"/>
        </w:rPr>
        <w:t>上年无此项支出；公务用车运行维护费支出决算较上年</w:t>
      </w:r>
      <w:r>
        <w:rPr>
          <w:rFonts w:hint="eastAsia" w:ascii="Times New Roman" w:hAnsi="Times New Roman" w:eastAsia="方正仿宋_GBK" w:cs="Times New Roman"/>
          <w:bCs/>
          <w:color w:val="auto"/>
          <w:kern w:val="2"/>
          <w:sz w:val="32"/>
          <w:szCs w:val="32"/>
          <w:highlight w:val="none"/>
          <w:lang w:val="en-US" w:eastAsia="zh-CN" w:bidi="ar-SA"/>
        </w:rPr>
        <w:t>减少</w:t>
      </w:r>
      <w:r>
        <w:rPr>
          <w:rFonts w:hint="eastAsia" w:ascii="Times New Roman" w:hAnsi="Times New Roman" w:eastAsia="方正仿宋_GBK" w:cs="Times New Roman"/>
          <w:bCs/>
          <w:color w:val="auto"/>
          <w:kern w:val="2"/>
          <w:sz w:val="32"/>
          <w:szCs w:val="32"/>
          <w:highlight w:val="none"/>
          <w:lang w:val="zh-CN" w:eastAsia="zh-CN" w:bidi="ar-SA"/>
        </w:rPr>
        <w:t>5819.32</w:t>
      </w:r>
      <w:r>
        <w:rPr>
          <w:rFonts w:hint="eastAsia" w:ascii="Times New Roman" w:hAnsi="Times New Roman" w:eastAsia="方正仿宋_GBK" w:cs="Times New Roman"/>
          <w:bCs/>
          <w:color w:val="auto"/>
          <w:kern w:val="2"/>
          <w:sz w:val="32"/>
          <w:szCs w:val="32"/>
          <w:highlight w:val="none"/>
          <w:lang w:val="en-US" w:eastAsia="zh-CN" w:bidi="ar-SA"/>
        </w:rPr>
        <w:t>元，增下降</w:t>
      </w:r>
      <w:r>
        <w:rPr>
          <w:rFonts w:hint="eastAsia" w:ascii="Times New Roman" w:hAnsi="Times New Roman" w:eastAsia="方正仿宋_GBK" w:cs="Times New Roman"/>
          <w:bCs/>
          <w:color w:val="auto"/>
          <w:kern w:val="2"/>
          <w:sz w:val="32"/>
          <w:szCs w:val="32"/>
          <w:highlight w:val="none"/>
          <w:lang w:val="zh-CN" w:eastAsia="zh-CN" w:bidi="ar-SA"/>
        </w:rPr>
        <w:t>-84.10</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；公务接待费支出决算较上年</w:t>
      </w:r>
      <w:r>
        <w:rPr>
          <w:rFonts w:hint="eastAsia" w:ascii="Times New Roman" w:hAnsi="Times New Roman" w:eastAsia="方正仿宋_GBK" w:cs="Times New Roman"/>
          <w:bCs/>
          <w:color w:val="auto"/>
          <w:kern w:val="2"/>
          <w:sz w:val="32"/>
          <w:szCs w:val="32"/>
          <w:highlight w:val="none"/>
          <w:lang w:val="en-US" w:eastAsia="zh-CN" w:bidi="ar-SA"/>
        </w:rPr>
        <w:t>减少</w:t>
      </w:r>
      <w:r>
        <w:rPr>
          <w:rFonts w:hint="eastAsia" w:ascii="Times New Roman" w:hAnsi="Times New Roman" w:eastAsia="方正仿宋_GBK" w:cs="Times New Roman"/>
          <w:bCs/>
          <w:color w:val="auto"/>
          <w:kern w:val="2"/>
          <w:sz w:val="32"/>
          <w:szCs w:val="32"/>
          <w:highlight w:val="none"/>
          <w:lang w:val="zh-CN" w:eastAsia="zh-CN" w:bidi="ar-SA"/>
        </w:rPr>
        <w:t>2232.00</w:t>
      </w:r>
      <w:r>
        <w:rPr>
          <w:rFonts w:hint="eastAsia" w:ascii="Times New Roman" w:hAnsi="Times New Roman" w:eastAsia="方正仿宋_GBK" w:cs="Times New Roman"/>
          <w:bCs/>
          <w:color w:val="auto"/>
          <w:kern w:val="2"/>
          <w:sz w:val="32"/>
          <w:szCs w:val="32"/>
          <w:highlight w:val="none"/>
          <w:lang w:val="en-US" w:eastAsia="zh-CN" w:bidi="ar-SA"/>
        </w:rPr>
        <w:t>元，下降</w:t>
      </w:r>
      <w:r>
        <w:rPr>
          <w:rFonts w:hint="eastAsia" w:ascii="Times New Roman" w:hAnsi="Times New Roman" w:eastAsia="方正仿宋_GBK" w:cs="Times New Roman"/>
          <w:bCs/>
          <w:color w:val="auto"/>
          <w:kern w:val="2"/>
          <w:sz w:val="32"/>
          <w:szCs w:val="32"/>
          <w:highlight w:val="none"/>
          <w:lang w:val="zh-CN" w:eastAsia="zh-CN" w:bidi="ar-SA"/>
        </w:rPr>
        <w:t>96.00</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（；具体是国内接待费支出决算4557.00元（其中：外事接待费支出决算0.00元），较上年</w:t>
      </w:r>
      <w:r>
        <w:rPr>
          <w:rFonts w:hint="eastAsia" w:ascii="Times New Roman" w:hAnsi="Times New Roman" w:eastAsia="方正仿宋_GBK" w:cs="Times New Roman"/>
          <w:bCs/>
          <w:color w:val="auto"/>
          <w:kern w:val="2"/>
          <w:sz w:val="32"/>
          <w:szCs w:val="32"/>
          <w:highlight w:val="none"/>
          <w:lang w:val="en-US" w:eastAsia="zh-CN" w:bidi="ar-SA"/>
        </w:rPr>
        <w:t>减少</w:t>
      </w:r>
      <w:r>
        <w:rPr>
          <w:rFonts w:hint="eastAsia" w:ascii="Times New Roman" w:hAnsi="Times New Roman" w:eastAsia="方正仿宋_GBK" w:cs="Times New Roman"/>
          <w:bCs/>
          <w:color w:val="auto"/>
          <w:kern w:val="2"/>
          <w:sz w:val="32"/>
          <w:szCs w:val="32"/>
          <w:highlight w:val="none"/>
          <w:lang w:val="zh-CN" w:eastAsia="zh-CN" w:bidi="ar-SA"/>
        </w:rPr>
        <w:t>2232.00</w:t>
      </w:r>
      <w:r>
        <w:rPr>
          <w:rFonts w:hint="eastAsia" w:ascii="Times New Roman" w:hAnsi="Times New Roman" w:eastAsia="方正仿宋_GBK" w:cs="Times New Roman"/>
          <w:bCs/>
          <w:color w:val="auto"/>
          <w:kern w:val="2"/>
          <w:sz w:val="32"/>
          <w:szCs w:val="32"/>
          <w:highlight w:val="none"/>
          <w:lang w:val="en-US" w:eastAsia="zh-CN" w:bidi="ar-SA"/>
        </w:rPr>
        <w:t>元，下降</w:t>
      </w:r>
      <w:r>
        <w:rPr>
          <w:rFonts w:hint="eastAsia" w:ascii="Times New Roman" w:hAnsi="Times New Roman" w:eastAsia="方正仿宋_GBK" w:cs="Times New Roman"/>
          <w:bCs/>
          <w:color w:val="auto"/>
          <w:kern w:val="2"/>
          <w:sz w:val="32"/>
          <w:szCs w:val="32"/>
          <w:highlight w:val="none"/>
          <w:lang w:val="zh-CN" w:eastAsia="zh-CN" w:bidi="ar-SA"/>
        </w:rPr>
        <w:t>96.00</w:t>
      </w:r>
      <w:r>
        <w:rPr>
          <w:rFonts w:hint="eastAsia"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zh-CN" w:eastAsia="zh-CN" w:bidi="ar-SA"/>
        </w:rPr>
        <w:t>；国（境）外接待费支出决算0.00元，较上年增加</w:t>
      </w:r>
      <w:r>
        <w:rPr>
          <w:rFonts w:hint="eastAsia" w:ascii="Times New Roman" w:hAnsi="Times New Roman" w:eastAsia="方正仿宋_GBK" w:cs="Times New Roman"/>
          <w:bCs/>
          <w:color w:val="auto"/>
          <w:kern w:val="2"/>
          <w:sz w:val="32"/>
          <w:szCs w:val="32"/>
          <w:highlight w:val="none"/>
          <w:lang w:val="en-US" w:eastAsia="zh-CN" w:bidi="ar-SA"/>
        </w:rPr>
        <w:t>/减少</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w:t>
      </w:r>
      <w:r>
        <w:rPr>
          <w:rFonts w:hint="eastAsia" w:ascii="Times New Roman" w:hAnsi="Times New Roman" w:eastAsia="方正仿宋_GBK" w:cs="Times New Roman"/>
          <w:bCs/>
          <w:color w:val="auto"/>
          <w:kern w:val="2"/>
          <w:sz w:val="32"/>
          <w:szCs w:val="32"/>
          <w:highlight w:val="none"/>
          <w:lang w:val="zh-CN" w:eastAsia="zh-CN" w:bidi="ar-SA"/>
        </w:rPr>
        <w:t>上年无此项支出。</w:t>
      </w:r>
    </w:p>
    <w:p w14:paraId="55565EB6">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40" w:firstLineChars="200"/>
        <w:jc w:val="left"/>
        <w:textAlignment w:val="auto"/>
        <w:outlineLvl w:val="2"/>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（二）一般公共预算财政拨款“三公”经费支出决算情况说明</w:t>
      </w:r>
    </w:p>
    <w:p w14:paraId="6BBC9E3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2024年度一般公共预算财政拨款“三公”经费支出年初预算为</w:t>
      </w:r>
      <w:r>
        <w:rPr>
          <w:rFonts w:hint="eastAsia" w:ascii="Times New Roman" w:hAnsi="Times New Roman" w:eastAsia="方正仿宋_GBK" w:cs="Times New Roman"/>
          <w:bCs/>
          <w:color w:val="auto"/>
          <w:kern w:val="2"/>
          <w:sz w:val="32"/>
          <w:szCs w:val="32"/>
          <w:highlight w:val="none"/>
          <w:lang w:val="zh-CN" w:eastAsia="zh-CN" w:bidi="ar-SA"/>
        </w:rPr>
        <w:t>37600.00</w:t>
      </w:r>
      <w:r>
        <w:rPr>
          <w:rFonts w:hint="eastAsia" w:ascii="Times New Roman" w:hAnsi="Times New Roman" w:eastAsia="方正仿宋_GBK" w:cs="Times New Roman"/>
          <w:bCs/>
          <w:color w:val="auto"/>
          <w:kern w:val="2"/>
          <w:sz w:val="32"/>
          <w:szCs w:val="32"/>
          <w:highlight w:val="none"/>
          <w:lang w:val="en-US" w:eastAsia="zh-CN" w:bidi="ar-SA"/>
        </w:rPr>
        <w:t>元，支出决算为</w:t>
      </w:r>
      <w:r>
        <w:rPr>
          <w:rFonts w:hint="eastAsia" w:ascii="Times New Roman" w:hAnsi="Times New Roman" w:eastAsia="方正仿宋_GBK" w:cs="Times New Roman"/>
          <w:bCs/>
          <w:color w:val="auto"/>
          <w:kern w:val="2"/>
          <w:sz w:val="32"/>
          <w:szCs w:val="32"/>
          <w:highlight w:val="none"/>
          <w:lang w:val="zh-CN" w:eastAsia="zh-CN" w:bidi="ar-SA"/>
        </w:rPr>
        <w:t>5657.00</w:t>
      </w:r>
      <w:r>
        <w:rPr>
          <w:rFonts w:hint="eastAsia" w:ascii="Times New Roman" w:hAnsi="Times New Roman" w:eastAsia="方正仿宋_GBK" w:cs="Times New Roman"/>
          <w:bCs/>
          <w:color w:val="auto"/>
          <w:kern w:val="2"/>
          <w:sz w:val="32"/>
          <w:szCs w:val="32"/>
          <w:highlight w:val="none"/>
          <w:lang w:val="en-US" w:eastAsia="zh-CN" w:bidi="ar-SA"/>
        </w:rPr>
        <w:t>元，完成年初预算的</w:t>
      </w:r>
      <w:r>
        <w:rPr>
          <w:rFonts w:hint="eastAsia" w:ascii="Times New Roman" w:hAnsi="Times New Roman" w:eastAsia="方正仿宋_GBK" w:cs="Times New Roman"/>
          <w:bCs/>
          <w:color w:val="auto"/>
          <w:kern w:val="2"/>
          <w:sz w:val="32"/>
          <w:szCs w:val="32"/>
          <w:highlight w:val="none"/>
          <w:lang w:val="zh-CN" w:eastAsia="zh-CN" w:bidi="ar-SA"/>
        </w:rPr>
        <w:t>15.05</w:t>
      </w:r>
      <w:r>
        <w:rPr>
          <w:rFonts w:hint="eastAsia" w:ascii="Times New Roman" w:hAnsi="Times New Roman" w:eastAsia="方正仿宋_GBK" w:cs="Times New Roman"/>
          <w:bCs/>
          <w:color w:val="auto"/>
          <w:kern w:val="2"/>
          <w:sz w:val="32"/>
          <w:szCs w:val="32"/>
          <w:highlight w:val="none"/>
          <w:lang w:val="en-US" w:eastAsia="zh-CN" w:bidi="ar-SA"/>
        </w:rPr>
        <w:t>%，支出决算较上年减少</w:t>
      </w:r>
      <w:r>
        <w:rPr>
          <w:rFonts w:hint="eastAsia" w:ascii="Times New Roman" w:hAnsi="Times New Roman" w:eastAsia="方正仿宋_GBK" w:cs="Times New Roman"/>
          <w:bCs/>
          <w:color w:val="auto"/>
          <w:kern w:val="2"/>
          <w:sz w:val="32"/>
          <w:szCs w:val="32"/>
          <w:highlight w:val="none"/>
          <w:lang w:val="zh-CN" w:eastAsia="zh-CN" w:bidi="ar-SA"/>
        </w:rPr>
        <w:t>3587.32</w:t>
      </w:r>
      <w:r>
        <w:rPr>
          <w:rFonts w:hint="eastAsia" w:ascii="Times New Roman" w:hAnsi="Times New Roman" w:eastAsia="方正仿宋_GBK" w:cs="Times New Roman"/>
          <w:bCs/>
          <w:color w:val="auto"/>
          <w:kern w:val="2"/>
          <w:sz w:val="32"/>
          <w:szCs w:val="32"/>
          <w:highlight w:val="none"/>
          <w:lang w:val="en-US" w:eastAsia="zh-CN" w:bidi="ar-SA"/>
        </w:rPr>
        <w:t>元，下降</w:t>
      </w:r>
      <w:r>
        <w:rPr>
          <w:rFonts w:hint="eastAsia" w:ascii="Times New Roman" w:hAnsi="Times New Roman" w:eastAsia="方正仿宋_GBK" w:cs="Times New Roman"/>
          <w:bCs/>
          <w:color w:val="auto"/>
          <w:kern w:val="2"/>
          <w:sz w:val="32"/>
          <w:szCs w:val="32"/>
          <w:highlight w:val="none"/>
          <w:lang w:val="zh-CN" w:eastAsia="zh-CN" w:bidi="ar-SA"/>
        </w:rPr>
        <w:t>38.81</w:t>
      </w:r>
      <w:r>
        <w:rPr>
          <w:rFonts w:hint="eastAsia" w:ascii="Times New Roman" w:hAnsi="Times New Roman" w:eastAsia="方正仿宋_GBK" w:cs="Times New Roman"/>
          <w:bCs/>
          <w:color w:val="auto"/>
          <w:kern w:val="2"/>
          <w:sz w:val="32"/>
          <w:szCs w:val="32"/>
          <w:highlight w:val="none"/>
          <w:lang w:val="en-US" w:eastAsia="zh-CN" w:bidi="ar-SA"/>
        </w:rPr>
        <w:t>%。</w:t>
      </w:r>
    </w:p>
    <w:p w14:paraId="186A481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一般公共预算财政拨款“三公”经费支出中：因公出国（境）费支出年初预算为</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元，决算为</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元；公务用车购置费支出年初预算为</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元，决算为</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元；公务用车运行维护费支出年初预算为</w:t>
      </w:r>
      <w:r>
        <w:rPr>
          <w:rFonts w:hint="eastAsia" w:ascii="Times New Roman" w:hAnsi="Times New Roman" w:eastAsia="方正仿宋_GBK" w:cs="Times New Roman"/>
          <w:bCs/>
          <w:color w:val="auto"/>
          <w:kern w:val="2"/>
          <w:sz w:val="32"/>
          <w:szCs w:val="32"/>
          <w:highlight w:val="none"/>
          <w:lang w:val="zh-CN" w:eastAsia="zh-CN" w:bidi="ar-SA"/>
        </w:rPr>
        <w:t>12000.00</w:t>
      </w:r>
      <w:r>
        <w:rPr>
          <w:rFonts w:hint="eastAsia" w:ascii="Times New Roman" w:hAnsi="Times New Roman" w:eastAsia="方正仿宋_GBK" w:cs="Times New Roman"/>
          <w:bCs/>
          <w:color w:val="auto"/>
          <w:kern w:val="2"/>
          <w:sz w:val="32"/>
          <w:szCs w:val="32"/>
          <w:highlight w:val="none"/>
          <w:lang w:val="en-US" w:eastAsia="zh-CN" w:bidi="ar-SA"/>
        </w:rPr>
        <w:t>元，决算为</w:t>
      </w:r>
      <w:r>
        <w:rPr>
          <w:rFonts w:hint="eastAsia" w:ascii="Times New Roman" w:hAnsi="Times New Roman" w:eastAsia="方正仿宋_GBK" w:cs="Times New Roman"/>
          <w:bCs/>
          <w:color w:val="auto"/>
          <w:kern w:val="2"/>
          <w:sz w:val="32"/>
          <w:szCs w:val="32"/>
          <w:highlight w:val="none"/>
          <w:lang w:val="zh-CN" w:eastAsia="zh-CN" w:bidi="ar-SA"/>
        </w:rPr>
        <w:t>1100.00</w:t>
      </w:r>
      <w:r>
        <w:rPr>
          <w:rFonts w:hint="eastAsia" w:ascii="Times New Roman" w:hAnsi="Times New Roman" w:eastAsia="方正仿宋_GBK" w:cs="Times New Roman"/>
          <w:bCs/>
          <w:color w:val="auto"/>
          <w:kern w:val="2"/>
          <w:sz w:val="32"/>
          <w:szCs w:val="32"/>
          <w:highlight w:val="none"/>
          <w:lang w:val="en-US" w:eastAsia="zh-CN" w:bidi="ar-SA"/>
        </w:rPr>
        <w:t>元，完成年初预算的</w:t>
      </w:r>
      <w:r>
        <w:rPr>
          <w:rFonts w:hint="eastAsia" w:ascii="Times New Roman" w:hAnsi="Times New Roman" w:eastAsia="方正仿宋_GBK" w:cs="Times New Roman"/>
          <w:bCs/>
          <w:color w:val="auto"/>
          <w:kern w:val="2"/>
          <w:sz w:val="32"/>
          <w:szCs w:val="32"/>
          <w:highlight w:val="none"/>
          <w:lang w:val="zh-CN" w:eastAsia="zh-CN" w:bidi="ar-SA"/>
        </w:rPr>
        <w:t>9.17</w:t>
      </w:r>
      <w:r>
        <w:rPr>
          <w:rFonts w:hint="eastAsia" w:ascii="Times New Roman" w:hAnsi="Times New Roman" w:eastAsia="方正仿宋_GBK" w:cs="Times New Roman"/>
          <w:bCs/>
          <w:color w:val="auto"/>
          <w:kern w:val="2"/>
          <w:sz w:val="32"/>
          <w:szCs w:val="32"/>
          <w:highlight w:val="none"/>
          <w:lang w:val="en-US" w:eastAsia="zh-CN" w:bidi="ar-SA"/>
        </w:rPr>
        <w:t>%；公务接待费支出年初预算为</w:t>
      </w:r>
      <w:r>
        <w:rPr>
          <w:rFonts w:hint="eastAsia" w:ascii="Times New Roman" w:hAnsi="Times New Roman" w:eastAsia="方正仿宋_GBK" w:cs="Times New Roman"/>
          <w:bCs/>
          <w:color w:val="auto"/>
          <w:kern w:val="2"/>
          <w:sz w:val="32"/>
          <w:szCs w:val="32"/>
          <w:highlight w:val="none"/>
          <w:lang w:val="zh-CN" w:eastAsia="zh-CN" w:bidi="ar-SA"/>
        </w:rPr>
        <w:t>25600.00</w:t>
      </w:r>
      <w:r>
        <w:rPr>
          <w:rFonts w:hint="eastAsia" w:ascii="Times New Roman" w:hAnsi="Times New Roman" w:eastAsia="方正仿宋_GBK" w:cs="Times New Roman"/>
          <w:bCs/>
          <w:color w:val="auto"/>
          <w:kern w:val="2"/>
          <w:sz w:val="32"/>
          <w:szCs w:val="32"/>
          <w:highlight w:val="none"/>
          <w:lang w:val="en-US" w:eastAsia="zh-CN" w:bidi="ar-SA"/>
        </w:rPr>
        <w:t>元，决算为</w:t>
      </w:r>
      <w:r>
        <w:rPr>
          <w:rFonts w:hint="eastAsia" w:ascii="Times New Roman" w:hAnsi="Times New Roman" w:eastAsia="方正仿宋_GBK" w:cs="Times New Roman"/>
          <w:bCs/>
          <w:color w:val="auto"/>
          <w:kern w:val="2"/>
          <w:sz w:val="32"/>
          <w:szCs w:val="32"/>
          <w:highlight w:val="none"/>
          <w:lang w:val="zh-CN" w:eastAsia="zh-CN" w:bidi="ar-SA"/>
        </w:rPr>
        <w:t>4557.00</w:t>
      </w:r>
      <w:r>
        <w:rPr>
          <w:rFonts w:hint="eastAsia" w:ascii="Times New Roman" w:hAnsi="Times New Roman" w:eastAsia="方正仿宋_GBK" w:cs="Times New Roman"/>
          <w:bCs/>
          <w:color w:val="auto"/>
          <w:kern w:val="2"/>
          <w:sz w:val="32"/>
          <w:szCs w:val="32"/>
          <w:highlight w:val="none"/>
          <w:lang w:val="en-US" w:eastAsia="zh-CN" w:bidi="ar-SA"/>
        </w:rPr>
        <w:t>元，完成年初预算的</w:t>
      </w:r>
      <w:r>
        <w:rPr>
          <w:rFonts w:hint="eastAsia" w:ascii="Times New Roman" w:hAnsi="Times New Roman" w:eastAsia="方正仿宋_GBK" w:cs="Times New Roman"/>
          <w:bCs/>
          <w:color w:val="auto"/>
          <w:kern w:val="2"/>
          <w:sz w:val="32"/>
          <w:szCs w:val="32"/>
          <w:highlight w:val="none"/>
          <w:lang w:val="zh-CN" w:eastAsia="zh-CN" w:bidi="ar-SA"/>
        </w:rPr>
        <w:t>17.80</w:t>
      </w:r>
      <w:r>
        <w:rPr>
          <w:rFonts w:hint="eastAsia" w:ascii="Times New Roman" w:hAnsi="Times New Roman" w:eastAsia="方正仿宋_GBK" w:cs="Times New Roman"/>
          <w:bCs/>
          <w:color w:val="auto"/>
          <w:kern w:val="2"/>
          <w:sz w:val="32"/>
          <w:szCs w:val="32"/>
          <w:highlight w:val="none"/>
          <w:lang w:val="en-US" w:eastAsia="zh-CN" w:bidi="ar-SA"/>
        </w:rPr>
        <w:t>%。2024年度一般公共预算财政拨款“三公”经费支出决算数小于年初预算数的主要原因是：本年度厉行节约，严控“三公”经费开支，严格遵守10公里内公务员不使用公车的要求，用车次数减少，费用降低</w:t>
      </w:r>
      <w:r>
        <w:rPr>
          <w:rFonts w:hint="default" w:ascii="Times New Roman" w:hAnsi="Times New Roman" w:eastAsia="方正仿宋_GBK" w:cs="Times New Roman"/>
          <w:bCs/>
          <w:color w:val="auto"/>
          <w:kern w:val="2"/>
          <w:sz w:val="32"/>
          <w:szCs w:val="32"/>
          <w:highlight w:val="none"/>
          <w:lang w:val="en-US" w:eastAsia="zh-CN" w:bidi="ar-SA"/>
        </w:rPr>
        <w:t>。本年度无公务用车购置，公务用车保有量为</w:t>
      </w:r>
      <w:r>
        <w:rPr>
          <w:rFonts w:hint="eastAsia" w:ascii="Times New Roman" w:hAnsi="Times New Roman" w:eastAsia="方正仿宋_GBK" w:cs="Times New Roman"/>
          <w:bCs/>
          <w:color w:val="auto"/>
          <w:kern w:val="2"/>
          <w:sz w:val="32"/>
          <w:szCs w:val="32"/>
          <w:highlight w:val="none"/>
          <w:lang w:val="en-US" w:eastAsia="zh-CN" w:bidi="ar-SA"/>
        </w:rPr>
        <w:t>2</w:t>
      </w:r>
      <w:r>
        <w:rPr>
          <w:rFonts w:hint="default" w:ascii="Times New Roman" w:hAnsi="Times New Roman" w:eastAsia="方正仿宋_GBK" w:cs="Times New Roman"/>
          <w:bCs/>
          <w:color w:val="auto"/>
          <w:kern w:val="2"/>
          <w:sz w:val="32"/>
          <w:szCs w:val="32"/>
          <w:highlight w:val="none"/>
          <w:lang w:val="en-US" w:eastAsia="zh-CN" w:bidi="ar-SA"/>
        </w:rPr>
        <w:t>辆、无因公出国（境）团组数及人数，公务接待批次是</w:t>
      </w:r>
      <w:r>
        <w:rPr>
          <w:rFonts w:hint="eastAsia" w:ascii="Times New Roman" w:hAnsi="Times New Roman" w:eastAsia="方正仿宋_GBK" w:cs="Times New Roman"/>
          <w:bCs/>
          <w:color w:val="auto"/>
          <w:kern w:val="2"/>
          <w:sz w:val="32"/>
          <w:szCs w:val="32"/>
          <w:highlight w:val="none"/>
          <w:lang w:val="en-US" w:eastAsia="zh-CN" w:bidi="ar-SA"/>
        </w:rPr>
        <w:t>13</w:t>
      </w:r>
      <w:r>
        <w:rPr>
          <w:rFonts w:hint="default" w:ascii="Times New Roman" w:hAnsi="Times New Roman" w:eastAsia="方正仿宋_GBK" w:cs="Times New Roman"/>
          <w:bCs/>
          <w:color w:val="auto"/>
          <w:kern w:val="2"/>
          <w:sz w:val="32"/>
          <w:szCs w:val="32"/>
          <w:highlight w:val="none"/>
          <w:lang w:val="en-US" w:eastAsia="zh-CN" w:bidi="ar-SA"/>
        </w:rPr>
        <w:t>批，接待人数</w:t>
      </w:r>
      <w:r>
        <w:rPr>
          <w:rFonts w:hint="eastAsia" w:ascii="Times New Roman" w:hAnsi="Times New Roman" w:eastAsia="方正仿宋_GBK" w:cs="Times New Roman"/>
          <w:bCs/>
          <w:color w:val="auto"/>
          <w:kern w:val="2"/>
          <w:sz w:val="32"/>
          <w:szCs w:val="32"/>
          <w:highlight w:val="none"/>
          <w:lang w:val="en-US" w:eastAsia="zh-CN" w:bidi="ar-SA"/>
        </w:rPr>
        <w:t>56</w:t>
      </w:r>
      <w:r>
        <w:rPr>
          <w:rFonts w:hint="default" w:ascii="Times New Roman" w:hAnsi="Times New Roman" w:eastAsia="方正仿宋_GBK" w:cs="Times New Roman"/>
          <w:bCs/>
          <w:color w:val="auto"/>
          <w:kern w:val="2"/>
          <w:sz w:val="32"/>
          <w:szCs w:val="32"/>
          <w:highlight w:val="none"/>
          <w:lang w:val="en-US" w:eastAsia="zh-CN" w:bidi="ar-SA"/>
        </w:rPr>
        <w:t>人</w:t>
      </w:r>
      <w:r>
        <w:rPr>
          <w:rFonts w:hint="eastAsia" w:ascii="Times New Roman" w:hAnsi="Times New Roman" w:eastAsia="方正仿宋_GBK" w:cs="Times New Roman"/>
          <w:bCs/>
          <w:color w:val="auto"/>
          <w:kern w:val="2"/>
          <w:sz w:val="32"/>
          <w:szCs w:val="32"/>
          <w:highlight w:val="none"/>
          <w:lang w:val="en-US" w:eastAsia="zh-CN" w:bidi="ar-SA"/>
        </w:rPr>
        <w:t>次</w:t>
      </w:r>
      <w:r>
        <w:rPr>
          <w:rFonts w:hint="default"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en-US" w:eastAsia="zh-CN" w:bidi="ar-SA"/>
        </w:rPr>
        <w:t>。</w:t>
      </w:r>
    </w:p>
    <w:p w14:paraId="57332B9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一般公共预算财政拨款“三公”经费支出中：因公出国（境）费支出决算增加</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元，上年无此项支出；公务用车购置费支出决算增加</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元，上年无此项支出；公务用车运行维护费支出决算减少</w:t>
      </w:r>
      <w:r>
        <w:rPr>
          <w:rFonts w:hint="eastAsia" w:ascii="Times New Roman" w:hAnsi="Times New Roman" w:eastAsia="方正仿宋_GBK" w:cs="Times New Roman"/>
          <w:bCs/>
          <w:color w:val="auto"/>
          <w:kern w:val="2"/>
          <w:sz w:val="32"/>
          <w:szCs w:val="32"/>
          <w:highlight w:val="none"/>
          <w:lang w:val="zh-CN" w:eastAsia="zh-CN" w:bidi="ar-SA"/>
        </w:rPr>
        <w:t>5819.32</w:t>
      </w:r>
      <w:r>
        <w:rPr>
          <w:rFonts w:hint="eastAsia" w:ascii="Times New Roman" w:hAnsi="Times New Roman" w:eastAsia="方正仿宋_GBK" w:cs="Times New Roman"/>
          <w:bCs/>
          <w:color w:val="auto"/>
          <w:kern w:val="2"/>
          <w:sz w:val="32"/>
          <w:szCs w:val="32"/>
          <w:highlight w:val="none"/>
          <w:lang w:val="en-US" w:eastAsia="zh-CN" w:bidi="ar-SA"/>
        </w:rPr>
        <w:t>元，下降</w:t>
      </w:r>
      <w:r>
        <w:rPr>
          <w:rFonts w:hint="eastAsia" w:ascii="Times New Roman" w:hAnsi="Times New Roman" w:eastAsia="方正仿宋_GBK" w:cs="Times New Roman"/>
          <w:bCs/>
          <w:color w:val="auto"/>
          <w:kern w:val="2"/>
          <w:sz w:val="32"/>
          <w:szCs w:val="32"/>
          <w:highlight w:val="none"/>
          <w:lang w:val="zh-CN" w:eastAsia="zh-CN" w:bidi="ar-SA"/>
        </w:rPr>
        <w:t>84.10</w:t>
      </w:r>
      <w:r>
        <w:rPr>
          <w:rFonts w:hint="eastAsia" w:ascii="Times New Roman" w:hAnsi="Times New Roman" w:eastAsia="方正仿宋_GBK" w:cs="Times New Roman"/>
          <w:bCs/>
          <w:color w:val="auto"/>
          <w:kern w:val="2"/>
          <w:sz w:val="32"/>
          <w:szCs w:val="32"/>
          <w:highlight w:val="none"/>
          <w:lang w:val="en-US" w:eastAsia="zh-CN" w:bidi="ar-SA"/>
        </w:rPr>
        <w:t>%；公务接待费支出决算增加</w:t>
      </w:r>
      <w:r>
        <w:rPr>
          <w:rFonts w:hint="eastAsia" w:ascii="Times New Roman" w:hAnsi="Times New Roman" w:eastAsia="方正仿宋_GBK" w:cs="Times New Roman"/>
          <w:bCs/>
          <w:color w:val="auto"/>
          <w:kern w:val="2"/>
          <w:sz w:val="32"/>
          <w:szCs w:val="32"/>
          <w:highlight w:val="none"/>
          <w:lang w:val="zh-CN" w:eastAsia="zh-CN" w:bidi="ar-SA"/>
        </w:rPr>
        <w:t>2232.00</w:t>
      </w:r>
      <w:r>
        <w:rPr>
          <w:rFonts w:hint="eastAsia" w:ascii="Times New Roman" w:hAnsi="Times New Roman" w:eastAsia="方正仿宋_GBK" w:cs="Times New Roman"/>
          <w:bCs/>
          <w:color w:val="auto"/>
          <w:kern w:val="2"/>
          <w:sz w:val="32"/>
          <w:szCs w:val="32"/>
          <w:highlight w:val="none"/>
          <w:lang w:val="en-US" w:eastAsia="zh-CN" w:bidi="ar-SA"/>
        </w:rPr>
        <w:t>元，增长</w:t>
      </w:r>
      <w:r>
        <w:rPr>
          <w:rFonts w:hint="eastAsia" w:ascii="Times New Roman" w:hAnsi="Times New Roman" w:eastAsia="方正仿宋_GBK" w:cs="Times New Roman"/>
          <w:bCs/>
          <w:color w:val="auto"/>
          <w:kern w:val="2"/>
          <w:sz w:val="32"/>
          <w:szCs w:val="32"/>
          <w:highlight w:val="none"/>
          <w:lang w:val="zh-CN" w:eastAsia="zh-CN" w:bidi="ar-SA"/>
        </w:rPr>
        <w:t>96.00</w:t>
      </w:r>
      <w:r>
        <w:rPr>
          <w:rFonts w:hint="eastAsia" w:ascii="Times New Roman" w:hAnsi="Times New Roman" w:eastAsia="方正仿宋_GBK" w:cs="Times New Roman"/>
          <w:bCs/>
          <w:color w:val="auto"/>
          <w:kern w:val="2"/>
          <w:sz w:val="32"/>
          <w:szCs w:val="32"/>
          <w:highlight w:val="none"/>
          <w:lang w:val="en-US" w:eastAsia="zh-CN" w:bidi="ar-SA"/>
        </w:rPr>
        <w:t>%，具体是：国内接待费支出决算</w:t>
      </w:r>
      <w:r>
        <w:rPr>
          <w:rFonts w:hint="eastAsia" w:ascii="Times New Roman" w:hAnsi="Times New Roman" w:eastAsia="方正仿宋_GBK" w:cs="Times New Roman"/>
          <w:bCs/>
          <w:color w:val="auto"/>
          <w:kern w:val="2"/>
          <w:sz w:val="32"/>
          <w:szCs w:val="32"/>
          <w:highlight w:val="none"/>
          <w:lang w:val="zh-CN" w:eastAsia="zh-CN" w:bidi="ar-SA"/>
        </w:rPr>
        <w:t>4557.00</w:t>
      </w:r>
      <w:r>
        <w:rPr>
          <w:rFonts w:hint="eastAsia" w:ascii="Times New Roman" w:hAnsi="Times New Roman" w:eastAsia="方正仿宋_GBK" w:cs="Times New Roman"/>
          <w:bCs/>
          <w:color w:val="auto"/>
          <w:kern w:val="2"/>
          <w:sz w:val="32"/>
          <w:szCs w:val="32"/>
          <w:highlight w:val="none"/>
          <w:lang w:val="en-US" w:eastAsia="zh-CN" w:bidi="ar-SA"/>
        </w:rPr>
        <w:t>元（其中：外事接待费支出决算</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元），较上年增加0.00元，上年无此项支出；国（境）外接待费支出决算</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元，较上年增加0.00元，上年无此项支出。2024年度一般公共预算财政拨款“三公”经费支出决算增加：。</w:t>
      </w:r>
    </w:p>
    <w:p w14:paraId="58C4402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一般公共预算财政拨款“三公”经费支出实物量的具体情况：</w:t>
      </w:r>
    </w:p>
    <w:p w14:paraId="7D0B6CD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安排因公出国（境）团组</w:t>
      </w:r>
      <w:r>
        <w:rPr>
          <w:rFonts w:hint="eastAsia" w:ascii="Times New Roman" w:hAnsi="Times New Roman" w:eastAsia="方正仿宋_GBK" w:cs="Times New Roman"/>
          <w:bCs/>
          <w:color w:val="auto"/>
          <w:kern w:val="2"/>
          <w:sz w:val="32"/>
          <w:szCs w:val="32"/>
          <w:highlight w:val="none"/>
          <w:lang w:val="zh-CN" w:eastAsia="zh-CN" w:bidi="ar-SA"/>
        </w:rPr>
        <w:t>0</w:t>
      </w:r>
      <w:r>
        <w:rPr>
          <w:rFonts w:hint="eastAsia" w:ascii="Times New Roman" w:hAnsi="Times New Roman" w:eastAsia="方正仿宋_GBK" w:cs="Times New Roman"/>
          <w:bCs/>
          <w:color w:val="auto"/>
          <w:kern w:val="2"/>
          <w:sz w:val="32"/>
          <w:szCs w:val="32"/>
          <w:highlight w:val="none"/>
          <w:lang w:val="en-US" w:eastAsia="zh-CN" w:bidi="ar-SA"/>
        </w:rPr>
        <w:t>个，累计</w:t>
      </w:r>
      <w:r>
        <w:rPr>
          <w:rFonts w:hint="eastAsia" w:ascii="Times New Roman" w:hAnsi="Times New Roman" w:eastAsia="方正仿宋_GBK" w:cs="Times New Roman"/>
          <w:bCs/>
          <w:color w:val="auto"/>
          <w:kern w:val="2"/>
          <w:sz w:val="32"/>
          <w:szCs w:val="32"/>
          <w:highlight w:val="none"/>
          <w:lang w:val="zh-CN" w:eastAsia="zh-CN" w:bidi="ar-SA"/>
        </w:rPr>
        <w:t>0</w:t>
      </w:r>
      <w:r>
        <w:rPr>
          <w:rFonts w:hint="eastAsia" w:ascii="Times New Roman" w:hAnsi="Times New Roman" w:eastAsia="方正仿宋_GBK" w:cs="Times New Roman"/>
          <w:bCs/>
          <w:color w:val="auto"/>
          <w:kern w:val="2"/>
          <w:sz w:val="32"/>
          <w:szCs w:val="32"/>
          <w:highlight w:val="none"/>
          <w:lang w:val="en-US" w:eastAsia="zh-CN" w:bidi="ar-SA"/>
        </w:rPr>
        <w:t>人次。</w:t>
      </w:r>
    </w:p>
    <w:p w14:paraId="031225D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2.购置车辆</w:t>
      </w:r>
      <w:r>
        <w:rPr>
          <w:rFonts w:hint="eastAsia" w:ascii="Times New Roman" w:hAnsi="Times New Roman" w:eastAsia="方正仿宋_GBK" w:cs="Times New Roman"/>
          <w:bCs/>
          <w:color w:val="auto"/>
          <w:kern w:val="2"/>
          <w:sz w:val="32"/>
          <w:szCs w:val="32"/>
          <w:highlight w:val="none"/>
          <w:lang w:val="zh-CN" w:eastAsia="zh-CN" w:bidi="ar-SA"/>
        </w:rPr>
        <w:t>0</w:t>
      </w:r>
      <w:r>
        <w:rPr>
          <w:rFonts w:hint="eastAsia" w:ascii="Times New Roman" w:hAnsi="Times New Roman" w:eastAsia="方正仿宋_GBK" w:cs="Times New Roman"/>
          <w:bCs/>
          <w:color w:val="auto"/>
          <w:kern w:val="2"/>
          <w:sz w:val="32"/>
          <w:szCs w:val="32"/>
          <w:highlight w:val="none"/>
          <w:lang w:val="en-US" w:eastAsia="zh-CN" w:bidi="ar-SA"/>
        </w:rPr>
        <w:t>辆。</w:t>
      </w:r>
    </w:p>
    <w:p w14:paraId="6F89DC5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3.安排国内公务接待</w:t>
      </w:r>
      <w:r>
        <w:rPr>
          <w:rFonts w:hint="eastAsia" w:ascii="Times New Roman" w:hAnsi="Times New Roman" w:eastAsia="方正仿宋_GBK" w:cs="Times New Roman"/>
          <w:bCs/>
          <w:color w:val="auto"/>
          <w:kern w:val="2"/>
          <w:sz w:val="32"/>
          <w:szCs w:val="32"/>
          <w:highlight w:val="none"/>
          <w:lang w:val="zh-CN" w:eastAsia="zh-CN" w:bidi="ar-SA"/>
        </w:rPr>
        <w:t>13</w:t>
      </w:r>
      <w:r>
        <w:rPr>
          <w:rFonts w:hint="eastAsia" w:ascii="Times New Roman" w:hAnsi="Times New Roman" w:eastAsia="方正仿宋_GBK" w:cs="Times New Roman"/>
          <w:bCs/>
          <w:color w:val="auto"/>
          <w:kern w:val="2"/>
          <w:sz w:val="32"/>
          <w:szCs w:val="32"/>
          <w:highlight w:val="none"/>
          <w:lang w:val="en-US" w:eastAsia="zh-CN" w:bidi="ar-SA"/>
        </w:rPr>
        <w:t>批次（其中：外事接待</w:t>
      </w:r>
      <w:r>
        <w:rPr>
          <w:rFonts w:hint="eastAsia" w:ascii="Times New Roman" w:hAnsi="Times New Roman" w:eastAsia="方正仿宋_GBK" w:cs="Times New Roman"/>
          <w:bCs/>
          <w:color w:val="auto"/>
          <w:kern w:val="2"/>
          <w:sz w:val="32"/>
          <w:szCs w:val="32"/>
          <w:highlight w:val="none"/>
          <w:lang w:val="zh-CN" w:eastAsia="zh-CN" w:bidi="ar-SA"/>
        </w:rPr>
        <w:t>0</w:t>
      </w:r>
      <w:r>
        <w:rPr>
          <w:rFonts w:hint="eastAsia" w:ascii="Times New Roman" w:hAnsi="Times New Roman" w:eastAsia="方正仿宋_GBK" w:cs="Times New Roman"/>
          <w:bCs/>
          <w:color w:val="auto"/>
          <w:kern w:val="2"/>
          <w:sz w:val="32"/>
          <w:szCs w:val="32"/>
          <w:highlight w:val="none"/>
          <w:lang w:val="en-US" w:eastAsia="zh-CN" w:bidi="ar-SA"/>
        </w:rPr>
        <w:t>批次），接待人次</w:t>
      </w:r>
      <w:r>
        <w:rPr>
          <w:rFonts w:hint="eastAsia" w:ascii="Times New Roman" w:hAnsi="Times New Roman" w:eastAsia="方正仿宋_GBK" w:cs="Times New Roman"/>
          <w:bCs/>
          <w:color w:val="auto"/>
          <w:kern w:val="2"/>
          <w:sz w:val="32"/>
          <w:szCs w:val="32"/>
          <w:highlight w:val="none"/>
          <w:lang w:val="zh-CN" w:eastAsia="zh-CN" w:bidi="ar-SA"/>
        </w:rPr>
        <w:t>56</w:t>
      </w:r>
      <w:r>
        <w:rPr>
          <w:rFonts w:hint="eastAsia" w:ascii="Times New Roman" w:hAnsi="Times New Roman" w:eastAsia="方正仿宋_GBK" w:cs="Times New Roman"/>
          <w:bCs/>
          <w:color w:val="auto"/>
          <w:kern w:val="2"/>
          <w:sz w:val="32"/>
          <w:szCs w:val="32"/>
          <w:highlight w:val="none"/>
          <w:lang w:val="en-US" w:eastAsia="zh-CN" w:bidi="ar-SA"/>
        </w:rPr>
        <w:t>人（其中：外事接待人次</w:t>
      </w:r>
      <w:r>
        <w:rPr>
          <w:rFonts w:hint="eastAsia" w:ascii="Times New Roman" w:hAnsi="Times New Roman" w:eastAsia="方正仿宋_GBK" w:cs="Times New Roman"/>
          <w:bCs/>
          <w:color w:val="auto"/>
          <w:kern w:val="2"/>
          <w:sz w:val="32"/>
          <w:szCs w:val="32"/>
          <w:highlight w:val="none"/>
          <w:lang w:val="zh-CN" w:eastAsia="zh-CN" w:bidi="ar-SA"/>
        </w:rPr>
        <w:t>0</w:t>
      </w:r>
      <w:r>
        <w:rPr>
          <w:rFonts w:hint="eastAsia" w:ascii="Times New Roman" w:hAnsi="Times New Roman" w:eastAsia="方正仿宋_GBK" w:cs="Times New Roman"/>
          <w:bCs/>
          <w:color w:val="auto"/>
          <w:kern w:val="2"/>
          <w:sz w:val="32"/>
          <w:szCs w:val="32"/>
          <w:highlight w:val="none"/>
          <w:lang w:val="en-US" w:eastAsia="zh-CN" w:bidi="ar-SA"/>
        </w:rPr>
        <w:t>人）。主要用于</w:t>
      </w:r>
      <w:r>
        <w:rPr>
          <w:rFonts w:hint="default" w:ascii="Times New Roman" w:hAnsi="Times New Roman" w:eastAsia="方正仿宋_GBK" w:cs="Times New Roman"/>
          <w:bCs/>
          <w:color w:val="auto"/>
          <w:kern w:val="2"/>
          <w:sz w:val="32"/>
          <w:szCs w:val="32"/>
          <w:highlight w:val="none"/>
          <w:lang w:val="en-US" w:eastAsia="zh-CN" w:bidi="ar-SA"/>
        </w:rPr>
        <w:t>工业、商贸、科技、无线电等领域工作</w:t>
      </w:r>
      <w:r>
        <w:rPr>
          <w:rFonts w:hint="eastAsia" w:ascii="Times New Roman" w:hAnsi="Times New Roman" w:eastAsia="方正仿宋_GBK" w:cs="Times New Roman"/>
          <w:bCs/>
          <w:color w:val="auto"/>
          <w:kern w:val="2"/>
          <w:sz w:val="32"/>
          <w:szCs w:val="32"/>
          <w:highlight w:val="none"/>
          <w:lang w:val="en-US" w:eastAsia="zh-CN" w:bidi="ar-SA"/>
        </w:rPr>
        <w:t>发生的接待支出。安排国（境）外公务接待</w:t>
      </w:r>
      <w:r>
        <w:rPr>
          <w:rFonts w:hint="eastAsia" w:ascii="Times New Roman" w:hAnsi="Times New Roman" w:eastAsia="方正仿宋_GBK" w:cs="Times New Roman"/>
          <w:bCs/>
          <w:color w:val="auto"/>
          <w:kern w:val="2"/>
          <w:sz w:val="32"/>
          <w:szCs w:val="32"/>
          <w:highlight w:val="none"/>
          <w:lang w:val="zh-CN" w:eastAsia="zh-CN" w:bidi="ar-SA"/>
        </w:rPr>
        <w:t>0</w:t>
      </w:r>
      <w:r>
        <w:rPr>
          <w:rFonts w:hint="eastAsia" w:ascii="Times New Roman" w:hAnsi="Times New Roman" w:eastAsia="方正仿宋_GBK" w:cs="Times New Roman"/>
          <w:bCs/>
          <w:color w:val="auto"/>
          <w:kern w:val="2"/>
          <w:sz w:val="32"/>
          <w:szCs w:val="32"/>
          <w:highlight w:val="none"/>
          <w:lang w:val="en-US" w:eastAsia="zh-CN" w:bidi="ar-SA"/>
        </w:rPr>
        <w:t>批次，接待人次</w:t>
      </w:r>
      <w:r>
        <w:rPr>
          <w:rFonts w:hint="eastAsia" w:ascii="Times New Roman" w:hAnsi="Times New Roman" w:eastAsia="方正仿宋_GBK" w:cs="Times New Roman"/>
          <w:bCs/>
          <w:color w:val="auto"/>
          <w:kern w:val="2"/>
          <w:sz w:val="32"/>
          <w:szCs w:val="32"/>
          <w:highlight w:val="none"/>
          <w:lang w:val="zh-CN" w:eastAsia="zh-CN" w:bidi="ar-SA"/>
        </w:rPr>
        <w:t>0</w:t>
      </w:r>
      <w:r>
        <w:rPr>
          <w:rFonts w:hint="eastAsia" w:ascii="Times New Roman" w:hAnsi="Times New Roman" w:eastAsia="方正仿宋_GBK" w:cs="Times New Roman"/>
          <w:bCs/>
          <w:color w:val="auto"/>
          <w:kern w:val="2"/>
          <w:sz w:val="32"/>
          <w:szCs w:val="32"/>
          <w:highlight w:val="none"/>
          <w:lang w:val="en-US" w:eastAsia="zh-CN" w:bidi="ar-SA"/>
        </w:rPr>
        <w:t>人。。</w:t>
      </w:r>
    </w:p>
    <w:p w14:paraId="59EB14CA">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40" w:firstLineChars="200"/>
        <w:jc w:val="left"/>
        <w:textAlignment w:val="auto"/>
        <w:outlineLvl w:val="2"/>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（三）需要说明的事项</w:t>
      </w:r>
    </w:p>
    <w:p w14:paraId="168E85A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不存在需要说明的事项。</w:t>
      </w:r>
    </w:p>
    <w:p w14:paraId="084BAB77">
      <w:pPr>
        <w:keepNext w:val="0"/>
        <w:keepLines w:val="0"/>
        <w:pageBreakBefore w:val="0"/>
        <w:widowControl/>
        <w:kinsoku/>
        <w:overflowPunct/>
        <w:topLinePunct w:val="0"/>
        <w:bidi w:val="0"/>
        <w:snapToGrid w:val="0"/>
        <w:spacing w:line="590" w:lineRule="exact"/>
        <w:ind w:firstLine="600" w:firstLineChars="200"/>
        <w:jc w:val="left"/>
        <w:textAlignment w:val="auto"/>
        <w:rPr>
          <w:rFonts w:hint="eastAsia" w:ascii="仿宋_GB2312" w:eastAsia="仿宋_GB2312"/>
          <w:color w:val="auto"/>
          <w:sz w:val="30"/>
          <w:szCs w:val="30"/>
          <w:highlight w:val="none"/>
          <w:lang w:eastAsia="zh-CN"/>
        </w:rPr>
      </w:pPr>
    </w:p>
    <w:p w14:paraId="33D2514F">
      <w:pPr>
        <w:keepNext w:val="0"/>
        <w:keepLines w:val="0"/>
        <w:pageBreakBefore w:val="0"/>
        <w:kinsoku/>
        <w:overflowPunct/>
        <w:topLinePunct w:val="0"/>
        <w:bidi w:val="0"/>
        <w:spacing w:line="590" w:lineRule="exact"/>
        <w:jc w:val="center"/>
        <w:textAlignment w:val="auto"/>
        <w:outlineLvl w:val="1"/>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第四部分  其他重要事项及相关口径情况说明</w:t>
      </w:r>
    </w:p>
    <w:p w14:paraId="4BA24DD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1"/>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一、机关运行经费支出情况</w:t>
      </w:r>
    </w:p>
    <w:p w14:paraId="2C0C999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华宁县工业商贸和科技信息局</w:t>
      </w:r>
      <w:r>
        <w:rPr>
          <w:rFonts w:hint="eastAsia" w:ascii="Times New Roman" w:hAnsi="Times New Roman" w:eastAsia="方正仿宋_GBK" w:cs="Times New Roman"/>
          <w:bCs/>
          <w:color w:val="auto"/>
          <w:kern w:val="2"/>
          <w:sz w:val="32"/>
          <w:szCs w:val="32"/>
          <w:highlight w:val="none"/>
          <w:lang w:val="en-US" w:eastAsia="zh-CN" w:bidi="ar-SA"/>
        </w:rPr>
        <w:t>2024</w:t>
      </w:r>
      <w:r>
        <w:rPr>
          <w:rFonts w:hint="eastAsia" w:ascii="Times New Roman" w:hAnsi="Times New Roman" w:eastAsia="方正仿宋_GBK" w:cs="Times New Roman"/>
          <w:bCs/>
          <w:color w:val="auto"/>
          <w:kern w:val="2"/>
          <w:sz w:val="32"/>
          <w:szCs w:val="32"/>
          <w:highlight w:val="none"/>
          <w:lang w:val="zh-CN" w:eastAsia="zh-CN" w:bidi="ar-SA"/>
        </w:rPr>
        <w:t>年机关运行经费支出</w:t>
      </w:r>
      <w:r>
        <w:rPr>
          <w:rFonts w:hint="eastAsia" w:ascii="Times New Roman" w:hAnsi="Times New Roman" w:eastAsia="方正仿宋_GBK" w:cs="Times New Roman"/>
          <w:bCs/>
          <w:color w:val="auto"/>
          <w:kern w:val="2"/>
          <w:sz w:val="32"/>
          <w:szCs w:val="32"/>
          <w:highlight w:val="none"/>
          <w:lang w:val="en-US" w:eastAsia="zh-CN" w:bidi="ar-SA"/>
        </w:rPr>
        <w:t>246831.80</w:t>
      </w:r>
      <w:r>
        <w:rPr>
          <w:rFonts w:hint="eastAsia" w:ascii="Times New Roman" w:hAnsi="Times New Roman" w:eastAsia="方正仿宋_GBK" w:cs="Times New Roman"/>
          <w:bCs/>
          <w:color w:val="auto"/>
          <w:kern w:val="2"/>
          <w:sz w:val="32"/>
          <w:szCs w:val="32"/>
          <w:highlight w:val="none"/>
          <w:lang w:val="zh-CN" w:eastAsia="zh-CN" w:bidi="ar-SA"/>
        </w:rPr>
        <w:t>元，比上年减少</w:t>
      </w:r>
      <w:r>
        <w:rPr>
          <w:rFonts w:hint="eastAsia" w:ascii="Times New Roman" w:hAnsi="Times New Roman" w:eastAsia="方正仿宋_GBK" w:cs="Times New Roman"/>
          <w:bCs/>
          <w:color w:val="auto"/>
          <w:kern w:val="2"/>
          <w:sz w:val="32"/>
          <w:szCs w:val="32"/>
          <w:highlight w:val="none"/>
          <w:lang w:val="en-US" w:eastAsia="zh-CN" w:bidi="ar-SA"/>
        </w:rPr>
        <w:t>62993.15</w:t>
      </w:r>
      <w:r>
        <w:rPr>
          <w:rFonts w:hint="eastAsia" w:ascii="Times New Roman" w:hAnsi="Times New Roman" w:eastAsia="方正仿宋_GBK" w:cs="Times New Roman"/>
          <w:bCs/>
          <w:color w:val="auto"/>
          <w:kern w:val="2"/>
          <w:sz w:val="32"/>
          <w:szCs w:val="32"/>
          <w:highlight w:val="none"/>
          <w:lang w:val="zh-CN" w:eastAsia="zh-CN" w:bidi="ar-SA"/>
        </w:rPr>
        <w:t>元，下降20.33%,主要原因是：</w:t>
      </w:r>
      <w:r>
        <w:rPr>
          <w:rFonts w:hint="eastAsia" w:ascii="Times New Roman" w:hAnsi="Times New Roman" w:eastAsia="方正仿宋_GBK" w:cs="Times New Roman"/>
          <w:bCs/>
          <w:color w:val="auto"/>
          <w:kern w:val="2"/>
          <w:sz w:val="32"/>
          <w:szCs w:val="32"/>
          <w:highlight w:val="none"/>
          <w:lang w:val="en-US" w:eastAsia="zh-CN" w:bidi="ar-SA"/>
        </w:rPr>
        <w:t>本年度厉行节约，严控“三公”经费开支，严格遵守10公里内公务员不使用公车的要求，用车次数减少，费用降低</w:t>
      </w:r>
      <w:r>
        <w:rPr>
          <w:rFonts w:hint="default" w:ascii="Times New Roman" w:hAnsi="Times New Roman" w:eastAsia="方正仿宋_GBK" w:cs="Times New Roman"/>
          <w:bCs/>
          <w:color w:val="auto"/>
          <w:kern w:val="2"/>
          <w:sz w:val="32"/>
          <w:szCs w:val="32"/>
          <w:highlight w:val="none"/>
          <w:lang w:val="en-US" w:eastAsia="zh-CN" w:bidi="ar-SA"/>
        </w:rPr>
        <w:t>。本年度无公务用车购置，公务用车保有量为</w:t>
      </w:r>
      <w:r>
        <w:rPr>
          <w:rFonts w:hint="eastAsia" w:ascii="Times New Roman" w:hAnsi="Times New Roman" w:eastAsia="方正仿宋_GBK" w:cs="Times New Roman"/>
          <w:bCs/>
          <w:color w:val="auto"/>
          <w:kern w:val="2"/>
          <w:sz w:val="32"/>
          <w:szCs w:val="32"/>
          <w:highlight w:val="none"/>
          <w:lang w:val="en-US" w:eastAsia="zh-CN" w:bidi="ar-SA"/>
        </w:rPr>
        <w:t>2</w:t>
      </w:r>
      <w:r>
        <w:rPr>
          <w:rFonts w:hint="default" w:ascii="Times New Roman" w:hAnsi="Times New Roman" w:eastAsia="方正仿宋_GBK" w:cs="Times New Roman"/>
          <w:bCs/>
          <w:color w:val="auto"/>
          <w:kern w:val="2"/>
          <w:sz w:val="32"/>
          <w:szCs w:val="32"/>
          <w:highlight w:val="none"/>
          <w:lang w:val="en-US" w:eastAsia="zh-CN" w:bidi="ar-SA"/>
        </w:rPr>
        <w:t>辆、无因公出国（境）团组数及人数，公务接待批次是</w:t>
      </w:r>
      <w:r>
        <w:rPr>
          <w:rFonts w:hint="eastAsia" w:ascii="Times New Roman" w:hAnsi="Times New Roman" w:eastAsia="方正仿宋_GBK" w:cs="Times New Roman"/>
          <w:bCs/>
          <w:color w:val="auto"/>
          <w:kern w:val="2"/>
          <w:sz w:val="32"/>
          <w:szCs w:val="32"/>
          <w:highlight w:val="none"/>
          <w:lang w:val="en-US" w:eastAsia="zh-CN" w:bidi="ar-SA"/>
        </w:rPr>
        <w:t>13</w:t>
      </w:r>
      <w:r>
        <w:rPr>
          <w:rFonts w:hint="default" w:ascii="Times New Roman" w:hAnsi="Times New Roman" w:eastAsia="方正仿宋_GBK" w:cs="Times New Roman"/>
          <w:bCs/>
          <w:color w:val="auto"/>
          <w:kern w:val="2"/>
          <w:sz w:val="32"/>
          <w:szCs w:val="32"/>
          <w:highlight w:val="none"/>
          <w:lang w:val="en-US" w:eastAsia="zh-CN" w:bidi="ar-SA"/>
        </w:rPr>
        <w:t>批，接待人数</w:t>
      </w:r>
      <w:r>
        <w:rPr>
          <w:rFonts w:hint="eastAsia" w:ascii="Times New Roman" w:hAnsi="Times New Roman" w:eastAsia="方正仿宋_GBK" w:cs="Times New Roman"/>
          <w:bCs/>
          <w:color w:val="auto"/>
          <w:kern w:val="2"/>
          <w:sz w:val="32"/>
          <w:szCs w:val="32"/>
          <w:highlight w:val="none"/>
          <w:lang w:val="en-US" w:eastAsia="zh-CN" w:bidi="ar-SA"/>
        </w:rPr>
        <w:t>56</w:t>
      </w:r>
      <w:r>
        <w:rPr>
          <w:rFonts w:hint="default" w:ascii="Times New Roman" w:hAnsi="Times New Roman" w:eastAsia="方正仿宋_GBK" w:cs="Times New Roman"/>
          <w:bCs/>
          <w:color w:val="auto"/>
          <w:kern w:val="2"/>
          <w:sz w:val="32"/>
          <w:szCs w:val="32"/>
          <w:highlight w:val="none"/>
          <w:lang w:val="en-US" w:eastAsia="zh-CN" w:bidi="ar-SA"/>
        </w:rPr>
        <w:t>人</w:t>
      </w:r>
      <w:r>
        <w:rPr>
          <w:rFonts w:hint="eastAsia" w:ascii="Times New Roman" w:hAnsi="Times New Roman" w:eastAsia="方正仿宋_GBK" w:cs="Times New Roman"/>
          <w:bCs/>
          <w:color w:val="auto"/>
          <w:kern w:val="2"/>
          <w:sz w:val="32"/>
          <w:szCs w:val="32"/>
          <w:highlight w:val="none"/>
          <w:lang w:val="en-US" w:eastAsia="zh-CN" w:bidi="ar-SA"/>
        </w:rPr>
        <w:t>次</w:t>
      </w:r>
      <w:r>
        <w:rPr>
          <w:rFonts w:hint="eastAsia" w:ascii="Times New Roman" w:hAnsi="Times New Roman" w:eastAsia="方正仿宋_GBK" w:cs="Times New Roman"/>
          <w:bCs/>
          <w:color w:val="auto"/>
          <w:kern w:val="2"/>
          <w:sz w:val="32"/>
          <w:szCs w:val="32"/>
          <w:highlight w:val="none"/>
          <w:lang w:val="zh-CN" w:eastAsia="zh-CN" w:bidi="ar-SA"/>
        </w:rPr>
        <w:t>。部门机关运行经费主要用于</w:t>
      </w:r>
      <w:r>
        <w:rPr>
          <w:rFonts w:hint="eastAsia" w:ascii="Times New Roman" w:hAnsi="Times New Roman" w:eastAsia="方正仿宋_GBK" w:cs="Times New Roman"/>
          <w:bCs/>
          <w:color w:val="auto"/>
          <w:kern w:val="2"/>
          <w:sz w:val="32"/>
          <w:szCs w:val="32"/>
          <w:highlight w:val="none"/>
          <w:lang w:val="en-US" w:eastAsia="zh-CN" w:bidi="ar-SA"/>
        </w:rPr>
        <w:t>办公费88448.66元，工会经费18660.00元，公务用车运行维护费1100.00元，其他交通费168450.00元</w:t>
      </w:r>
      <w:r>
        <w:rPr>
          <w:rFonts w:hint="eastAsia" w:ascii="Times New Roman" w:hAnsi="Times New Roman" w:eastAsia="方正仿宋_GBK" w:cs="Times New Roman"/>
          <w:bCs/>
          <w:color w:val="auto"/>
          <w:kern w:val="2"/>
          <w:sz w:val="32"/>
          <w:szCs w:val="32"/>
          <w:highlight w:val="none"/>
          <w:lang w:val="zh-CN" w:eastAsia="zh-CN" w:bidi="ar-SA"/>
        </w:rPr>
        <w:t>。</w:t>
      </w:r>
    </w:p>
    <w:p w14:paraId="50FDEE0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1"/>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二、国有资产占用情况</w:t>
      </w:r>
    </w:p>
    <w:p w14:paraId="7219AF7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截至2024年末，华宁县工业商贸和科技信息局资产总额</w:t>
      </w:r>
      <w:r>
        <w:rPr>
          <w:rFonts w:hint="eastAsia" w:ascii="Times New Roman" w:hAnsi="Times New Roman" w:eastAsia="方正仿宋_GBK" w:cs="Times New Roman"/>
          <w:bCs/>
          <w:color w:val="auto"/>
          <w:kern w:val="2"/>
          <w:sz w:val="32"/>
          <w:szCs w:val="32"/>
          <w:highlight w:val="none"/>
          <w:lang w:val="en-US" w:eastAsia="zh-CN" w:bidi="ar-SA"/>
        </w:rPr>
        <w:t>2980065.65</w:t>
      </w:r>
      <w:r>
        <w:rPr>
          <w:rFonts w:hint="eastAsia" w:ascii="Times New Roman" w:hAnsi="Times New Roman" w:eastAsia="方正仿宋_GBK" w:cs="Times New Roman"/>
          <w:bCs/>
          <w:color w:val="auto"/>
          <w:kern w:val="2"/>
          <w:sz w:val="32"/>
          <w:szCs w:val="32"/>
          <w:highlight w:val="none"/>
          <w:lang w:val="zh-CN" w:eastAsia="zh-CN" w:bidi="ar-SA"/>
        </w:rPr>
        <w:t>元，其中，流动资产</w:t>
      </w:r>
      <w:r>
        <w:rPr>
          <w:rFonts w:hint="eastAsia" w:ascii="Times New Roman" w:hAnsi="Times New Roman" w:eastAsia="方正仿宋_GBK" w:cs="Times New Roman"/>
          <w:bCs/>
          <w:color w:val="auto"/>
          <w:kern w:val="2"/>
          <w:sz w:val="32"/>
          <w:szCs w:val="32"/>
          <w:highlight w:val="none"/>
          <w:lang w:val="en-US" w:eastAsia="zh-CN" w:bidi="ar-SA"/>
        </w:rPr>
        <w:t>2698632.8</w:t>
      </w:r>
      <w:r>
        <w:rPr>
          <w:rFonts w:hint="eastAsia" w:ascii="Times New Roman" w:hAnsi="Times New Roman" w:eastAsia="方正仿宋_GBK" w:cs="Times New Roman"/>
          <w:bCs/>
          <w:color w:val="auto"/>
          <w:kern w:val="2"/>
          <w:sz w:val="32"/>
          <w:szCs w:val="32"/>
          <w:highlight w:val="none"/>
          <w:lang w:val="zh-CN" w:eastAsia="zh-CN" w:bidi="ar-SA"/>
        </w:rPr>
        <w:t>元，固定资产</w:t>
      </w:r>
      <w:r>
        <w:rPr>
          <w:rFonts w:hint="eastAsia" w:ascii="Times New Roman" w:hAnsi="Times New Roman" w:eastAsia="方正仿宋_GBK" w:cs="Times New Roman"/>
          <w:bCs/>
          <w:color w:val="auto"/>
          <w:kern w:val="2"/>
          <w:sz w:val="32"/>
          <w:szCs w:val="32"/>
          <w:highlight w:val="none"/>
          <w:lang w:val="en-US" w:eastAsia="zh-CN" w:bidi="ar-SA"/>
        </w:rPr>
        <w:t>274008.05</w:t>
      </w:r>
      <w:r>
        <w:rPr>
          <w:rFonts w:hint="eastAsia" w:ascii="Times New Roman" w:hAnsi="Times New Roman" w:eastAsia="方正仿宋_GBK" w:cs="Times New Roman"/>
          <w:bCs/>
          <w:color w:val="auto"/>
          <w:kern w:val="2"/>
          <w:sz w:val="32"/>
          <w:szCs w:val="32"/>
          <w:highlight w:val="none"/>
          <w:lang w:val="zh-CN" w:eastAsia="zh-CN" w:bidi="ar-SA"/>
        </w:rPr>
        <w:t>元（净值），对外投资及有价证券</w:t>
      </w:r>
      <w:r>
        <w:rPr>
          <w:rFonts w:hint="eastAsia" w:ascii="Times New Roman" w:hAnsi="Times New Roman" w:eastAsia="方正仿宋_GBK" w:cs="Times New Roman"/>
          <w:bCs/>
          <w:color w:val="auto"/>
          <w:kern w:val="2"/>
          <w:sz w:val="32"/>
          <w:szCs w:val="32"/>
          <w:highlight w:val="none"/>
          <w:lang w:val="en-US" w:eastAsia="zh-CN" w:bidi="ar-SA"/>
        </w:rPr>
        <w:t>0.00</w:t>
      </w:r>
      <w:r>
        <w:rPr>
          <w:rFonts w:hint="eastAsia" w:ascii="Times New Roman" w:hAnsi="Times New Roman" w:eastAsia="方正仿宋_GBK" w:cs="Times New Roman"/>
          <w:bCs/>
          <w:color w:val="auto"/>
          <w:kern w:val="2"/>
          <w:sz w:val="32"/>
          <w:szCs w:val="32"/>
          <w:highlight w:val="none"/>
          <w:lang w:val="zh-CN" w:eastAsia="zh-CN" w:bidi="ar-SA"/>
        </w:rPr>
        <w:t>元，在建工程</w:t>
      </w:r>
      <w:r>
        <w:rPr>
          <w:rFonts w:hint="eastAsia" w:ascii="Times New Roman" w:hAnsi="Times New Roman" w:eastAsia="方正仿宋_GBK" w:cs="Times New Roman"/>
          <w:bCs/>
          <w:color w:val="auto"/>
          <w:kern w:val="2"/>
          <w:sz w:val="32"/>
          <w:szCs w:val="32"/>
          <w:highlight w:val="none"/>
          <w:lang w:val="en-US" w:eastAsia="zh-CN" w:bidi="ar-SA"/>
        </w:rPr>
        <w:t>0.00</w:t>
      </w:r>
      <w:r>
        <w:rPr>
          <w:rFonts w:hint="eastAsia" w:ascii="Times New Roman" w:hAnsi="Times New Roman" w:eastAsia="方正仿宋_GBK" w:cs="Times New Roman"/>
          <w:bCs/>
          <w:color w:val="auto"/>
          <w:kern w:val="2"/>
          <w:sz w:val="32"/>
          <w:szCs w:val="32"/>
          <w:highlight w:val="none"/>
          <w:lang w:val="zh-CN" w:eastAsia="zh-CN" w:bidi="ar-SA"/>
        </w:rPr>
        <w:t>元，无形资产</w:t>
      </w:r>
      <w:r>
        <w:rPr>
          <w:rFonts w:hint="eastAsia" w:ascii="Times New Roman" w:hAnsi="Times New Roman" w:eastAsia="方正仿宋_GBK" w:cs="Times New Roman"/>
          <w:bCs/>
          <w:color w:val="auto"/>
          <w:kern w:val="2"/>
          <w:sz w:val="32"/>
          <w:szCs w:val="32"/>
          <w:highlight w:val="none"/>
          <w:lang w:val="en-US" w:eastAsia="zh-CN" w:bidi="ar-SA"/>
        </w:rPr>
        <w:t>0.00</w:t>
      </w:r>
      <w:r>
        <w:rPr>
          <w:rFonts w:hint="eastAsia" w:ascii="Times New Roman" w:hAnsi="Times New Roman" w:eastAsia="方正仿宋_GBK" w:cs="Times New Roman"/>
          <w:bCs/>
          <w:color w:val="auto"/>
          <w:kern w:val="2"/>
          <w:sz w:val="32"/>
          <w:szCs w:val="32"/>
          <w:highlight w:val="none"/>
          <w:lang w:val="zh-CN" w:eastAsia="zh-CN" w:bidi="ar-SA"/>
        </w:rPr>
        <w:t>元（净值），其他资产</w:t>
      </w:r>
      <w:r>
        <w:rPr>
          <w:rFonts w:hint="eastAsia" w:ascii="Times New Roman" w:hAnsi="Times New Roman" w:eastAsia="方正仿宋_GBK" w:cs="Times New Roman"/>
          <w:bCs/>
          <w:color w:val="auto"/>
          <w:kern w:val="2"/>
          <w:sz w:val="32"/>
          <w:szCs w:val="32"/>
          <w:highlight w:val="none"/>
          <w:lang w:val="en-US" w:eastAsia="zh-CN" w:bidi="ar-SA"/>
        </w:rPr>
        <w:t>0.00</w:t>
      </w:r>
      <w:r>
        <w:rPr>
          <w:rFonts w:hint="eastAsia" w:ascii="Times New Roman" w:hAnsi="Times New Roman" w:eastAsia="方正仿宋_GBK" w:cs="Times New Roman"/>
          <w:bCs/>
          <w:color w:val="auto"/>
          <w:kern w:val="2"/>
          <w:sz w:val="32"/>
          <w:szCs w:val="32"/>
          <w:highlight w:val="none"/>
          <w:lang w:val="zh-CN" w:eastAsia="zh-CN" w:bidi="ar-SA"/>
        </w:rPr>
        <w:t>元（净值）（具体内容详见附表）。与上年相比，本年资产总额减少</w:t>
      </w:r>
      <w:r>
        <w:rPr>
          <w:rFonts w:hint="eastAsia" w:ascii="Times New Roman" w:hAnsi="Times New Roman" w:eastAsia="方正仿宋_GBK" w:cs="Times New Roman"/>
          <w:bCs/>
          <w:color w:val="auto"/>
          <w:kern w:val="2"/>
          <w:sz w:val="32"/>
          <w:szCs w:val="32"/>
          <w:highlight w:val="none"/>
          <w:lang w:val="en-US" w:eastAsia="zh-CN" w:bidi="ar-SA"/>
        </w:rPr>
        <w:t>77061.54</w:t>
      </w:r>
      <w:r>
        <w:rPr>
          <w:rFonts w:hint="eastAsia" w:ascii="Times New Roman" w:hAnsi="Times New Roman" w:eastAsia="方正仿宋_GBK" w:cs="Times New Roman"/>
          <w:bCs/>
          <w:color w:val="auto"/>
          <w:kern w:val="2"/>
          <w:sz w:val="32"/>
          <w:szCs w:val="32"/>
          <w:highlight w:val="none"/>
          <w:lang w:val="zh-CN" w:eastAsia="zh-CN" w:bidi="ar-SA"/>
        </w:rPr>
        <w:t>元，其中固定资产减少</w:t>
      </w:r>
      <w:r>
        <w:rPr>
          <w:rFonts w:hint="eastAsia" w:ascii="Times New Roman" w:hAnsi="Times New Roman" w:eastAsia="方正仿宋_GBK" w:cs="Times New Roman"/>
          <w:bCs/>
          <w:color w:val="auto"/>
          <w:kern w:val="2"/>
          <w:sz w:val="32"/>
          <w:szCs w:val="32"/>
          <w:highlight w:val="none"/>
          <w:lang w:val="en-US" w:eastAsia="zh-CN" w:bidi="ar-SA"/>
        </w:rPr>
        <w:t>3000.00</w:t>
      </w:r>
      <w:r>
        <w:rPr>
          <w:rFonts w:hint="eastAsia" w:ascii="Times New Roman" w:hAnsi="Times New Roman" w:eastAsia="方正仿宋_GBK" w:cs="Times New Roman"/>
          <w:bCs/>
          <w:color w:val="auto"/>
          <w:kern w:val="2"/>
          <w:sz w:val="32"/>
          <w:szCs w:val="32"/>
          <w:highlight w:val="none"/>
          <w:lang w:val="zh-CN" w:eastAsia="zh-CN" w:bidi="ar-SA"/>
        </w:rPr>
        <w:t>元。处置房屋建筑物</w:t>
      </w:r>
      <w:r>
        <w:rPr>
          <w:rFonts w:hint="eastAsia" w:ascii="Times New Roman" w:hAnsi="Times New Roman" w:eastAsia="方正仿宋_GBK" w:cs="Times New Roman"/>
          <w:bCs/>
          <w:color w:val="auto"/>
          <w:kern w:val="2"/>
          <w:sz w:val="32"/>
          <w:szCs w:val="32"/>
          <w:highlight w:val="none"/>
          <w:lang w:val="en-US" w:eastAsia="zh-CN" w:bidi="ar-SA"/>
        </w:rPr>
        <w:t>0</w:t>
      </w:r>
      <w:r>
        <w:rPr>
          <w:rFonts w:hint="eastAsia" w:ascii="Times New Roman" w:hAnsi="Times New Roman" w:eastAsia="方正仿宋_GBK" w:cs="Times New Roman"/>
          <w:bCs/>
          <w:color w:val="auto"/>
          <w:kern w:val="2"/>
          <w:sz w:val="32"/>
          <w:szCs w:val="32"/>
          <w:highlight w:val="none"/>
          <w:lang w:val="zh-CN" w:eastAsia="zh-CN" w:bidi="ar-SA"/>
        </w:rPr>
        <w:t>平方米，账面原值</w:t>
      </w:r>
      <w:r>
        <w:rPr>
          <w:rFonts w:hint="eastAsia" w:ascii="Times New Roman" w:hAnsi="Times New Roman" w:eastAsia="方正仿宋_GBK" w:cs="Times New Roman"/>
          <w:bCs/>
          <w:color w:val="auto"/>
          <w:kern w:val="2"/>
          <w:sz w:val="32"/>
          <w:szCs w:val="32"/>
          <w:highlight w:val="none"/>
          <w:lang w:val="en-US" w:eastAsia="zh-CN" w:bidi="ar-SA"/>
        </w:rPr>
        <w:t>0.00</w:t>
      </w:r>
      <w:r>
        <w:rPr>
          <w:rFonts w:hint="eastAsia" w:ascii="Times New Roman" w:hAnsi="Times New Roman" w:eastAsia="方正仿宋_GBK" w:cs="Times New Roman"/>
          <w:bCs/>
          <w:color w:val="auto"/>
          <w:kern w:val="2"/>
          <w:sz w:val="32"/>
          <w:szCs w:val="32"/>
          <w:highlight w:val="none"/>
          <w:lang w:val="zh-CN" w:eastAsia="zh-CN" w:bidi="ar-SA"/>
        </w:rPr>
        <w:t>元；处置车辆</w:t>
      </w:r>
      <w:r>
        <w:rPr>
          <w:rFonts w:hint="eastAsia" w:ascii="Times New Roman" w:hAnsi="Times New Roman" w:eastAsia="方正仿宋_GBK" w:cs="Times New Roman"/>
          <w:bCs/>
          <w:color w:val="auto"/>
          <w:kern w:val="2"/>
          <w:sz w:val="32"/>
          <w:szCs w:val="32"/>
          <w:highlight w:val="none"/>
          <w:lang w:val="en-US" w:eastAsia="zh-CN" w:bidi="ar-SA"/>
        </w:rPr>
        <w:t>0</w:t>
      </w:r>
      <w:r>
        <w:rPr>
          <w:rFonts w:hint="eastAsia" w:ascii="Times New Roman" w:hAnsi="Times New Roman" w:eastAsia="方正仿宋_GBK" w:cs="Times New Roman"/>
          <w:bCs/>
          <w:color w:val="auto"/>
          <w:kern w:val="2"/>
          <w:sz w:val="32"/>
          <w:szCs w:val="32"/>
          <w:highlight w:val="none"/>
          <w:lang w:val="zh-CN" w:eastAsia="zh-CN" w:bidi="ar-SA"/>
        </w:rPr>
        <w:t>辆，账面原值</w:t>
      </w:r>
      <w:r>
        <w:rPr>
          <w:rFonts w:hint="eastAsia" w:ascii="Times New Roman" w:hAnsi="Times New Roman" w:eastAsia="方正仿宋_GBK" w:cs="Times New Roman"/>
          <w:bCs/>
          <w:color w:val="auto"/>
          <w:kern w:val="2"/>
          <w:sz w:val="32"/>
          <w:szCs w:val="32"/>
          <w:highlight w:val="none"/>
          <w:lang w:val="en-US" w:eastAsia="zh-CN" w:bidi="ar-SA"/>
        </w:rPr>
        <w:t>0.00</w:t>
      </w:r>
      <w:r>
        <w:rPr>
          <w:rFonts w:hint="eastAsia" w:ascii="Times New Roman" w:hAnsi="Times New Roman" w:eastAsia="方正仿宋_GBK" w:cs="Times New Roman"/>
          <w:bCs/>
          <w:color w:val="auto"/>
          <w:kern w:val="2"/>
          <w:sz w:val="32"/>
          <w:szCs w:val="32"/>
          <w:highlight w:val="none"/>
          <w:lang w:val="zh-CN" w:eastAsia="zh-CN" w:bidi="ar-SA"/>
        </w:rPr>
        <w:t>元；报废报损资产</w:t>
      </w:r>
      <w:r>
        <w:rPr>
          <w:rFonts w:hint="eastAsia" w:ascii="Times New Roman" w:hAnsi="Times New Roman" w:eastAsia="方正仿宋_GBK" w:cs="Times New Roman"/>
          <w:bCs/>
          <w:color w:val="auto"/>
          <w:kern w:val="2"/>
          <w:sz w:val="32"/>
          <w:szCs w:val="32"/>
          <w:highlight w:val="none"/>
          <w:lang w:val="en-US" w:eastAsia="zh-CN" w:bidi="ar-SA"/>
        </w:rPr>
        <w:t>1</w:t>
      </w:r>
      <w:r>
        <w:rPr>
          <w:rFonts w:hint="eastAsia" w:ascii="Times New Roman" w:hAnsi="Times New Roman" w:eastAsia="方正仿宋_GBK" w:cs="Times New Roman"/>
          <w:bCs/>
          <w:color w:val="auto"/>
          <w:kern w:val="2"/>
          <w:sz w:val="32"/>
          <w:szCs w:val="32"/>
          <w:highlight w:val="none"/>
          <w:lang w:val="zh-CN" w:eastAsia="zh-CN" w:bidi="ar-SA"/>
        </w:rPr>
        <w:t>项，账面原值</w:t>
      </w:r>
      <w:r>
        <w:rPr>
          <w:rFonts w:hint="eastAsia" w:ascii="Times New Roman" w:hAnsi="Times New Roman" w:eastAsia="方正仿宋_GBK" w:cs="Times New Roman"/>
          <w:bCs/>
          <w:color w:val="auto"/>
          <w:kern w:val="2"/>
          <w:sz w:val="32"/>
          <w:szCs w:val="32"/>
          <w:highlight w:val="none"/>
          <w:lang w:val="en-US" w:eastAsia="zh-CN" w:bidi="ar-SA"/>
        </w:rPr>
        <w:t>22</w:t>
      </w:r>
      <w:r>
        <w:rPr>
          <w:rFonts w:hint="default" w:ascii="Times New Roman" w:hAnsi="Times New Roman" w:eastAsia="方正仿宋_GBK" w:cs="Times New Roman"/>
          <w:bCs/>
          <w:color w:val="auto"/>
          <w:kern w:val="2"/>
          <w:sz w:val="32"/>
          <w:szCs w:val="32"/>
          <w:highlight w:val="none"/>
          <w:lang w:val="en-US" w:eastAsia="zh-CN" w:bidi="ar-SA"/>
        </w:rPr>
        <w:t>,</w:t>
      </w:r>
      <w:r>
        <w:rPr>
          <w:rFonts w:hint="eastAsia" w:ascii="Times New Roman" w:hAnsi="Times New Roman" w:eastAsia="方正仿宋_GBK" w:cs="Times New Roman"/>
          <w:bCs/>
          <w:color w:val="auto"/>
          <w:kern w:val="2"/>
          <w:sz w:val="32"/>
          <w:szCs w:val="32"/>
          <w:highlight w:val="none"/>
          <w:lang w:val="en-US" w:eastAsia="zh-CN" w:bidi="ar-SA"/>
        </w:rPr>
        <w:t>500.00</w:t>
      </w:r>
      <w:r>
        <w:rPr>
          <w:rFonts w:hint="eastAsia" w:ascii="Times New Roman" w:hAnsi="Times New Roman" w:eastAsia="方正仿宋_GBK" w:cs="Times New Roman"/>
          <w:bCs/>
          <w:color w:val="auto"/>
          <w:kern w:val="2"/>
          <w:sz w:val="32"/>
          <w:szCs w:val="32"/>
          <w:highlight w:val="none"/>
          <w:lang w:val="zh-CN" w:eastAsia="zh-CN" w:bidi="ar-SA"/>
        </w:rPr>
        <w:t>元，实现资产处置收入</w:t>
      </w:r>
      <w:r>
        <w:rPr>
          <w:rFonts w:hint="eastAsia" w:ascii="Times New Roman" w:hAnsi="Times New Roman" w:eastAsia="方正仿宋_GBK" w:cs="Times New Roman"/>
          <w:bCs/>
          <w:color w:val="auto"/>
          <w:kern w:val="2"/>
          <w:sz w:val="32"/>
          <w:szCs w:val="32"/>
          <w:highlight w:val="none"/>
          <w:lang w:val="en-US" w:eastAsia="zh-CN" w:bidi="ar-SA"/>
        </w:rPr>
        <w:t>0.00</w:t>
      </w:r>
      <w:r>
        <w:rPr>
          <w:rFonts w:hint="eastAsia" w:ascii="Times New Roman" w:hAnsi="Times New Roman" w:eastAsia="方正仿宋_GBK" w:cs="Times New Roman"/>
          <w:bCs/>
          <w:color w:val="auto"/>
          <w:kern w:val="2"/>
          <w:sz w:val="32"/>
          <w:szCs w:val="32"/>
          <w:highlight w:val="none"/>
          <w:lang w:val="zh-CN" w:eastAsia="zh-CN" w:bidi="ar-SA"/>
        </w:rPr>
        <w:t>元；出租房屋</w:t>
      </w:r>
      <w:r>
        <w:rPr>
          <w:rFonts w:hint="eastAsia" w:ascii="Times New Roman" w:hAnsi="Times New Roman" w:eastAsia="方正仿宋_GBK" w:cs="Times New Roman"/>
          <w:bCs/>
          <w:color w:val="auto"/>
          <w:kern w:val="2"/>
          <w:sz w:val="32"/>
          <w:szCs w:val="32"/>
          <w:highlight w:val="none"/>
          <w:lang w:val="en-US" w:eastAsia="zh-CN" w:bidi="ar-SA"/>
        </w:rPr>
        <w:t>95</w:t>
      </w:r>
      <w:r>
        <w:rPr>
          <w:rFonts w:hint="eastAsia" w:ascii="Times New Roman" w:hAnsi="Times New Roman" w:eastAsia="方正仿宋_GBK" w:cs="Times New Roman"/>
          <w:bCs/>
          <w:color w:val="auto"/>
          <w:kern w:val="2"/>
          <w:sz w:val="32"/>
          <w:szCs w:val="32"/>
          <w:highlight w:val="none"/>
          <w:lang w:val="zh-CN" w:eastAsia="zh-CN" w:bidi="ar-SA"/>
        </w:rPr>
        <w:t>平方米，账面原值71627</w:t>
      </w:r>
      <w:r>
        <w:rPr>
          <w:rFonts w:hint="eastAsia" w:ascii="Times New Roman" w:hAnsi="Times New Roman" w:eastAsia="方正仿宋_GBK" w:cs="Times New Roman"/>
          <w:bCs/>
          <w:color w:val="auto"/>
          <w:kern w:val="2"/>
          <w:sz w:val="32"/>
          <w:szCs w:val="32"/>
          <w:highlight w:val="none"/>
          <w:lang w:val="en-US" w:eastAsia="zh-CN" w:bidi="ar-SA"/>
        </w:rPr>
        <w:t>.00</w:t>
      </w:r>
      <w:r>
        <w:rPr>
          <w:rFonts w:hint="eastAsia" w:ascii="Times New Roman" w:hAnsi="Times New Roman" w:eastAsia="方正仿宋_GBK" w:cs="Times New Roman"/>
          <w:bCs/>
          <w:color w:val="auto"/>
          <w:kern w:val="2"/>
          <w:sz w:val="32"/>
          <w:szCs w:val="32"/>
          <w:highlight w:val="none"/>
          <w:lang w:val="zh-CN" w:eastAsia="zh-CN" w:bidi="ar-SA"/>
        </w:rPr>
        <w:t>元，实现资产使用收入</w:t>
      </w:r>
      <w:r>
        <w:rPr>
          <w:rFonts w:hint="eastAsia" w:ascii="Times New Roman" w:hAnsi="Times New Roman" w:eastAsia="方正仿宋_GBK" w:cs="Times New Roman"/>
          <w:bCs/>
          <w:color w:val="auto"/>
          <w:kern w:val="2"/>
          <w:sz w:val="32"/>
          <w:szCs w:val="32"/>
          <w:highlight w:val="none"/>
          <w:lang w:val="en-US" w:eastAsia="zh-CN" w:bidi="ar-SA"/>
        </w:rPr>
        <w:t>10434.41</w:t>
      </w:r>
      <w:r>
        <w:rPr>
          <w:rFonts w:hint="eastAsia" w:ascii="Times New Roman" w:hAnsi="Times New Roman" w:eastAsia="方正仿宋_GBK" w:cs="Times New Roman"/>
          <w:bCs/>
          <w:color w:val="auto"/>
          <w:kern w:val="2"/>
          <w:sz w:val="32"/>
          <w:szCs w:val="32"/>
          <w:highlight w:val="none"/>
          <w:lang w:val="zh-CN" w:eastAsia="zh-CN" w:bidi="ar-SA"/>
        </w:rPr>
        <w:t>元。</w:t>
      </w:r>
    </w:p>
    <w:p w14:paraId="1728E4E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zh-CN" w:eastAsia="zh-CN" w:bidi="ar-SA"/>
        </w:rPr>
      </w:pPr>
      <w:r>
        <w:rPr>
          <w:rFonts w:hint="eastAsia" w:ascii="Times New Roman" w:hAnsi="Times New Roman" w:eastAsia="方正仿宋_GBK" w:cs="Times New Roman"/>
          <w:bCs/>
          <w:color w:val="auto"/>
          <w:kern w:val="2"/>
          <w:sz w:val="32"/>
          <w:szCs w:val="32"/>
          <w:highlight w:val="none"/>
          <w:lang w:val="zh-CN" w:eastAsia="zh-CN" w:bidi="ar-SA"/>
        </w:rPr>
        <w:t>（国有资产占有使用情况表详见附表）</w:t>
      </w:r>
    </w:p>
    <w:tbl>
      <w:tblPr>
        <w:tblStyle w:val="6"/>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2B88F128">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2916697E">
            <w:pPr>
              <w:keepNext w:val="0"/>
              <w:keepLines w:val="0"/>
              <w:pageBreakBefore w:val="0"/>
              <w:widowControl/>
              <w:kinsoku/>
              <w:overflowPunct/>
              <w:topLinePunct w:val="0"/>
              <w:bidi w:val="0"/>
              <w:spacing w:line="590" w:lineRule="exact"/>
              <w:jc w:val="left"/>
              <w:textAlignment w:val="auto"/>
              <w:rPr>
                <w:rFonts w:ascii="宋体" w:hAnsi="宋体" w:cs="宋体"/>
                <w:color w:val="auto"/>
                <w:kern w:val="0"/>
                <w:sz w:val="17"/>
                <w:szCs w:val="17"/>
                <w:highlight w:val="none"/>
              </w:rPr>
            </w:pPr>
          </w:p>
        </w:tc>
      </w:tr>
      <w:tr w14:paraId="0F9B6286">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79BB2E58">
            <w:pPr>
              <w:keepNext w:val="0"/>
              <w:keepLines w:val="0"/>
              <w:pageBreakBefore w:val="0"/>
              <w:widowControl/>
              <w:kinsoku/>
              <w:overflowPunct/>
              <w:topLinePunct w:val="0"/>
              <w:bidi w:val="0"/>
              <w:spacing w:line="590" w:lineRule="exact"/>
              <w:jc w:val="left"/>
              <w:textAlignment w:val="auto"/>
              <w:rPr>
                <w:rFonts w:ascii="宋体" w:hAnsi="宋体" w:cs="宋体"/>
                <w:color w:val="auto"/>
                <w:kern w:val="0"/>
                <w:sz w:val="17"/>
                <w:szCs w:val="17"/>
                <w:highlight w:val="none"/>
              </w:rPr>
            </w:pPr>
          </w:p>
        </w:tc>
      </w:tr>
      <w:tr w14:paraId="03910EC6">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47D29049">
            <w:pPr>
              <w:keepNext w:val="0"/>
              <w:keepLines w:val="0"/>
              <w:pageBreakBefore w:val="0"/>
              <w:widowControl/>
              <w:kinsoku/>
              <w:overflowPunct/>
              <w:topLinePunct w:val="0"/>
              <w:bidi w:val="0"/>
              <w:spacing w:line="590" w:lineRule="exact"/>
              <w:jc w:val="left"/>
              <w:textAlignment w:val="auto"/>
              <w:rPr>
                <w:rFonts w:ascii="宋体" w:hAnsi="宋体" w:cs="宋体"/>
                <w:color w:val="auto"/>
                <w:kern w:val="0"/>
                <w:sz w:val="17"/>
                <w:szCs w:val="17"/>
                <w:highlight w:val="none"/>
              </w:rPr>
            </w:pPr>
          </w:p>
        </w:tc>
      </w:tr>
      <w:tr w14:paraId="1878F993">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0C890235">
            <w:pPr>
              <w:keepNext w:val="0"/>
              <w:keepLines w:val="0"/>
              <w:pageBreakBefore w:val="0"/>
              <w:widowControl/>
              <w:kinsoku/>
              <w:overflowPunct/>
              <w:topLinePunct w:val="0"/>
              <w:bidi w:val="0"/>
              <w:spacing w:line="590" w:lineRule="exact"/>
              <w:jc w:val="left"/>
              <w:textAlignment w:val="auto"/>
              <w:rPr>
                <w:rFonts w:ascii="宋体" w:hAnsi="宋体" w:cs="宋体"/>
                <w:color w:val="auto"/>
                <w:kern w:val="0"/>
                <w:sz w:val="17"/>
                <w:szCs w:val="17"/>
                <w:highlight w:val="none"/>
              </w:rPr>
            </w:pPr>
          </w:p>
        </w:tc>
      </w:tr>
      <w:tr w14:paraId="5E3F227B">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0D180CAF">
            <w:pPr>
              <w:keepNext w:val="0"/>
              <w:keepLines w:val="0"/>
              <w:pageBreakBefore w:val="0"/>
              <w:widowControl/>
              <w:kinsoku/>
              <w:overflowPunct/>
              <w:topLinePunct w:val="0"/>
              <w:bidi w:val="0"/>
              <w:spacing w:line="590" w:lineRule="exact"/>
              <w:jc w:val="left"/>
              <w:textAlignment w:val="auto"/>
              <w:rPr>
                <w:rFonts w:ascii="宋体" w:hAnsi="宋体" w:cs="宋体"/>
                <w:color w:val="auto"/>
                <w:kern w:val="0"/>
                <w:sz w:val="17"/>
                <w:szCs w:val="17"/>
                <w:highlight w:val="none"/>
              </w:rPr>
            </w:pPr>
          </w:p>
        </w:tc>
      </w:tr>
      <w:tr w14:paraId="0AD36490">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000C7376">
            <w:pPr>
              <w:keepNext w:val="0"/>
              <w:keepLines w:val="0"/>
              <w:pageBreakBefore w:val="0"/>
              <w:widowControl/>
              <w:kinsoku/>
              <w:overflowPunct/>
              <w:topLinePunct w:val="0"/>
              <w:bidi w:val="0"/>
              <w:spacing w:line="590" w:lineRule="exact"/>
              <w:jc w:val="left"/>
              <w:textAlignment w:val="auto"/>
              <w:rPr>
                <w:rFonts w:ascii="宋体" w:hAnsi="宋体" w:cs="宋体"/>
                <w:color w:val="auto"/>
                <w:kern w:val="0"/>
                <w:sz w:val="17"/>
                <w:szCs w:val="17"/>
                <w:highlight w:val="none"/>
              </w:rPr>
            </w:pPr>
          </w:p>
        </w:tc>
      </w:tr>
      <w:tr w14:paraId="3729C282">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4526A4D7">
            <w:pPr>
              <w:keepNext w:val="0"/>
              <w:keepLines w:val="0"/>
              <w:pageBreakBefore w:val="0"/>
              <w:widowControl/>
              <w:kinsoku/>
              <w:overflowPunct/>
              <w:topLinePunct w:val="0"/>
              <w:bidi w:val="0"/>
              <w:spacing w:line="590" w:lineRule="exact"/>
              <w:jc w:val="left"/>
              <w:textAlignment w:val="auto"/>
              <w:rPr>
                <w:rFonts w:ascii="宋体" w:hAnsi="宋体" w:cs="宋体"/>
                <w:color w:val="auto"/>
                <w:kern w:val="0"/>
                <w:sz w:val="17"/>
                <w:szCs w:val="17"/>
                <w:highlight w:val="none"/>
              </w:rPr>
            </w:pPr>
          </w:p>
        </w:tc>
      </w:tr>
      <w:tr w14:paraId="23DE3D83">
        <w:tblPrEx>
          <w:tblCellMar>
            <w:top w:w="0" w:type="dxa"/>
            <w:left w:w="0" w:type="dxa"/>
            <w:bottom w:w="0" w:type="dxa"/>
            <w:right w:w="0" w:type="dxa"/>
          </w:tblCellMar>
        </w:tblPrEx>
        <w:trPr>
          <w:trHeight w:val="495" w:hRule="atLeast"/>
        </w:trPr>
        <w:tc>
          <w:tcPr>
            <w:tcW w:w="142" w:type="dxa"/>
            <w:noWrap w:val="0"/>
            <w:vAlign w:val="center"/>
          </w:tcPr>
          <w:p w14:paraId="0C6D494A">
            <w:pPr>
              <w:keepNext w:val="0"/>
              <w:keepLines w:val="0"/>
              <w:pageBreakBefore w:val="0"/>
              <w:widowControl/>
              <w:kinsoku/>
              <w:overflowPunct/>
              <w:topLinePunct w:val="0"/>
              <w:bidi w:val="0"/>
              <w:spacing w:line="590" w:lineRule="exact"/>
              <w:jc w:val="left"/>
              <w:textAlignment w:val="auto"/>
              <w:rPr>
                <w:rFonts w:ascii="Times New Roman" w:hAnsi="Times New Roman" w:eastAsia="Times New Roman"/>
                <w:color w:val="auto"/>
                <w:kern w:val="0"/>
                <w:sz w:val="20"/>
                <w:szCs w:val="20"/>
                <w:highlight w:val="none"/>
              </w:rPr>
            </w:pPr>
          </w:p>
        </w:tc>
      </w:tr>
    </w:tbl>
    <w:p w14:paraId="493527A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1"/>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三、政府采购支出情况</w:t>
      </w:r>
    </w:p>
    <w:p w14:paraId="6B95DE0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2024年度，部门政府采购支出总额</w:t>
      </w:r>
      <w:r>
        <w:rPr>
          <w:rFonts w:hint="eastAsia" w:ascii="Times New Roman" w:hAnsi="Times New Roman" w:eastAsia="方正仿宋_GBK" w:cs="Times New Roman"/>
          <w:bCs/>
          <w:color w:val="auto"/>
          <w:kern w:val="2"/>
          <w:sz w:val="32"/>
          <w:szCs w:val="32"/>
          <w:highlight w:val="none"/>
          <w:lang w:val="zh-CN" w:eastAsia="zh-CN" w:bidi="ar-SA"/>
        </w:rPr>
        <w:t>5000.00</w:t>
      </w:r>
      <w:r>
        <w:rPr>
          <w:rFonts w:hint="eastAsia" w:ascii="Times New Roman" w:hAnsi="Times New Roman" w:eastAsia="方正仿宋_GBK" w:cs="Times New Roman"/>
          <w:bCs/>
          <w:color w:val="auto"/>
          <w:kern w:val="2"/>
          <w:sz w:val="32"/>
          <w:szCs w:val="32"/>
          <w:highlight w:val="none"/>
          <w:lang w:val="en-US" w:eastAsia="zh-CN" w:bidi="ar-SA"/>
        </w:rPr>
        <w:t>元，其中：政府采购货物支出</w:t>
      </w:r>
      <w:r>
        <w:rPr>
          <w:rFonts w:hint="eastAsia" w:ascii="Times New Roman" w:hAnsi="Times New Roman" w:eastAsia="方正仿宋_GBK" w:cs="Times New Roman"/>
          <w:bCs/>
          <w:color w:val="auto"/>
          <w:kern w:val="2"/>
          <w:sz w:val="32"/>
          <w:szCs w:val="32"/>
          <w:highlight w:val="none"/>
          <w:lang w:val="zh-CN" w:eastAsia="zh-CN" w:bidi="ar-SA"/>
        </w:rPr>
        <w:t>5000.00</w:t>
      </w:r>
      <w:r>
        <w:rPr>
          <w:rFonts w:hint="eastAsia" w:ascii="Times New Roman" w:hAnsi="Times New Roman" w:eastAsia="方正仿宋_GBK" w:cs="Times New Roman"/>
          <w:bCs/>
          <w:color w:val="auto"/>
          <w:kern w:val="2"/>
          <w:sz w:val="32"/>
          <w:szCs w:val="32"/>
          <w:highlight w:val="none"/>
          <w:lang w:val="en-US" w:eastAsia="zh-CN" w:bidi="ar-SA"/>
        </w:rPr>
        <w:t>元；政府采购工程支出</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元；政府采购服务支出</w:t>
      </w:r>
      <w:r>
        <w:rPr>
          <w:rFonts w:hint="eastAsia" w:ascii="Times New Roman" w:hAnsi="Times New Roman" w:eastAsia="方正仿宋_GBK" w:cs="Times New Roman"/>
          <w:bCs/>
          <w:color w:val="auto"/>
          <w:kern w:val="2"/>
          <w:sz w:val="32"/>
          <w:szCs w:val="32"/>
          <w:highlight w:val="none"/>
          <w:lang w:val="zh-CN" w:eastAsia="zh-CN" w:bidi="ar-SA"/>
        </w:rPr>
        <w:t>0.00</w:t>
      </w:r>
      <w:r>
        <w:rPr>
          <w:rFonts w:hint="eastAsia" w:ascii="Times New Roman" w:hAnsi="Times New Roman" w:eastAsia="方正仿宋_GBK" w:cs="Times New Roman"/>
          <w:bCs/>
          <w:color w:val="auto"/>
          <w:kern w:val="2"/>
          <w:sz w:val="32"/>
          <w:szCs w:val="32"/>
          <w:highlight w:val="none"/>
          <w:lang w:val="en-US" w:eastAsia="zh-CN" w:bidi="ar-SA"/>
        </w:rPr>
        <w:t>元。授予中小企业合同金额</w:t>
      </w:r>
      <w:r>
        <w:rPr>
          <w:rFonts w:hint="eastAsia" w:ascii="Times New Roman" w:hAnsi="Times New Roman" w:eastAsia="方正仿宋_GBK" w:cs="Times New Roman"/>
          <w:bCs/>
          <w:color w:val="auto"/>
          <w:kern w:val="2"/>
          <w:sz w:val="32"/>
          <w:szCs w:val="32"/>
          <w:highlight w:val="none"/>
          <w:lang w:val="zh-CN" w:eastAsia="zh-CN" w:bidi="ar-SA"/>
        </w:rPr>
        <w:t>5000.00</w:t>
      </w:r>
      <w:r>
        <w:rPr>
          <w:rFonts w:hint="eastAsia" w:ascii="Times New Roman" w:hAnsi="Times New Roman" w:eastAsia="方正仿宋_GBK" w:cs="Times New Roman"/>
          <w:bCs/>
          <w:color w:val="auto"/>
          <w:kern w:val="2"/>
          <w:sz w:val="32"/>
          <w:szCs w:val="32"/>
          <w:highlight w:val="none"/>
          <w:lang w:val="en-US" w:eastAsia="zh-CN" w:bidi="ar-SA"/>
        </w:rPr>
        <w:t>元，其中：授予小微企业合同金额</w:t>
      </w:r>
      <w:r>
        <w:rPr>
          <w:rFonts w:hint="eastAsia" w:ascii="Times New Roman" w:hAnsi="Times New Roman" w:eastAsia="方正仿宋_GBK" w:cs="Times New Roman"/>
          <w:bCs/>
          <w:color w:val="auto"/>
          <w:kern w:val="2"/>
          <w:sz w:val="32"/>
          <w:szCs w:val="32"/>
          <w:highlight w:val="none"/>
          <w:lang w:val="zh-CN" w:eastAsia="zh-CN" w:bidi="ar-SA"/>
        </w:rPr>
        <w:t>5000.00</w:t>
      </w:r>
      <w:r>
        <w:rPr>
          <w:rFonts w:hint="eastAsia" w:ascii="Times New Roman" w:hAnsi="Times New Roman" w:eastAsia="方正仿宋_GBK" w:cs="Times New Roman"/>
          <w:bCs/>
          <w:color w:val="auto"/>
          <w:kern w:val="2"/>
          <w:sz w:val="32"/>
          <w:szCs w:val="32"/>
          <w:highlight w:val="none"/>
          <w:lang w:val="en-US" w:eastAsia="zh-CN" w:bidi="ar-SA"/>
        </w:rPr>
        <w:t>元。</w:t>
      </w:r>
    </w:p>
    <w:p w14:paraId="5C76FB6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1"/>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四、部门绩效自评情况</w:t>
      </w:r>
    </w:p>
    <w:p w14:paraId="05C63DD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部门绩效自评情况详见附表。</w:t>
      </w:r>
    </w:p>
    <w:p w14:paraId="5CACC4C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1"/>
        <w:rPr>
          <w:rFonts w:hint="eastAsia" w:ascii="黑体" w:hAnsi="黑体" w:eastAsia="黑体" w:cs="黑体"/>
          <w:color w:val="auto"/>
          <w:sz w:val="30"/>
          <w:szCs w:val="30"/>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五、其他重要事项情况说明</w:t>
      </w:r>
    </w:p>
    <w:p w14:paraId="04E2275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无。</w:t>
      </w:r>
    </w:p>
    <w:p w14:paraId="104A7EB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1"/>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六、相关口径说明</w:t>
      </w:r>
    </w:p>
    <w:p w14:paraId="0DC433E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（一）基本支出中人员经费包括工资福利支出和对个人和家庭的补助，公用经费包括商品和服务支出、资本性支出等人员经费以外的支出。</w:t>
      </w:r>
    </w:p>
    <w:p w14:paraId="62DA241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（二）机关运行经费指行政单位和参照公务员法管理的事业单位使用一般公共预算财政拨款安排的基本支出中的公用经费支出。</w:t>
      </w:r>
    </w:p>
    <w:p w14:paraId="74CC74B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42F489C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14:paraId="50732C6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1"/>
        <w:rPr>
          <w:rFonts w:hint="eastAsia" w:ascii="方正黑体_GBK" w:hAnsi="方正黑体_GBK" w:eastAsia="方正黑体_GBK" w:cs="方正黑体_GBK"/>
          <w:color w:val="auto"/>
          <w:sz w:val="32"/>
          <w:szCs w:val="32"/>
          <w:highlight w:val="none"/>
          <w:lang w:val="en-US" w:eastAsia="zh-CN"/>
        </w:rPr>
      </w:pPr>
    </w:p>
    <w:p w14:paraId="4434BC6E">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1"/>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第五部分  名词解释</w:t>
      </w:r>
    </w:p>
    <w:p w14:paraId="50634EB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kern w:val="2"/>
          <w:sz w:val="32"/>
          <w:szCs w:val="32"/>
          <w:highlight w:val="none"/>
          <w:lang w:val="en-US" w:eastAsia="zh-CN" w:bidi="ar-SA"/>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20AF94CC">
      <w:pPr>
        <w:keepNext w:val="0"/>
        <w:keepLines w:val="0"/>
        <w:pageBreakBefore w:val="0"/>
        <w:kinsoku/>
        <w:overflowPunct/>
        <w:topLinePunct w:val="0"/>
        <w:bidi w:val="0"/>
        <w:spacing w:line="590" w:lineRule="exact"/>
        <w:textAlignment w:val="auto"/>
        <w:rPr>
          <w:color w:val="auto"/>
        </w:rPr>
      </w:pPr>
    </w:p>
    <w:p w14:paraId="0575D9D5">
      <w:pPr>
        <w:keepNext w:val="0"/>
        <w:keepLines w:val="0"/>
        <w:pageBreakBefore w:val="0"/>
        <w:kinsoku/>
        <w:overflowPunct/>
        <w:topLinePunct w:val="0"/>
        <w:bidi w:val="0"/>
        <w:spacing w:line="590" w:lineRule="exact"/>
        <w:textAlignment w:val="auto"/>
        <w:rPr>
          <w:rFonts w:ascii="Arial" w:hAnsi="Arial" w:eastAsia="Arial" w:cs="Arial"/>
          <w:b/>
          <w:color w:val="auto"/>
          <w:sz w:val="36"/>
        </w:rPr>
      </w:pPr>
      <w:r>
        <w:rPr>
          <w:rFonts w:ascii="Arial" w:hAnsi="Arial" w:eastAsia="Arial" w:cs="Arial"/>
          <w:b/>
          <w:color w:val="auto"/>
          <w:sz w:val="36"/>
        </w:rPr>
        <w:t>监督索引号53042400347701111</w:t>
      </w:r>
    </w:p>
    <w:sectPr>
      <w:headerReference r:id="rId3" w:type="default"/>
      <w:footerReference r:id="rId4" w:type="default"/>
      <w:footerReference r:id="rId5" w:type="even"/>
      <w:pgSz w:w="11906" w:h="16838"/>
      <w:pgMar w:top="2041" w:right="1474" w:bottom="130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阳光吾坚体">
    <w:panose1 w:val="01010100010101010101"/>
    <w:charset w:val="00"/>
    <w:family w:val="auto"/>
    <w:pitch w:val="default"/>
    <w:sig w:usb0="80000003" w:usb1="00010000" w:usb2="00000040" w:usb3="00000000" w:csb0="00000001" w:csb1="00000000"/>
  </w:font>
  <w:font w:name="国标黑体-GB/T 2312">
    <w:panose1 w:val="020005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等线 Light">
    <w:panose1 w:val="02010600030101010101"/>
    <w:charset w:val="86"/>
    <w:family w:val="auto"/>
    <w:pitch w:val="default"/>
    <w:sig w:usb0="A00002BF" w:usb1="38CF7CFA" w:usb2="00000016" w:usb3="00000000" w:csb0="0004000F" w:csb1="00000000"/>
  </w:font>
  <w:font w:name="方正粗黑宋简体">
    <w:panose1 w:val="02000000000000000000"/>
    <w:charset w:val="86"/>
    <w:family w:val="auto"/>
    <w:pitch w:val="default"/>
    <w:sig w:usb0="A00002BF" w:usb1="184F6CFA" w:usb2="00000012" w:usb3="00000000" w:csb0="00040001" w:csb1="00000000"/>
  </w:font>
  <w:font w:name="国标宋体">
    <w:panose1 w:val="02000500000000000000"/>
    <w:charset w:val="86"/>
    <w:family w:val="auto"/>
    <w:pitch w:val="default"/>
    <w:sig w:usb0="00000001" w:usb1="2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6D6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9D615B">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3B9D615B">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3EF5">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2FED64C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026B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E35645"/>
    <w:rsid w:val="09F40E4E"/>
    <w:rsid w:val="14BF657B"/>
    <w:rsid w:val="453C2005"/>
    <w:rsid w:val="4B5F5146"/>
    <w:rsid w:val="575E405D"/>
    <w:rsid w:val="6FA7439C"/>
    <w:rsid w:val="7B694BFB"/>
    <w:rsid w:val="7E0173BE"/>
    <w:rsid w:val="D6BF2007"/>
    <w:rsid w:val="DF82A50E"/>
    <w:rsid w:val="F7FB7F7E"/>
    <w:rsid w:val="F9EF04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hAnsi="Times New Roman" w:eastAsia="仿宋_GB2312" w:cs="仿宋_GB2312"/>
      <w:kern w:val="0"/>
    </w:r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03a81-cd2e-47f4-90ee-414253b7c5f7}">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6888</Words>
  <Characters>8254</Characters>
  <Lines>0</Lines>
  <Paragraphs>0</Paragraphs>
  <TotalTime>11</TotalTime>
  <ScaleCrop>false</ScaleCrop>
  <LinksUpToDate>false</LinksUpToDate>
  <CharactersWithSpaces>8275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2025-06-26T09:23:00Z</dcterms:created>
  <dc:creator>jq</dc:creator>
  <cp:lastModifiedBy>柳思榕</cp:lastModifiedBy>
  <dcterms:modified xsi:type="dcterms:W3CDTF">2025-09-17T16:47:03Z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A53E14290BB44F9CB2BC6377F49A0034_12</vt:lpwstr>
  </property>
  <property fmtid="{D5CDD505-2E9C-101B-9397-08002B2CF9AE}" pid="3" name="KSOProductBuildVer">
    <vt:lpwstr>2052-12.8.2.1119</vt:lpwstr>
  </property>
  <property fmtid="{D5CDD505-2E9C-101B-9397-08002B2CF9AE}" pid="4" name="KSOTemplateDocerSaveRecord">
    <vt:lpwstr>eyJoZGlkIjoiNWMxZDkxZDU2ODFhMzVkN2ZjNzdhODFlOThkMTdmMDEiLCJ1c2VySWQiOiIxMTQ0NTA3MzQ5In0=</vt:lpwstr>
  </property>
</Properties>
</file>