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94D3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Segoe UI Emoji" w:cs="Times New Roman"/>
          <w:i w:val="0"/>
          <w:iCs w:val="0"/>
          <w:caps w:val="0"/>
          <w:color w:val="1F2329"/>
          <w:spacing w:val="0"/>
          <w:kern w:val="0"/>
          <w:sz w:val="24"/>
          <w:szCs w:val="24"/>
          <w:shd w:val="clear" w:fill="FFFFFF"/>
          <w:lang w:val="en-US" w:eastAsia="zh-CN" w:bidi="ar"/>
        </w:rPr>
      </w:pPr>
      <w:r>
        <w:rPr>
          <w:rFonts w:hint="default" w:ascii="Times New Roman" w:hAnsi="Times New Roman" w:eastAsia="方正小标宋_GBK" w:cs="Times New Roman"/>
          <w:i w:val="0"/>
          <w:iCs w:val="0"/>
          <w:caps w:val="0"/>
          <w:color w:val="1F2329"/>
          <w:spacing w:val="0"/>
          <w:kern w:val="0"/>
          <w:sz w:val="44"/>
          <w:szCs w:val="44"/>
          <w:shd w:val="clear" w:fill="FFFFFF"/>
          <w:lang w:val="en-US" w:eastAsia="zh-CN" w:bidi="ar"/>
        </w:rPr>
        <w:t>华宁县农业农村局2025年法治政府建设年度报告</w:t>
      </w:r>
    </w:p>
    <w:p w14:paraId="07B233D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2025年，在县委、县政府的坚强领导下，在县人大及上级有关部门的监督指导下，华宁县农业农村局坚持以习近平新时代中国特色社会主义思想为指导，深入贯彻习近平法治思想，严格落实《华宁县2025年法治政府建设工作要点》</w:t>
      </w:r>
      <w:r>
        <w:rPr>
          <w:rFonts w:hint="default" w:ascii="Times New Roman" w:hAnsi="Times New Roman" w:eastAsia="方正仿宋_GBK" w:cs="Times New Roman"/>
          <w:i w:val="0"/>
          <w:iCs w:val="0"/>
          <w:caps w:val="0"/>
          <w:color w:val="1F2329"/>
          <w:spacing w:val="0"/>
          <w:kern w:val="0"/>
          <w:sz w:val="32"/>
          <w:szCs w:val="32"/>
          <w:highlight w:val="none"/>
          <w:shd w:val="clear" w:fill="FFFFFF"/>
          <w:lang w:val="en-US" w:eastAsia="zh-CN" w:bidi="ar"/>
        </w:rPr>
        <w:t>《华宁县农业农村局法治政府建设工作方案》</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 xml:space="preserve">部署要求，扎实推进法治政府建设各项工作，为全县农业农村领域高质量发展及乡村振兴提供了坚实法治保障。现将有关情况报告如下： </w:t>
      </w:r>
    </w:p>
    <w:p w14:paraId="277EB813">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1F2329"/>
          <w:spacing w:val="0"/>
          <w:kern w:val="0"/>
          <w:sz w:val="32"/>
          <w:szCs w:val="32"/>
          <w:shd w:val="clear" w:fill="FFFFFF"/>
          <w:lang w:val="en-US" w:eastAsia="zh-CN" w:bidi="ar"/>
        </w:rPr>
        <w:t xml:space="preserve"> 一、2025年法治政府建设主要举措和成效</w:t>
      </w:r>
    </w:p>
    <w:p w14:paraId="173AF542">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楷体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1F2329"/>
          <w:spacing w:val="0"/>
          <w:kern w:val="0"/>
          <w:sz w:val="32"/>
          <w:szCs w:val="32"/>
          <w:shd w:val="clear" w:fill="FFFFFF"/>
          <w:lang w:val="en-US" w:eastAsia="zh-CN" w:bidi="ar"/>
        </w:rPr>
        <w:t>强化政治引领，筑牢组织保障</w:t>
      </w:r>
    </w:p>
    <w:p w14:paraId="59AC5DC3">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坚持理论学习先行。将习近平法治思想、习近平总书记重要讲话和重要指示精神，以及党的二十大和二十届历次全会关于法治建设的重大部署，纳入党组理论学习中心组学习、领导班子集体学习等核心学习内容。本年度组织党组理论学习中心组学习8次，其中专题研学习近平法治思想1次，其余通过周例会等常态化会议开展日常学习，持续夯实理论基础。</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压实法治建设责任。坚持党对法治建设的全面领导，党政主要负责人切实履行推进法治建设第一责任人职责，在党组理论学习中心组学习会、党组会议等重要会议中专题部署法治建设工作，带头研学《习近平生态文明思想学习问答》《论全面依法治国》《习近平法治思想学习纲要》等重要著作及《中华人民共和国宪法》等法律法规。同时，深入村（社区）、村组，结合监管对象普法工作，面向群众开展习近平法治思想宣传宣讲，通过向村（社区）、村组干部宣讲</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及</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入户走访宣传等方式，推动</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习近平</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法治思想深入人心。</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健全组织工作体系。为确保法治政府建设工作落地见效，</w:t>
      </w:r>
      <w:bookmarkStart w:id="0" w:name="_GoBack"/>
      <w:bookmarkEnd w:id="0"/>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成立以局长为组长、</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分管</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副局长为副组长，相关股室及局属单位负责人为成员的华宁县农业农村局法治政府建设工作领导小组，领导小组办公室设在局法规股，具体负责日常统筹协调工作。局属各单位同步成立相应工作专班，明确专职联络员，构建起“领导牵头抓总、机构统筹推进、专人具体落实”的工作格局。</w:t>
      </w:r>
    </w:p>
    <w:p w14:paraId="3128A2E7">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规范执法行为，建强执法队伍</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 xml:space="preserve"> </w:t>
      </w:r>
    </w:p>
    <w:p w14:paraId="3AC299D7">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常态化开展学法培训。通过邀请专家授课、线上视频学习、专题培训、庭审旁听等多元形式，组织开展习近平法治思想、法律法规、业务知识及行政执法技能学习培训13场次，覆盖</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701</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人次。其中，专题学习《中华人民共和国宪法》《中华人民共和国民法典》等通用法律法规3场次，研学《中华人民共和国农产品质量安全法》《农业机械安全监督管理条例》等农业农村领域专项法律法规3场次，培训《云南省严格规范涉企行政检查16项措施》《执法人员行为准则》及云南省“区块链+行政执法监督应用平台”等业务知识和执法技能5场次，组织现场庭审旁听2场次，全面提升执法人员专业素养。</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严格规范执法行为。系统梳理农业领域行政执法事项清单，明确行政职权，厘清县域内农业涉企执法的管辖范围与权限边界，从源头上杜绝“越界执法”</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，行使行政职权343项，其中：行政检查类25项，行政处罚类249项，行政强制类25项，行政许可类23项，行政确认类5项，行政征收类2项，其他行政职权14项</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组织开展涉企行政执法规范专题学习2场次，要求局属各执法单位聚焦执法不作为、乱作为及“两违四乱”等突出问题，开展全面自查自纠，建立月度提醒报送机制，对排查发现的问题实行台账式管理、销号式整改。强化全过程监督跟踪，对轻微违规行为及时提醒纠正、责令限期整改；对严重违规问题立即暂停相关执法活动，依规介入处置，严防风险扩散。</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深化案件研讨交流。常态化组织执法人员围绕案件事实认定、证据审查、法律适用、定性裁量、程序合规性等关键环节开展深度研讨，通过案例剖析、经验交流、举一反三，着力提升执法人员的法治意识、责任意识和规范执法能力，本年度累计开展案件研讨21次。</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四是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严格落实持证上岗。组织</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8</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名拟从事行政执法工作的人员参加行政执法人员资格网上考试，严格执行“持证上岗”制度，持续优化执法队伍结构。</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五是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扎实开展案卷评查。聚焦种子、农药、兽药、农产品质量安全、农机安全等重点领域，对</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2024</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年已办结的行政执法案卷进行全面评查，重点核查事实认定、法律适用、执法程序、自由裁量权运用、文书制作等关键环节的规范性，建立问题清单并明确整改方向。本年度累计开展</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行政执法</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案卷自评10卷，参与上级农业农村部门及司法部门组织的联合评查2次，其中《陈丽梅生产销售兽药残留不符合农产品质量安全标准的农产品案》获评“云南省2025年农业行政执法优秀案卷”。</w:t>
      </w:r>
    </w:p>
    <w:p w14:paraId="70F64C0D">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坚持依法治理，提升执法效能</w:t>
      </w:r>
    </w:p>
    <w:p w14:paraId="7C1F5A1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严格落实“三项制度”。全面执行行政执法公示制度、执法全过程记录制度、重大执法决定法制审核制度，对一般程序以上行政执法案件，全部通过“华宁县人民政府网”“全国农业综合行政执法信息共享平台”等渠道公开执法流程及结果，本年度办结的20起案件均完成公示。全面规范案件法律文书制作与执法全过程记录，严格执行案卷归档管理规定，参照《云南省重大行政执法决定法制审核办法》《玉溪市重大行政执法决定法制审核暂行办法》，对符合重大执法范围的案件严格开展法制审核，全年累计出具《法制审核意见书》</w:t>
      </w:r>
      <w:r>
        <w:rPr>
          <w:rFonts w:hint="eastAsia" w:ascii="Times New Roman" w:hAnsi="Times New Roman" w:eastAsia="方正仿宋_GBK" w:cs="Times New Roman"/>
          <w:i w:val="0"/>
          <w:iCs w:val="0"/>
          <w:caps w:val="0"/>
          <w:color w:val="1F2329"/>
          <w:spacing w:val="0"/>
          <w:kern w:val="0"/>
          <w:sz w:val="32"/>
          <w:szCs w:val="32"/>
          <w:highlight w:val="none"/>
          <w:shd w:val="clear" w:fill="FFFFFF"/>
          <w:lang w:val="en-US" w:eastAsia="zh-CN" w:bidi="ar"/>
        </w:rPr>
        <w:t>7</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件。</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开展精准普法宣传。严格落实“谁执法谁普法、谁管理谁宣传”主体责任，将普法工作深度融入执法办案、行业监管、为农服务全过程，通过上门服务、现场指导等方式开展精准普法。依托“12·4”国家宪法日、“民法典宣传月”“4·15”全民国家安全教育日等重要时间节点，组织局属各执法单位开展主题普法宣传活动，全方位提升普法覆盖面与实效性。</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利用下乡进入村组、到农资经营户、种植养殖大户、集中街头普法等方式大力宣传习近平法治思想、民法典、农业法律法规知识，宣传受训人员达8000余人次。</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强化重点领域执法。紧扣粮食安全、农产品质量安全核心任务，组织开展“农资打假”等专项整治行动，严厉打击假劣种子、农兽药残留超标、无证经营农资产品等违法行为。本年度累计</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出动执法</w:t>
      </w:r>
      <w:r>
        <w:rPr>
          <w:rFonts w:hint="eastAsia"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人员538</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人次，检查各类对象</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948</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个次，查处违法案件21起，办结20起，罚没款共计16.1672万元，没收违法货物667公斤（价值1.71万元）。</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四是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创新监管执法模式。依托云南省“区块链+行政执法监督应用平台”，全面推广使用“云执法”APP，实行扫码入企检查，有效杜绝重复检查、多头检查问题。落实包容审慎监管要求，对企业首次发生、情节轻微、及时改正且未造成危害后果的违法行为，不予行政处罚，通过约谈提醒、现场指导整改等柔性方式帮助企业补齐合规短板。建立风险预警机制，在执法检查中发现企业潜在违规风险时，提前介入引导，助力企业主动防范化解违法违规风险</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w:t>
      </w:r>
    </w:p>
    <w:p w14:paraId="5AFD1715">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 xml:space="preserve">优化营商环境，提升服务质效 </w:t>
      </w:r>
    </w:p>
    <w:p w14:paraId="41BB2F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一是</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举办监管对象服务对象法律法规知识培训。举办各类培训54期1935人。其中：举办农资管理方面法律法规知识培训班4期428余人次，举办农机相关法律法规知识培训班35期996人次，举办畜牧兽医相关法律法规知识培训11期323人次，举办高素质农民法律法规知识培训班4期188人次，专题培训《中华人民共和国农产品质量安全法》《中华人民共和国种子法》《云南省农作物种子条例》《农药管理条例》《农药生产许可管理办法》《农药经营许可管理办法》《农药标签和说明书管理办法》《中华人民共和国农业机械化促进法》《农业机械安全监督管理条例》《中华人民共和国动物防疫法》等农业法律法规知识，进一步提升监管对象、服务对象尊法、守法意识。</w:t>
      </w:r>
      <w:r>
        <w:rPr>
          <w:rFonts w:hint="eastAsia" w:ascii="Times New Roman" w:hAnsi="Times New Roman" w:eastAsia="方正仿宋_GBK" w:cs="Times New Roman"/>
          <w:b/>
          <w:bCs/>
          <w:i w:val="0"/>
          <w:iCs w:val="0"/>
          <w:caps w:val="0"/>
          <w:color w:val="1F2329"/>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深化监管信息公开。以阳光监管倒逼市场主体规范经营，制定覆盖农业生产、农资销售等重点领域的检查事项清单，明确检查标准与年度检查计划，通过政府网站专栏及时向社会公开，确保市场主体清晰知晓监管要求、提前规范经营。同时，将行政许可、行政处罚等关键监管信息同步归集至“信用玉溪”平台，实现监管信息“一网通查”，方便公众查询监督，持续提升监管公信力。</w:t>
      </w:r>
      <w:r>
        <w:rPr>
          <w:rFonts w:hint="eastAsia" w:ascii="Times New Roman" w:hAnsi="Times New Roman" w:eastAsia="方正仿宋_GBK" w:cs="Times New Roman"/>
          <w:b/>
          <w:bCs/>
          <w:i w:val="0"/>
          <w:iCs w:val="0"/>
          <w:caps w:val="0"/>
          <w:color w:val="1F2329"/>
          <w:spacing w:val="0"/>
          <w:kern w:val="0"/>
          <w:sz w:val="32"/>
          <w:szCs w:val="32"/>
          <w:shd w:val="clear" w:fill="FFFFFF"/>
          <w:lang w:val="en-US" w:eastAsia="zh-CN" w:bidi="ar"/>
        </w:rPr>
        <w:t>三</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优化信用监管服务。依托“信用玉溪”平台开展信用监测，已完成</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480</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户新型农业经营主体基本信息归集上传。践行“惩戒与修复并重”的信用监管理念，针对已作出行政处罚且公示满3个月、符合信用修复条件的市场主体，通过电话告知、一对一指导等方式，详细讲解信用修复条件、申请流程及所需材料，主动协助其准备并提交修复申请，本年度</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分4批次，</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已成功为6家行政处罚公示期满的企业完成信用修复，有效激发市场主体活力。</w:t>
      </w:r>
      <w:r>
        <w:rPr>
          <w:rFonts w:hint="eastAsia" w:ascii="Times New Roman" w:hAnsi="Times New Roman" w:eastAsia="方正仿宋_GBK" w:cs="Times New Roman"/>
          <w:b/>
          <w:bCs/>
          <w:i w:val="0"/>
          <w:iCs w:val="0"/>
          <w:caps w:val="0"/>
          <w:color w:val="1F2329"/>
          <w:spacing w:val="0"/>
          <w:kern w:val="0"/>
          <w:sz w:val="32"/>
          <w:szCs w:val="32"/>
          <w:shd w:val="clear" w:fill="FFFFFF"/>
          <w:lang w:val="en-US" w:eastAsia="zh-CN" w:bidi="ar"/>
        </w:rPr>
        <w:t>四</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严格公平竞争审查。严格执行公平竞争审查制度，重点排查政策措施及采购文件中是否存在隐性壁垒，本年度共审查</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公平竞争审查10起</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，有效预防和纠正排除、限制竞争的行为，维护公平竞争市场环境。</w:t>
      </w:r>
    </w:p>
    <w:p w14:paraId="36565F1A">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i w:val="0"/>
          <w:iCs w:val="0"/>
          <w:caps w:val="0"/>
          <w:color w:val="1F2329"/>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1F2329"/>
          <w:spacing w:val="0"/>
          <w:kern w:val="0"/>
          <w:sz w:val="32"/>
          <w:szCs w:val="32"/>
          <w:shd w:val="clear" w:fill="FFFFFF"/>
          <w:lang w:val="en-US" w:eastAsia="zh-CN" w:bidi="ar"/>
        </w:rPr>
        <w:t>二、推进法治政府建设存在的问题和不足</w:t>
      </w:r>
    </w:p>
    <w:p w14:paraId="6606424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尽管2025年法治政府建设工作取得一定成效，但对照农业农村高质量发展要求仍存在短板弱项：</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理论实践融合不够深入，习近平法治思想学习贯彻的系统性、实践性有待提升，运用法治思维和法治方式破解乡村振兴发展难题、推动农业农村高质量发展的能力仍需加强；</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执法规范化水平有待提升，涉企行政检查的精细化、标准化程度不足，部分执法人员在法律法规掌握、法律文书制作、实战执法应用等方面的能力与新形势下农业监管工作要求存在差距；</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普法宣传实效有待增强，普法形式较为传统单一，针对性、创新性、精准性不足，未能充分结合不同普法对象的特点开展分层分类宣传教育；</w:t>
      </w:r>
      <w:r>
        <w:rPr>
          <w:rFonts w:hint="default" w:ascii="Times New Roman" w:hAnsi="Times New Roman" w:eastAsia="方正仿宋_GBK" w:cs="Times New Roman"/>
          <w:b/>
          <w:bCs/>
          <w:i w:val="0"/>
          <w:iCs w:val="0"/>
          <w:caps w:val="0"/>
          <w:color w:val="1F2329"/>
          <w:spacing w:val="0"/>
          <w:kern w:val="0"/>
          <w:sz w:val="32"/>
          <w:szCs w:val="32"/>
          <w:shd w:val="clear" w:fill="FFFFFF"/>
          <w:lang w:val="en-US" w:eastAsia="zh-CN" w:bidi="ar"/>
        </w:rPr>
        <w:t>四是</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执法保障能力不足，专职法制审核人员、一线执法人员数量与执法工作需求不相匹配，执法装备配备短缺，经费保障紧张，一定程度上影响了综合行政执法质效。</w:t>
      </w:r>
    </w:p>
    <w:p w14:paraId="7FFE7AB4">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i w:val="0"/>
          <w:iCs w:val="0"/>
          <w:caps w:val="0"/>
          <w:color w:val="1F2329"/>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1F2329"/>
          <w:spacing w:val="0"/>
          <w:kern w:val="0"/>
          <w:sz w:val="32"/>
          <w:szCs w:val="32"/>
          <w:shd w:val="clear" w:fill="FFFFFF"/>
          <w:lang w:val="en-US" w:eastAsia="zh-CN" w:bidi="ar"/>
        </w:rPr>
        <w:t xml:space="preserve">三、2026年度推进法治政府建设工作安排 </w:t>
      </w:r>
    </w:p>
    <w:p w14:paraId="2573B059">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持续深化习近平法治思想引领，筑牢依法履职根基</w:t>
      </w:r>
    </w:p>
    <w:p w14:paraId="19AC71B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严格落实党政主要负责人推进法治建设第一责任人职责，坚持领导干部带头学法用法，持续深入学习宣传贯彻习近平法治思想及新修订法律法规，系统谋划“九五”普法工作，将普法宣教深度融入日常执法、监管服务全过程，着力提升干部职工法治素养和</w:t>
      </w: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监管对象、服务对象</w:t>
      </w: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法治意识，切实把习近平法治思想转化为推动农业农村领域法治建设的强大动力和生动实践。</w:t>
      </w:r>
    </w:p>
    <w:p w14:paraId="3956C767">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规范执法行为，提升执法办案质效</w:t>
      </w:r>
    </w:p>
    <w:p w14:paraId="36E529C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健全执法人员分级分类培训机制，针对性开展法律法规、业务技能培训，统一执法标准与程序规范。全面深化行政执法“三项制度”落实，强化执法全过程监督管理，加大对涉农领域违法行为的查处打击力度，及时公开执法结果，全力保障执法规范、公正、文明。</w:t>
      </w:r>
    </w:p>
    <w:p w14:paraId="6A355464">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优化营商环境，提升政务服务质效</w:t>
      </w:r>
    </w:p>
    <w:p w14:paraId="15CB775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动态调整权责清单，持续推进行政审批提质增效，充分激发市场主体活力。健全重大行政决策程序、公平竞争审查等制度体系，强化对权力运行的制约和监督，着力营造稳定、公平、透明、可预期的法治化营商环境。</w:t>
      </w:r>
    </w:p>
    <w:p w14:paraId="37CC3735">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1F2329"/>
          <w:spacing w:val="0"/>
          <w:kern w:val="0"/>
          <w:sz w:val="32"/>
          <w:szCs w:val="32"/>
          <w:shd w:val="clear" w:fill="FFFFFF"/>
          <w:lang w:val="en-US" w:eastAsia="zh-CN" w:bidi="ar"/>
        </w:rPr>
        <w:t>创新执法理念，优化执法服务方式</w:t>
      </w:r>
    </w:p>
    <w:p w14:paraId="0E8EB1A0">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t>坚持执法与服务并重，将服务理念贯穿执法全过程，推动执法方式从“刚性处罚”向“柔性引导”转变，实现执法工作从“管理型”向“服务型”升级。持续强化执法人员服务意识，以精准服务助力市场主体合规经营、健康发展。</w:t>
      </w:r>
    </w:p>
    <w:p w14:paraId="0F09364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pPr>
    </w:p>
    <w:p w14:paraId="283DD15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pPr>
    </w:p>
    <w:p w14:paraId="3A11514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pPr>
    </w:p>
    <w:p w14:paraId="6B91995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i w:val="0"/>
          <w:iCs w:val="0"/>
          <w:caps w:val="0"/>
          <w:color w:val="1F2329"/>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 xml:space="preserve">华宁县农业农村局 </w:t>
      </w:r>
    </w:p>
    <w:p w14:paraId="67016FAD">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right"/>
        <w:textAlignment w:val="auto"/>
        <w:rPr>
          <w:rFonts w:hint="default"/>
          <w:lang w:val="en-US" w:eastAsia="zh-CN"/>
        </w:rPr>
      </w:pPr>
      <w:r>
        <w:rPr>
          <w:rFonts w:hint="eastAsia" w:ascii="Times New Roman" w:hAnsi="Times New Roman" w:eastAsia="方正仿宋_GBK" w:cs="Times New Roman"/>
          <w:i w:val="0"/>
          <w:iCs w:val="0"/>
          <w:caps w:val="0"/>
          <w:color w:val="1F2329"/>
          <w:spacing w:val="0"/>
          <w:kern w:val="0"/>
          <w:sz w:val="32"/>
          <w:szCs w:val="32"/>
          <w:shd w:val="clear" w:fill="FFFFFF"/>
          <w:lang w:val="en-US" w:eastAsia="zh-CN" w:bidi="ar"/>
        </w:rPr>
        <w:t>2025年12月22日</w:t>
      </w:r>
    </w:p>
    <w:sectPr>
      <w:pgSz w:w="11906" w:h="16838"/>
      <w:pgMar w:top="2041" w:right="1474" w:bottom="1304" w:left="1587" w:header="136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MingLiU">
    <w:altName w:val="MS Gothic"/>
    <w:panose1 w:val="02020509000000000000"/>
    <w:charset w:val="88"/>
    <w:family w:val="modern"/>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Segoe UI Emoji">
    <w:panose1 w:val="020B0502040204020203"/>
    <w:charset w:val="00"/>
    <w:family w:val="auto"/>
    <w:pitch w:val="default"/>
    <w:sig w:usb0="00000001" w:usb1="02000000" w:usb2="00000000" w:usb3="00000000" w:csb0="000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CCD6A"/>
    <w:multiLevelType w:val="singleLevel"/>
    <w:tmpl w:val="ECECCD6A"/>
    <w:lvl w:ilvl="0" w:tentative="0">
      <w:start w:val="1"/>
      <w:numFmt w:val="chineseCounting"/>
      <w:suff w:val="nothing"/>
      <w:lvlText w:val="（%1）"/>
      <w:lvlJc w:val="left"/>
      <w:rPr>
        <w:rFonts w:hint="eastAsia"/>
      </w:rPr>
    </w:lvl>
  </w:abstractNum>
  <w:abstractNum w:abstractNumId="1">
    <w:nsid w:val="7EEDC64B"/>
    <w:multiLevelType w:val="singleLevel"/>
    <w:tmpl w:val="7EEDC64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973B2F"/>
    <w:rsid w:val="0620509A"/>
    <w:rsid w:val="11F15ADB"/>
    <w:rsid w:val="12FB4A33"/>
    <w:rsid w:val="1E923708"/>
    <w:rsid w:val="240772AA"/>
    <w:rsid w:val="2D3E7C26"/>
    <w:rsid w:val="36DE14E7"/>
    <w:rsid w:val="3A505A9D"/>
    <w:rsid w:val="3F7F1D2B"/>
    <w:rsid w:val="3FF92664"/>
    <w:rsid w:val="3FFFA8C6"/>
    <w:rsid w:val="42DA493A"/>
    <w:rsid w:val="453F5C39"/>
    <w:rsid w:val="47F59DD3"/>
    <w:rsid w:val="55C7CE2D"/>
    <w:rsid w:val="57190ECC"/>
    <w:rsid w:val="57EF8181"/>
    <w:rsid w:val="59BFEE5E"/>
    <w:rsid w:val="5AF7C2BB"/>
    <w:rsid w:val="5E252A77"/>
    <w:rsid w:val="5FDF9385"/>
    <w:rsid w:val="606B5E48"/>
    <w:rsid w:val="61FA26B7"/>
    <w:rsid w:val="64A245A7"/>
    <w:rsid w:val="6D8455BA"/>
    <w:rsid w:val="74276B7B"/>
    <w:rsid w:val="746DC643"/>
    <w:rsid w:val="75675790"/>
    <w:rsid w:val="75BE5AFF"/>
    <w:rsid w:val="7A1C0B84"/>
    <w:rsid w:val="7AADA921"/>
    <w:rsid w:val="7BFB0022"/>
    <w:rsid w:val="7D51AF22"/>
    <w:rsid w:val="7EBAEBF0"/>
    <w:rsid w:val="7F75CE04"/>
    <w:rsid w:val="7F770BDF"/>
    <w:rsid w:val="7FF780A6"/>
    <w:rsid w:val="AF1B5CA2"/>
    <w:rsid w:val="AF6F3B95"/>
    <w:rsid w:val="B7E620DA"/>
    <w:rsid w:val="BFF55F59"/>
    <w:rsid w:val="BFFF71A6"/>
    <w:rsid w:val="DDE11380"/>
    <w:rsid w:val="DFFD2738"/>
    <w:rsid w:val="EB3686A8"/>
    <w:rsid w:val="ECDEB06F"/>
    <w:rsid w:val="EE3F61DE"/>
    <w:rsid w:val="EF9A12EF"/>
    <w:rsid w:val="F3973B2F"/>
    <w:rsid w:val="F7738E11"/>
    <w:rsid w:val="F7D6712B"/>
    <w:rsid w:val="FADFA5EA"/>
    <w:rsid w:val="FC318BD8"/>
    <w:rsid w:val="FCF49F5D"/>
    <w:rsid w:val="FE6F2E54"/>
    <w:rsid w:val="FF350977"/>
    <w:rsid w:val="FF96F636"/>
    <w:rsid w:val="FFFEC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60" w:lineRule="auto"/>
      <w:ind w:left="420" w:leftChars="100" w:right="100" w:rightChars="100"/>
      <w:outlineLvl w:val="1"/>
    </w:pPr>
    <w:rPr>
      <w:rFonts w:ascii="Arial" w:hAnsi="Arial" w:eastAsia="黑体"/>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hd w:val="clear" w:color="auto" w:fill="FFFFFF"/>
      <w:spacing w:before="300" w:line="576" w:lineRule="exact"/>
      <w:jc w:val="distribute"/>
    </w:pPr>
    <w:rPr>
      <w:rFonts w:ascii="MingLiU" w:hAnsi="MingLiU" w:eastAsia="MingLiU" w:cs="MingLiU"/>
      <w:sz w:val="29"/>
      <w:szCs w:val="29"/>
      <w:u w:val="none"/>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2025-12-19T10:29:00Z</dcterms:created>
  <dc:creator>酸橙秋</dc:creator>
  <cp:lastModifiedBy>酸橙秋</cp:lastModifiedBy>
  <dcterms:modified xsi:type="dcterms:W3CDTF">2025-12-23T08:30:34Z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15AAF45083E480C3C414496905E08C16_43</vt:lpwstr>
  </property>
</Properties>
</file>