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0A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b/>
          <w:bCs/>
          <w:color w:val="FF0000"/>
          <w:spacing w:val="-14"/>
          <w:w w:val="90"/>
          <w:sz w:val="122"/>
          <w:szCs w:val="122"/>
        </w:rPr>
      </w:pPr>
    </w:p>
    <w:p w14:paraId="61F56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000000"/>
          <w:spacing w:val="-2"/>
          <w:w w:val="90"/>
          <w:sz w:val="112"/>
          <w:szCs w:val="112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  <w:lang w:val="en-US" w:eastAsia="zh-CN"/>
        </w:rPr>
        <w:t>华宁县</w:t>
      </w:r>
      <w:r>
        <w:rPr>
          <w:rFonts w:hint="default" w:ascii="Times New Roman" w:hAnsi="Times New Roman" w:eastAsia="方正小标宋_GBK" w:cs="Times New Roman"/>
          <w:b w:val="0"/>
          <w:bCs w:val="0"/>
          <w:color w:val="FF0000"/>
          <w:spacing w:val="-14"/>
          <w:w w:val="90"/>
          <w:sz w:val="112"/>
          <w:szCs w:val="112"/>
        </w:rPr>
        <w:t>财政局文件</w:t>
      </w:r>
    </w:p>
    <w:p w14:paraId="0B1F7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701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pacing w:val="-2"/>
          <w:w w:val="90"/>
          <w:sz w:val="32"/>
          <w:szCs w:val="32"/>
        </w:rPr>
      </w:pPr>
    </w:p>
    <w:p w14:paraId="302E6AC7">
      <w:pPr>
        <w:keepNext w:val="0"/>
        <w:keepLines w:val="0"/>
        <w:pageBreakBefore w:val="0"/>
        <w:widowControl w:val="0"/>
        <w:tabs>
          <w:tab w:val="left" w:pos="8610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华财农〔2026〕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 w14:paraId="3AC1E2C2">
      <w:pPr>
        <w:keepNext w:val="0"/>
        <w:keepLines w:val="0"/>
        <w:pageBreakBefore w:val="0"/>
        <w:widowControl w:val="0"/>
        <w:tabs>
          <w:tab w:val="right" w:pos="9064"/>
        </w:tabs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</w:pPr>
      <w:r>
        <w:rPr>
          <w:rFonts w:hint="default" w:ascii="Times New Roman" w:hAnsi="Times New Roman" w:cs="Times New Roman"/>
          <w:b/>
          <w:color w:val="FF0000"/>
          <w:spacing w:val="-28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99695</wp:posOffset>
                </wp:positionV>
                <wp:extent cx="5687695" cy="635"/>
                <wp:effectExtent l="0" t="15875" r="8255" b="2159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7695" cy="635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7.85pt;height:0.05pt;width:447.85pt;z-index:251660288;mso-width-relative:page;mso-height-relative:page;" filled="f" stroked="t" coordsize="21600,21600" o:gfxdata="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jC5zB2QAAAAgBAAAPAAAAAAAAAAEAIAAAACIAAABkcnMvZG93bnJldi54&#10;bWxQSwECFAAUAAAACACHTuJAb72GbvkBAADnAwAADgAAAAAAAAABACAAAAAoAQAAZHJzL2Uyb0Rv&#10;Yy54bWxQSwUGAAAAAAYABgBZAQAAkwUAAAAA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  <w:r>
        <w:rPr>
          <w:rFonts w:hint="default" w:ascii="Times New Roman" w:hAnsi="Times New Roman" w:cs="Times New Roman"/>
          <w:b/>
          <w:color w:val="FF0000"/>
          <w:spacing w:val="-28"/>
          <w:w w:val="90"/>
          <w:sz w:val="32"/>
          <w:szCs w:val="32"/>
        </w:rPr>
        <w:tab/>
      </w:r>
    </w:p>
    <w:p w14:paraId="41708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left="2200" w:hanging="2200" w:hangingChars="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华宁县财政局关于下达2026年省级财政衔接推进乡村振兴补助资金的通知</w:t>
      </w:r>
    </w:p>
    <w:p w14:paraId="4DB54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2DFCC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宁州街道办事处机关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6AA2B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  <w:lang w:bidi="ar"/>
        </w:rPr>
        <w:t>根据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《玉溪市财政局关于下达2026年省级财政衔接推进乡村振兴补助资金的通知》（玉财农〔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2026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2号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）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、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《华宁县人民政府关于2026年度中央和省级财政扶持新型农村集体经济发展项目实施的批复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》(华政复〔2026〕7号)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文件要求</w:t>
      </w:r>
      <w:r>
        <w:rPr>
          <w:rFonts w:ascii="Times New Roman" w:hAnsi="Times New Roman" w:eastAsia="方正仿宋_GBK"/>
          <w:sz w:val="32"/>
          <w:szCs w:val="32"/>
          <w:lang w:bidi="ar"/>
        </w:rPr>
        <w:t>，现下达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你单位2026年省级财政衔接推进乡村振兴补助资金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70</w:t>
      </w:r>
      <w:r>
        <w:rPr>
          <w:rFonts w:ascii="Times New Roman" w:hAnsi="Times New Roman" w:eastAsia="方正仿宋_GBK"/>
          <w:sz w:val="32"/>
          <w:szCs w:val="32"/>
          <w:lang w:bidi="ar"/>
        </w:rPr>
        <w:t>万元（具体预算单位、金额、科目名称、预算项目详见附表）。</w:t>
      </w:r>
      <w:r>
        <w:rPr>
          <w:rFonts w:hint="eastAsia" w:ascii="Times New Roman" w:hAnsi="Times New Roman" w:eastAsia="方正仿宋_GBK"/>
          <w:sz w:val="32"/>
          <w:szCs w:val="32"/>
          <w:lang w:bidi="ar"/>
        </w:rPr>
        <w:t>并将有关事项通知如下：</w:t>
      </w:r>
    </w:p>
    <w:p w14:paraId="17C7093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一、切实管好用好衔接资金。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认真贯彻落实党中央、国务院关于过渡期后常态化帮扶的决策部署和省委、省人民政府工作要求，待中央衔接资金具体调整优化方案确定后，资金管理使用按照新修订办法等要求执行。督促指导加强资金项目管理，优先选择前期工作到位的项目，将资金尽快落到具体项目，加强项目实施的跟踪调度，加快资金支出，支出情况将作为资金分配的重要因素。持续强化资金监管，切实管好用好资金，充分发挥资金使用效益。</w:t>
      </w:r>
    </w:p>
    <w:p w14:paraId="314AF18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二、突出资金支持重点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督促行业主管部门加强项目谋划等前期工作，突出资金支持重点，优先支持联农带农富农产业发展，以及就业帮扶和欠发达地区开发式帮扶，进一步巩固拓展脱贫攻坚成果，增强脱贫地区和脱贫群众内生发展动力。</w:t>
      </w:r>
    </w:p>
    <w:p w14:paraId="66B5F987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b w:val="0"/>
          <w:bCs w:val="0"/>
          <w:sz w:val="32"/>
          <w:szCs w:val="32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ar"/>
        </w:rPr>
        <w:t>三、认真落实预算执行常态化监督有关要求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。此次下达的中央衔接资金列入转移支付预算执行常态化监督范围，财政部门要在预算管理一体化系统及时接收登录预算指标，并保持“追踪”标识不变，将资金分解落实到单位和具体项目时,对资金来源既包含中央衔接资金又包含地方对应安排资金的，应在预算指标文件、预算管理一体化系统中按资金明细来源分别列示和登录预算指标。各地应在收到上级资金后30日内将资金分解下达到具体单位和项目（资金下达超时情况将纳入后续资金测算分配因素）。财政部门要依托预算管理一体化系统转移支付监控模块，加强日常监管，提高转移支付资金管理使用规范性和有效性。</w:t>
      </w:r>
    </w:p>
    <w:p w14:paraId="0ECC0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25B6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</w:p>
    <w:p w14:paraId="0A890B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/>
          <w:sz w:val="32"/>
          <w:szCs w:val="32"/>
          <w:lang w:eastAsia="zh-CN" w:bidi="ar"/>
        </w:rPr>
        <w:t>2026年华宁县省级财政衔接推进乡村振兴补助资金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下达明细表</w:t>
      </w:r>
    </w:p>
    <w:p w14:paraId="73247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 w:bidi="ar"/>
        </w:rPr>
        <w:t>2.2026年华宁县省级财政衔接推进乡村振兴补助资金（发展新型农村集体经济）绩效目标表</w:t>
      </w:r>
    </w:p>
    <w:p w14:paraId="37460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/>
          <w:sz w:val="32"/>
          <w:szCs w:val="32"/>
          <w:lang w:val="en-US" w:eastAsia="zh-CN" w:bidi="ar"/>
        </w:rPr>
      </w:pPr>
    </w:p>
    <w:p w14:paraId="1C2428E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6A06902E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5CED23AA">
      <w:pPr>
        <w:keepNext w:val="0"/>
        <w:keepLines w:val="0"/>
        <w:pageBreakBefore w:val="0"/>
        <w:widowControl w:val="0"/>
        <w:tabs>
          <w:tab w:val="left" w:pos="6790"/>
        </w:tabs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5120" w:firstLineChars="16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财政局</w:t>
      </w:r>
    </w:p>
    <w:p w14:paraId="1F29E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0" w:lineRule="exact"/>
        <w:ind w:firstLine="4960" w:firstLineChars="155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  <w:sectPr>
          <w:footerReference r:id="rId3" w:type="default"/>
          <w:pgSz w:w="11906" w:h="16838"/>
          <w:pgMar w:top="2041" w:right="1474" w:bottom="1304" w:left="158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33A1A528">
      <w:pPr>
        <w:spacing w:line="560" w:lineRule="exact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</w:p>
    <w:p w14:paraId="5F500D93">
      <w:pPr>
        <w:spacing w:line="560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40"/>
        </w:rPr>
        <w:t>资金下达明细表</w:t>
      </w:r>
    </w:p>
    <w:tbl>
      <w:tblPr>
        <w:tblStyle w:val="5"/>
        <w:tblpPr w:leftFromText="180" w:rightFromText="180" w:vertAnchor="text" w:horzAnchor="margin" w:tblpY="48"/>
        <w:tblOverlap w:val="never"/>
        <w:tblW w:w="142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1"/>
        <w:gridCol w:w="1718"/>
        <w:gridCol w:w="1269"/>
        <w:gridCol w:w="1220"/>
        <w:gridCol w:w="2584"/>
        <w:gridCol w:w="2414"/>
        <w:gridCol w:w="1002"/>
        <w:gridCol w:w="1325"/>
        <w:gridCol w:w="1119"/>
      </w:tblGrid>
      <w:tr w14:paraId="11F5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01" w:type="dxa"/>
            <w:tcBorders>
              <w:top w:val="single" w:color="auto" w:sz="4" w:space="0"/>
            </w:tcBorders>
            <w:vAlign w:val="center"/>
          </w:tcPr>
          <w:p w14:paraId="0D2E1E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预算单位</w:t>
            </w:r>
          </w:p>
          <w:p w14:paraId="530509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（县区）</w:t>
            </w:r>
          </w:p>
        </w:tc>
        <w:tc>
          <w:tcPr>
            <w:tcW w:w="1718" w:type="dxa"/>
            <w:tcBorders>
              <w:top w:val="single" w:color="auto" w:sz="4" w:space="0"/>
            </w:tcBorders>
            <w:vAlign w:val="center"/>
          </w:tcPr>
          <w:p w14:paraId="04188F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功能科目</w:t>
            </w:r>
          </w:p>
        </w:tc>
        <w:tc>
          <w:tcPr>
            <w:tcW w:w="1269" w:type="dxa"/>
            <w:tcBorders>
              <w:top w:val="single" w:color="auto" w:sz="4" w:space="0"/>
            </w:tcBorders>
            <w:vAlign w:val="center"/>
          </w:tcPr>
          <w:p w14:paraId="7FFC2A0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政府经济科目</w:t>
            </w:r>
          </w:p>
        </w:tc>
        <w:tc>
          <w:tcPr>
            <w:tcW w:w="1220" w:type="dxa"/>
            <w:tcBorders>
              <w:top w:val="single" w:color="auto" w:sz="4" w:space="0"/>
            </w:tcBorders>
            <w:vAlign w:val="center"/>
          </w:tcPr>
          <w:p w14:paraId="5C5A725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项目分类</w:t>
            </w:r>
          </w:p>
        </w:tc>
        <w:tc>
          <w:tcPr>
            <w:tcW w:w="2584" w:type="dxa"/>
            <w:tcBorders>
              <w:top w:val="single" w:color="auto" w:sz="4" w:space="0"/>
            </w:tcBorders>
            <w:vAlign w:val="center"/>
          </w:tcPr>
          <w:p w14:paraId="480B7B0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预算项目</w:t>
            </w:r>
          </w:p>
        </w:tc>
        <w:tc>
          <w:tcPr>
            <w:tcW w:w="2414" w:type="dxa"/>
            <w:tcBorders>
              <w:top w:val="single" w:color="auto" w:sz="4" w:space="0"/>
            </w:tcBorders>
            <w:vAlign w:val="center"/>
          </w:tcPr>
          <w:p w14:paraId="4E77BAE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指标用途摘要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0DDB2FA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  <w:lang w:val="en-US" w:eastAsia="zh-CN"/>
              </w:rPr>
              <w:t>指标来源</w:t>
            </w:r>
          </w:p>
        </w:tc>
        <w:tc>
          <w:tcPr>
            <w:tcW w:w="1325" w:type="dxa"/>
            <w:tcBorders>
              <w:top w:val="single" w:color="auto" w:sz="4" w:space="0"/>
            </w:tcBorders>
            <w:vAlign w:val="center"/>
          </w:tcPr>
          <w:p w14:paraId="5962B1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下达金额（元）</w:t>
            </w:r>
          </w:p>
        </w:tc>
        <w:tc>
          <w:tcPr>
            <w:tcW w:w="1119" w:type="dxa"/>
            <w:tcBorders>
              <w:top w:val="single" w:color="auto" w:sz="4" w:space="0"/>
            </w:tcBorders>
            <w:vAlign w:val="center"/>
          </w:tcPr>
          <w:p w14:paraId="1AD2C2D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/>
                <w:sz w:val="22"/>
              </w:rPr>
              <w:t>备注</w:t>
            </w:r>
          </w:p>
        </w:tc>
      </w:tr>
      <w:tr w14:paraId="46CE0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</w:trPr>
        <w:tc>
          <w:tcPr>
            <w:tcW w:w="1601" w:type="dxa"/>
            <w:vAlign w:val="center"/>
          </w:tcPr>
          <w:p w14:paraId="4292C06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551001 宁州街道办事处机关</w:t>
            </w:r>
          </w:p>
        </w:tc>
        <w:tc>
          <w:tcPr>
            <w:tcW w:w="1718" w:type="dxa"/>
            <w:vAlign w:val="center"/>
          </w:tcPr>
          <w:p w14:paraId="1BDB8F9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2130505 生产发展</w:t>
            </w:r>
          </w:p>
        </w:tc>
        <w:tc>
          <w:tcPr>
            <w:tcW w:w="1269" w:type="dxa"/>
            <w:vAlign w:val="center"/>
          </w:tcPr>
          <w:p w14:paraId="69F77F4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50302 基础设施建设</w:t>
            </w:r>
          </w:p>
        </w:tc>
        <w:tc>
          <w:tcPr>
            <w:tcW w:w="1220" w:type="dxa"/>
            <w:vAlign w:val="center"/>
          </w:tcPr>
          <w:p w14:paraId="1F4684C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311 专项业务类</w:t>
            </w:r>
          </w:p>
        </w:tc>
        <w:tc>
          <w:tcPr>
            <w:tcW w:w="2584" w:type="dxa"/>
            <w:vAlign w:val="center"/>
          </w:tcPr>
          <w:p w14:paraId="54F668E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2026年省级财政衔接推进乡村振兴补助资金</w:t>
            </w:r>
          </w:p>
        </w:tc>
        <w:tc>
          <w:tcPr>
            <w:tcW w:w="2414" w:type="dxa"/>
            <w:vAlign w:val="center"/>
          </w:tcPr>
          <w:p w14:paraId="038C763D">
            <w:pPr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2026年省级财政衔接推进乡村振兴补助资金-发展新型农村集体经济—智慧冷链物流园区果蔬综合服务中心项目</w:t>
            </w:r>
          </w:p>
        </w:tc>
        <w:tc>
          <w:tcPr>
            <w:tcW w:w="1002" w:type="dxa"/>
            <w:vAlign w:val="center"/>
          </w:tcPr>
          <w:p w14:paraId="577404A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lang w:val="en-US" w:eastAsia="zh-CN"/>
              </w:rPr>
              <w:t>214 专项转移支付</w:t>
            </w:r>
          </w:p>
        </w:tc>
        <w:tc>
          <w:tcPr>
            <w:tcW w:w="1325" w:type="dxa"/>
            <w:vAlign w:val="center"/>
          </w:tcPr>
          <w:p w14:paraId="04E0C84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700000.00</w:t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B4DC1E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D6E5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808" w:type="dxa"/>
            <w:gridSpan w:val="7"/>
            <w:vAlign w:val="center"/>
          </w:tcPr>
          <w:p w14:paraId="5A66038C">
            <w:pPr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合计</w:t>
            </w:r>
          </w:p>
        </w:tc>
        <w:tc>
          <w:tcPr>
            <w:tcW w:w="1325" w:type="dxa"/>
            <w:vAlign w:val="center"/>
          </w:tcPr>
          <w:p w14:paraId="0BF88CD4">
            <w:pPr>
              <w:jc w:val="center"/>
              <w:rPr>
                <w:rFonts w:hint="default" w:ascii="Times New Roman" w:hAnsi="Times New Roman" w:eastAsia="方正仿宋_GBK" w:cs="Times New Roman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lang w:val="en-US" w:eastAsia="zh-CN"/>
              </w:rPr>
              <w:t>700000.00</w:t>
            </w:r>
          </w:p>
        </w:tc>
        <w:tc>
          <w:tcPr>
            <w:tcW w:w="1119" w:type="dxa"/>
          </w:tcPr>
          <w:p w14:paraId="2DC76D2B">
            <w:pPr>
              <w:rPr>
                <w:rFonts w:hint="default" w:ascii="Times New Roman" w:hAnsi="Times New Roman" w:eastAsia="方正仿宋_GBK" w:cs="Times New Roman"/>
              </w:rPr>
            </w:pPr>
          </w:p>
        </w:tc>
      </w:tr>
    </w:tbl>
    <w:p w14:paraId="4F35C48E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23A28C05">
      <w:pPr>
        <w:spacing w:line="300" w:lineRule="exact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A5E7F7B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F935A7F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35CFC02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4124A8EC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112C6891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3C356D60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</w:pPr>
    </w:p>
    <w:p w14:paraId="5091783B">
      <w:pPr>
        <w:pStyle w:val="2"/>
        <w:rPr>
          <w:rFonts w:hint="default" w:ascii="Times New Roman" w:hAnsi="Times New Roman" w:eastAsia="仿宋_GB2312" w:cs="Times New Roman"/>
          <w:sz w:val="28"/>
          <w:szCs w:val="28"/>
        </w:rPr>
        <w:sectPr>
          <w:pgSz w:w="16838" w:h="11906" w:orient="landscape"/>
          <w:pgMar w:top="1474" w:right="2098" w:bottom="1134" w:left="1587" w:header="851" w:footer="992" w:gutter="0"/>
          <w:pgNumType w:fmt="decimal"/>
          <w:cols w:space="0" w:num="1"/>
          <w:docGrid w:type="lines" w:linePitch="312" w:charSpace="0"/>
        </w:sectPr>
      </w:pPr>
    </w:p>
    <w:tbl>
      <w:tblPr>
        <w:tblStyle w:val="5"/>
        <w:tblW w:w="906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245"/>
        <w:gridCol w:w="2069"/>
        <w:gridCol w:w="2774"/>
        <w:gridCol w:w="1905"/>
      </w:tblGrid>
      <w:tr w14:paraId="23574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060" w:type="dxa"/>
            <w:gridSpan w:val="5"/>
            <w:shd w:val="clear" w:color="auto" w:fill="auto"/>
            <w:vAlign w:val="center"/>
          </w:tcPr>
          <w:p w14:paraId="7BDC8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440" w:firstLineChars="200"/>
              <w:textAlignment w:val="auto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b w:val="0"/>
                <w:bCs w:val="0"/>
                <w:sz w:val="22"/>
                <w:szCs w:val="22"/>
                <w:lang w:val="en-US" w:eastAsia="zh-CN" w:bidi="ar"/>
              </w:rPr>
              <w:t>2026年中央财政衔接推进乡村振兴补助资金（发展新型农村集体经济）绩效目标表</w:t>
            </w:r>
          </w:p>
        </w:tc>
      </w:tr>
      <w:tr w14:paraId="1E114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5C209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48" w:type="dxa"/>
            <w:gridSpan w:val="3"/>
            <w:shd w:val="clear" w:color="auto" w:fill="auto"/>
            <w:vAlign w:val="center"/>
          </w:tcPr>
          <w:p w14:paraId="130C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2026年度中央财政扶持新型农村集体经济发展项目</w:t>
            </w:r>
          </w:p>
        </w:tc>
      </w:tr>
      <w:tr w14:paraId="4FF45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6A72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6748" w:type="dxa"/>
            <w:gridSpan w:val="3"/>
            <w:shd w:val="clear" w:color="auto" w:fill="auto"/>
            <w:vAlign w:val="center"/>
          </w:tcPr>
          <w:p w14:paraId="24ACF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中国共产党华宁县委员会组织部</w:t>
            </w:r>
          </w:p>
        </w:tc>
      </w:tr>
      <w:tr w14:paraId="681A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312" w:type="dxa"/>
            <w:gridSpan w:val="2"/>
            <w:shd w:val="clear" w:color="auto" w:fill="auto"/>
            <w:vAlign w:val="center"/>
          </w:tcPr>
          <w:p w14:paraId="7868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6748" w:type="dxa"/>
            <w:gridSpan w:val="3"/>
            <w:shd w:val="clear" w:color="auto" w:fill="auto"/>
            <w:vAlign w:val="center"/>
          </w:tcPr>
          <w:p w14:paraId="2A19A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华宁县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16"/>
                <w:szCs w:val="16"/>
                <w:lang w:val="en-US" w:eastAsia="zh-CN"/>
              </w:rPr>
              <w:t>宁州街道办事处机关</w:t>
            </w:r>
          </w:p>
        </w:tc>
      </w:tr>
      <w:tr w14:paraId="6B30A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12" w:type="dxa"/>
            <w:gridSpan w:val="2"/>
            <w:vMerge w:val="restart"/>
            <w:shd w:val="clear" w:color="auto" w:fill="auto"/>
            <w:vAlign w:val="center"/>
          </w:tcPr>
          <w:p w14:paraId="429C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项目资金</w:t>
            </w:r>
          </w:p>
        </w:tc>
        <w:tc>
          <w:tcPr>
            <w:tcW w:w="4843" w:type="dxa"/>
            <w:gridSpan w:val="2"/>
            <w:shd w:val="clear" w:color="auto" w:fill="auto"/>
            <w:vAlign w:val="center"/>
          </w:tcPr>
          <w:p w14:paraId="1B5C2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年度资金总额（万元）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463D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</w:t>
            </w:r>
          </w:p>
        </w:tc>
      </w:tr>
      <w:tr w14:paraId="3E42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12" w:type="dxa"/>
            <w:gridSpan w:val="2"/>
            <w:vMerge w:val="continue"/>
            <w:shd w:val="clear" w:color="auto" w:fill="auto"/>
            <w:vAlign w:val="center"/>
          </w:tcPr>
          <w:p w14:paraId="5E056FEA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43" w:type="dxa"/>
            <w:gridSpan w:val="2"/>
            <w:shd w:val="clear" w:color="auto" w:fill="auto"/>
            <w:vAlign w:val="center"/>
          </w:tcPr>
          <w:p w14:paraId="7FD9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其中：当年财政拨款</w:t>
            </w:r>
            <w:bookmarkStart w:id="0" w:name="_GoBack"/>
            <w:bookmarkEnd w:id="0"/>
          </w:p>
        </w:tc>
        <w:tc>
          <w:tcPr>
            <w:tcW w:w="1905" w:type="dxa"/>
            <w:shd w:val="clear" w:color="auto" w:fill="auto"/>
            <w:vAlign w:val="center"/>
          </w:tcPr>
          <w:p w14:paraId="55CC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350</w:t>
            </w:r>
          </w:p>
        </w:tc>
      </w:tr>
      <w:tr w14:paraId="3DA5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312" w:type="dxa"/>
            <w:gridSpan w:val="2"/>
            <w:vMerge w:val="continue"/>
            <w:shd w:val="clear" w:color="auto" w:fill="auto"/>
            <w:vAlign w:val="center"/>
          </w:tcPr>
          <w:p w14:paraId="5962125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43" w:type="dxa"/>
            <w:gridSpan w:val="2"/>
            <w:shd w:val="clear" w:color="auto" w:fill="auto"/>
            <w:vAlign w:val="center"/>
          </w:tcPr>
          <w:p w14:paraId="398FA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CAC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</w:t>
            </w:r>
          </w:p>
        </w:tc>
      </w:tr>
      <w:tr w14:paraId="7A466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7" w:type="dxa"/>
            <w:vMerge w:val="restart"/>
            <w:shd w:val="clear" w:color="auto" w:fill="auto"/>
            <w:vAlign w:val="center"/>
          </w:tcPr>
          <w:p w14:paraId="5864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7993" w:type="dxa"/>
            <w:gridSpan w:val="4"/>
            <w:vMerge w:val="restart"/>
            <w:shd w:val="clear" w:color="auto" w:fill="auto"/>
            <w:vAlign w:val="center"/>
          </w:tcPr>
          <w:p w14:paraId="1DD434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建成宁州街道办事处新建项目1 个，计划投入总资金 570 万元，其中计划投入中央财政衔接资金（发展新型农村集体经济甸尾社区、那果村、葫芦冲村、岔那村）280万元，省级财政衔接资金（发展新型农村集体经济冲麦村）70万元，第三方企业云南华莱智慧冷链科技有限公司投资220万元。</w:t>
            </w:r>
          </w:p>
        </w:tc>
      </w:tr>
      <w:tr w14:paraId="44CA7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4E5379E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3" w:type="dxa"/>
            <w:gridSpan w:val="4"/>
            <w:vMerge w:val="continue"/>
            <w:shd w:val="clear" w:color="auto" w:fill="auto"/>
            <w:vAlign w:val="center"/>
          </w:tcPr>
          <w:p w14:paraId="14811BF7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3716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34DAF95F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993" w:type="dxa"/>
            <w:gridSpan w:val="4"/>
            <w:vMerge w:val="continue"/>
            <w:shd w:val="clear" w:color="auto" w:fill="auto"/>
            <w:vAlign w:val="center"/>
          </w:tcPr>
          <w:p w14:paraId="63EB0452">
            <w:pPr>
              <w:jc w:val="both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9485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067" w:type="dxa"/>
            <w:vMerge w:val="restart"/>
            <w:shd w:val="clear" w:color="auto" w:fill="auto"/>
            <w:vAlign w:val="center"/>
          </w:tcPr>
          <w:p w14:paraId="6DD6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绩效指标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F80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2069" w:type="dxa"/>
            <w:shd w:val="clear" w:color="auto" w:fill="auto"/>
            <w:vAlign w:val="center"/>
          </w:tcPr>
          <w:p w14:paraId="21DB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E384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2E863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年度指标值</w:t>
            </w:r>
          </w:p>
        </w:tc>
      </w:tr>
      <w:tr w14:paraId="211B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17E8FA94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11C21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14:paraId="5F110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数量指标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676E5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主体钢结构建 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7349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≥2080平米</w:t>
            </w:r>
          </w:p>
        </w:tc>
      </w:tr>
      <w:tr w14:paraId="148C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50DB15B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766A5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3F19A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56695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土方开挖、土方回填、地面平整、硬化及雨污管网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5FC40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≥2050平方米</w:t>
            </w:r>
          </w:p>
        </w:tc>
      </w:tr>
      <w:tr w14:paraId="0A45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2AEC9CE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55F80C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74BE5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275D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墙体建设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5B5A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1840平方米</w:t>
            </w:r>
          </w:p>
        </w:tc>
      </w:tr>
      <w:tr w14:paraId="3FCE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250BE11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1EABFC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shd w:val="clear" w:color="auto" w:fill="auto"/>
            <w:vAlign w:val="center"/>
          </w:tcPr>
          <w:p w14:paraId="7B43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73F38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项目（工程）合格率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A8EB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100%</w:t>
            </w:r>
          </w:p>
        </w:tc>
      </w:tr>
      <w:tr w14:paraId="58CD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29A209A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23268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14:paraId="66911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1A6CA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开工时间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68BDC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≤2025年3月31日</w:t>
            </w:r>
          </w:p>
        </w:tc>
      </w:tr>
      <w:tr w14:paraId="20F4C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7E96BA7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49527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3C6E9F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708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竣工时间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1C4AB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≤2025年12月31日</w:t>
            </w:r>
          </w:p>
        </w:tc>
      </w:tr>
      <w:tr w14:paraId="37D3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395A5C4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174E4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14:paraId="08521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成本指标</w:t>
            </w:r>
          </w:p>
        </w:tc>
        <w:tc>
          <w:tcPr>
            <w:tcW w:w="2774" w:type="dxa"/>
            <w:shd w:val="clear" w:color="auto" w:fill="auto"/>
            <w:vAlign w:val="center"/>
          </w:tcPr>
          <w:p w14:paraId="2B2F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工程总投资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0E78E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570万</w:t>
            </w:r>
          </w:p>
        </w:tc>
      </w:tr>
      <w:tr w14:paraId="626A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1FF53869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413CC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6C684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shd w:val="clear" w:color="auto" w:fill="auto"/>
            <w:vAlign w:val="center"/>
          </w:tcPr>
          <w:p w14:paraId="7E44C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基础设施配套：灭火系统、供配电系统、电气消防系统、照明系统、通风及防排烟设备</w:t>
            </w:r>
          </w:p>
        </w:tc>
        <w:tc>
          <w:tcPr>
            <w:tcW w:w="1905" w:type="dxa"/>
            <w:shd w:val="clear" w:color="auto" w:fill="auto"/>
            <w:vAlign w:val="center"/>
          </w:tcPr>
          <w:p w14:paraId="47D6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70万元</w:t>
            </w:r>
          </w:p>
        </w:tc>
      </w:tr>
      <w:tr w14:paraId="52246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7B0D23B8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1FB46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14:paraId="18DD9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经济效益指标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3E4DC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每年实现收益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4423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≥55万元</w:t>
            </w:r>
          </w:p>
        </w:tc>
      </w:tr>
      <w:tr w14:paraId="02D0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26F1A490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31006D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4B554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vAlign w:val="center"/>
          </w:tcPr>
          <w:p w14:paraId="11290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 w14:paraId="2F377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BE7E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088151E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348467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6D97A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vAlign w:val="center"/>
          </w:tcPr>
          <w:p w14:paraId="68BD46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 w14:paraId="73BB33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29D02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15B4190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20963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14:paraId="06E42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2CE0F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受益群众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6A141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≥1500人</w:t>
            </w:r>
          </w:p>
        </w:tc>
      </w:tr>
      <w:tr w14:paraId="3B24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6DD7E7E5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4FE8F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5C25DF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vAlign w:val="center"/>
          </w:tcPr>
          <w:p w14:paraId="050763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 w14:paraId="0E59EF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0DBA6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5A1BF6E3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2356D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3701D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vAlign w:val="center"/>
          </w:tcPr>
          <w:p w14:paraId="0943E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 w14:paraId="0E6399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6C83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3FC9D34D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54F68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14:paraId="14960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可持续影响指标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48772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使用年限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2AC62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≥20年</w:t>
            </w:r>
          </w:p>
        </w:tc>
      </w:tr>
      <w:tr w14:paraId="7C3E7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4F14239B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49C60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36A3E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vAlign w:val="center"/>
          </w:tcPr>
          <w:p w14:paraId="3E820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 w14:paraId="6C3C0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E08C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0F5E0127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3297B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44B170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vAlign w:val="center"/>
          </w:tcPr>
          <w:p w14:paraId="591B62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 w14:paraId="651C2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5272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2DA0DCCC">
            <w:pPr>
              <w:jc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245" w:type="dxa"/>
            <w:vMerge w:val="restart"/>
            <w:shd w:val="clear" w:color="auto" w:fill="auto"/>
            <w:vAlign w:val="center"/>
          </w:tcPr>
          <w:p w14:paraId="72211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满意度指标</w:t>
            </w:r>
          </w:p>
        </w:tc>
        <w:tc>
          <w:tcPr>
            <w:tcW w:w="2069" w:type="dxa"/>
            <w:vMerge w:val="restart"/>
            <w:shd w:val="clear" w:color="auto" w:fill="auto"/>
            <w:vAlign w:val="center"/>
          </w:tcPr>
          <w:p w14:paraId="7F6C1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2774" w:type="dxa"/>
            <w:vMerge w:val="restart"/>
            <w:shd w:val="clear" w:color="auto" w:fill="auto"/>
            <w:vAlign w:val="center"/>
          </w:tcPr>
          <w:p w14:paraId="6B003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受益群众满意度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</w:tcPr>
          <w:p w14:paraId="1B7BD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≥90%</w:t>
            </w:r>
          </w:p>
        </w:tc>
      </w:tr>
      <w:tr w14:paraId="243D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52D042A9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35BE69AD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6E1C3032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vAlign w:val="center"/>
          </w:tcPr>
          <w:p w14:paraId="5B70427C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 w14:paraId="4434E1A8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BE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67" w:type="dxa"/>
            <w:vMerge w:val="continue"/>
            <w:shd w:val="clear" w:color="auto" w:fill="auto"/>
            <w:vAlign w:val="center"/>
          </w:tcPr>
          <w:p w14:paraId="2444B163"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vMerge w:val="continue"/>
            <w:shd w:val="clear" w:color="auto" w:fill="auto"/>
            <w:vAlign w:val="center"/>
          </w:tcPr>
          <w:p w14:paraId="54614696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69" w:type="dxa"/>
            <w:vMerge w:val="continue"/>
            <w:shd w:val="clear" w:color="auto" w:fill="auto"/>
            <w:vAlign w:val="center"/>
          </w:tcPr>
          <w:p w14:paraId="64D0DE25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74" w:type="dxa"/>
            <w:vMerge w:val="continue"/>
            <w:shd w:val="clear" w:color="auto" w:fill="auto"/>
            <w:vAlign w:val="center"/>
          </w:tcPr>
          <w:p w14:paraId="68C9A750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05" w:type="dxa"/>
            <w:vMerge w:val="continue"/>
            <w:shd w:val="clear" w:color="auto" w:fill="auto"/>
            <w:vAlign w:val="center"/>
          </w:tcPr>
          <w:p w14:paraId="46FB009B"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B181860">
      <w:pPr>
        <w:spacing w:line="500" w:lineRule="exact"/>
        <w:jc w:val="left"/>
        <w:rPr>
          <w:rFonts w:ascii="Times New Roman" w:hAnsi="Times New Roman" w:eastAsia="方正仿宋_GBK"/>
          <w:sz w:val="28"/>
          <w:szCs w:val="28"/>
        </w:rPr>
      </w:pPr>
    </w:p>
    <w:p w14:paraId="7C5D8406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664BD01C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4692D319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0F6E1F41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2AF66246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0A746AA7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4EBD01CF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398CE249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529D5962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2BD3980A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75BFEB17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26A3915F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41F4B98D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3B307959">
      <w:pPr>
        <w:pStyle w:val="2"/>
        <w:rPr>
          <w:rFonts w:ascii="Times New Roman" w:hAnsi="Times New Roman" w:eastAsia="方正仿宋_GBK"/>
          <w:sz w:val="28"/>
          <w:szCs w:val="28"/>
        </w:rPr>
      </w:pPr>
    </w:p>
    <w:p w14:paraId="682229FE">
      <w:pPr>
        <w:pStyle w:val="2"/>
        <w:rPr>
          <w:rFonts w:hint="default"/>
        </w:rPr>
      </w:pPr>
    </w:p>
    <w:p w14:paraId="60909742">
      <w:pPr>
        <w:pStyle w:val="2"/>
        <w:rPr>
          <w:rFonts w:hint="default"/>
        </w:rPr>
      </w:pPr>
    </w:p>
    <w:p w14:paraId="78A47F35">
      <w:pPr>
        <w:spacing w:line="500" w:lineRule="exact"/>
        <w:ind w:firstLine="280" w:firstLineChars="1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2540</wp:posOffset>
                </wp:positionV>
                <wp:extent cx="561594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635"/>
                        </a:xfrm>
                        <a:prstGeom prst="line">
                          <a:avLst/>
                        </a:prstGeom>
                        <a:ln w="44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0.2pt;height:0.05pt;width:442.2pt;z-index:251663360;mso-width-relative:page;mso-height-relative:page;" filled="f" stroked="t" coordsize="21600,21600" o:gfxdata="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C65AbnU&#10;AAAABAEAAA8AAAAAAAAAAQAgAAAAIgAAAGRycy9kb3ducmV2LnhtbFBLAQIUABQAAAAIAIdO4kCc&#10;+KKk6wEAANoDAAAOAAAAAAAAAAEAIAAAACMBAABkcnMvZTJvRG9jLnhtbFBLBQYAAAAABgAGAFkB&#10;AACABQAAAAA=&#10;">
                <v:fill on="f" focussize="0,0"/>
                <v:stroke weight="0.3499212598425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>抄送：本局预算国库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股。</w:t>
      </w:r>
    </w:p>
    <w:p w14:paraId="3D740BF4">
      <w:pPr>
        <w:spacing w:line="520" w:lineRule="exact"/>
        <w:ind w:firstLine="280" w:firstLineChars="100"/>
        <w:jc w:val="both"/>
        <w:rPr>
          <w:rFonts w:hint="default" w:ascii="Times New Roman" w:hAnsi="Times New Roman" w:eastAsia="方正仿宋_GBK" w:cs="Times New Roman"/>
          <w:w w:val="9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358140</wp:posOffset>
                </wp:positionV>
                <wp:extent cx="5668010" cy="0"/>
                <wp:effectExtent l="0" t="4445" r="0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28.2pt;height:0pt;width:446.3pt;z-index:251662336;mso-width-relative:page;mso-height-relative:page;" filled="f" stroked="t" coordsize="21600,21600" o:gfxdata="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T7Ik1wAAAAgB&#10;AAAPAAAAAAAAAAEAIAAAACIAAABkcnMvZG93bnJldi54bWxQSwECFAAUAAAACACHTuJASamK5uMB&#10;AACqAwAADgAAAAAAAAABACAAAAAmAQAAZHJzL2Uyb0RvYy54bWxQSwUGAAAAAAYABgBZAQAAewUA&#10;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22860</wp:posOffset>
                </wp:positionV>
                <wp:extent cx="5668010" cy="0"/>
                <wp:effectExtent l="0" t="4445" r="0" b="508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8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4.85pt;margin-top:1.8pt;height:0pt;width:446.3pt;z-index:251661312;mso-width-relative:page;mso-height-relative:page;" filled="f" stroked="t" coordsize="21600,21600" o:gfxdata="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3c593VAAAABgEA&#10;AA8AAAAAAAAAAQAgAAAAIgAAAGRycy9kb3ducmV2LnhtbFBLAQIUABQAAAAIAIdO4kCguPx15AEA&#10;AKoDAAAOAAAAAAAAAAEAIAAAACQ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  <w:u w:val="none"/>
          <w:lang w:val="en-US" w:eastAsia="zh-CN"/>
        </w:rPr>
        <w:t>华宁县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财政局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pgSz w:w="11906" w:h="16838"/>
      <w:pgMar w:top="2041" w:right="1474" w:bottom="1304" w:left="1587" w:header="851" w:footer="992" w:gutter="0"/>
      <w:pgNumType w:fmt="decimal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Batang">
    <w:altName w:val="Noto Sans CJK KR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Noto Sans CJK KR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6307E">
    <w:pPr>
      <w:pStyle w:val="3"/>
      <w:wordWrap w:val="0"/>
      <w:ind w:right="72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B15D4">
                          <w:pPr>
                            <w:pStyle w:val="3"/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Batang" w:hAnsi="Batang" w:eastAsia="Batang" w:cs="Batang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B15D4">
                    <w:pPr>
                      <w:pStyle w:val="3"/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Batang" w:hAnsi="Batang" w:eastAsia="Batang" w:cs="Batang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5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F97"/>
    <w:rsid w:val="00032339"/>
    <w:rsid w:val="000539D2"/>
    <w:rsid w:val="000615CC"/>
    <w:rsid w:val="00064B2A"/>
    <w:rsid w:val="000755AD"/>
    <w:rsid w:val="00095E1C"/>
    <w:rsid w:val="000B05A4"/>
    <w:rsid w:val="000E3732"/>
    <w:rsid w:val="00114760"/>
    <w:rsid w:val="001B02E5"/>
    <w:rsid w:val="002712B6"/>
    <w:rsid w:val="002C082D"/>
    <w:rsid w:val="002E1F4F"/>
    <w:rsid w:val="003264BC"/>
    <w:rsid w:val="003A3165"/>
    <w:rsid w:val="003E66AF"/>
    <w:rsid w:val="003E6B9A"/>
    <w:rsid w:val="0043520C"/>
    <w:rsid w:val="004C0851"/>
    <w:rsid w:val="004C479D"/>
    <w:rsid w:val="00510BD8"/>
    <w:rsid w:val="005604E0"/>
    <w:rsid w:val="005B750E"/>
    <w:rsid w:val="005C4B21"/>
    <w:rsid w:val="005C59BC"/>
    <w:rsid w:val="006128E1"/>
    <w:rsid w:val="006376B0"/>
    <w:rsid w:val="00674A74"/>
    <w:rsid w:val="00680AB4"/>
    <w:rsid w:val="007D1E3D"/>
    <w:rsid w:val="007D3C78"/>
    <w:rsid w:val="007E11DE"/>
    <w:rsid w:val="007E578F"/>
    <w:rsid w:val="008D3ECD"/>
    <w:rsid w:val="00921DCD"/>
    <w:rsid w:val="00950E3B"/>
    <w:rsid w:val="009710E3"/>
    <w:rsid w:val="00985794"/>
    <w:rsid w:val="009D0F4F"/>
    <w:rsid w:val="00B7045C"/>
    <w:rsid w:val="00BC007F"/>
    <w:rsid w:val="00C34F97"/>
    <w:rsid w:val="00C45BEE"/>
    <w:rsid w:val="00CA7922"/>
    <w:rsid w:val="00DD7F11"/>
    <w:rsid w:val="00E7202B"/>
    <w:rsid w:val="00E9148B"/>
    <w:rsid w:val="00E9442D"/>
    <w:rsid w:val="00EC1817"/>
    <w:rsid w:val="00EE514E"/>
    <w:rsid w:val="00FE2877"/>
    <w:rsid w:val="017F8841"/>
    <w:rsid w:val="022F493C"/>
    <w:rsid w:val="03A72C26"/>
    <w:rsid w:val="047F0A77"/>
    <w:rsid w:val="048260A2"/>
    <w:rsid w:val="05B2011D"/>
    <w:rsid w:val="06E071F9"/>
    <w:rsid w:val="082E76C3"/>
    <w:rsid w:val="0874698B"/>
    <w:rsid w:val="08BB4D3C"/>
    <w:rsid w:val="0A695500"/>
    <w:rsid w:val="0A7F4BFF"/>
    <w:rsid w:val="0ABA0109"/>
    <w:rsid w:val="0AEB602B"/>
    <w:rsid w:val="0B9B4A1F"/>
    <w:rsid w:val="0BB6098B"/>
    <w:rsid w:val="0C284591"/>
    <w:rsid w:val="0D2E1868"/>
    <w:rsid w:val="0D6805FD"/>
    <w:rsid w:val="0DBB04E9"/>
    <w:rsid w:val="103E2CA6"/>
    <w:rsid w:val="13673C4E"/>
    <w:rsid w:val="139F4EB9"/>
    <w:rsid w:val="145C5533"/>
    <w:rsid w:val="147D107E"/>
    <w:rsid w:val="15177AE6"/>
    <w:rsid w:val="154A0B34"/>
    <w:rsid w:val="15EC3507"/>
    <w:rsid w:val="17452DA5"/>
    <w:rsid w:val="178C3202"/>
    <w:rsid w:val="17D659F1"/>
    <w:rsid w:val="17E44C80"/>
    <w:rsid w:val="190D405A"/>
    <w:rsid w:val="1A5C76BB"/>
    <w:rsid w:val="1A7E5729"/>
    <w:rsid w:val="1ACD5465"/>
    <w:rsid w:val="1B4E43F0"/>
    <w:rsid w:val="1BAF2D8E"/>
    <w:rsid w:val="1C813DCC"/>
    <w:rsid w:val="1C9F2E01"/>
    <w:rsid w:val="1E6D5020"/>
    <w:rsid w:val="1EEE1F03"/>
    <w:rsid w:val="1F07BEE0"/>
    <w:rsid w:val="1FBD71DA"/>
    <w:rsid w:val="1FDB52E2"/>
    <w:rsid w:val="1FF7B9D7"/>
    <w:rsid w:val="20160915"/>
    <w:rsid w:val="20831E5B"/>
    <w:rsid w:val="220961D1"/>
    <w:rsid w:val="225200EF"/>
    <w:rsid w:val="231670F5"/>
    <w:rsid w:val="23E7FB61"/>
    <w:rsid w:val="24D41AFA"/>
    <w:rsid w:val="26B25742"/>
    <w:rsid w:val="27FB1228"/>
    <w:rsid w:val="286C62E4"/>
    <w:rsid w:val="29341A44"/>
    <w:rsid w:val="29F123BC"/>
    <w:rsid w:val="29F606F1"/>
    <w:rsid w:val="2A1972AE"/>
    <w:rsid w:val="2ACE5C64"/>
    <w:rsid w:val="2B451080"/>
    <w:rsid w:val="2BA047BC"/>
    <w:rsid w:val="2BBD744E"/>
    <w:rsid w:val="2DF13D37"/>
    <w:rsid w:val="2E2D512C"/>
    <w:rsid w:val="2E9B0537"/>
    <w:rsid w:val="2F822A62"/>
    <w:rsid w:val="2FBE60EA"/>
    <w:rsid w:val="2FC440F9"/>
    <w:rsid w:val="2FEBDAA6"/>
    <w:rsid w:val="2FFDB677"/>
    <w:rsid w:val="30520DD1"/>
    <w:rsid w:val="306C5487"/>
    <w:rsid w:val="31D504D2"/>
    <w:rsid w:val="31FA6199"/>
    <w:rsid w:val="325D04D3"/>
    <w:rsid w:val="35072597"/>
    <w:rsid w:val="357F4571"/>
    <w:rsid w:val="35C60DA5"/>
    <w:rsid w:val="367D9293"/>
    <w:rsid w:val="36E733E8"/>
    <w:rsid w:val="37243EB8"/>
    <w:rsid w:val="379B02FB"/>
    <w:rsid w:val="37D42BA0"/>
    <w:rsid w:val="37F70AFB"/>
    <w:rsid w:val="37F92924"/>
    <w:rsid w:val="37FE8E63"/>
    <w:rsid w:val="38F78069"/>
    <w:rsid w:val="3A9F2FE8"/>
    <w:rsid w:val="3AFD7071"/>
    <w:rsid w:val="3BAF2E4B"/>
    <w:rsid w:val="3BBE0646"/>
    <w:rsid w:val="3BF92494"/>
    <w:rsid w:val="3C376979"/>
    <w:rsid w:val="3C6B0C5F"/>
    <w:rsid w:val="3C749704"/>
    <w:rsid w:val="3CDFA0AE"/>
    <w:rsid w:val="3D0302BD"/>
    <w:rsid w:val="3D0E68F7"/>
    <w:rsid w:val="3D4F2F6B"/>
    <w:rsid w:val="3D9EAF5F"/>
    <w:rsid w:val="3DA9DFF5"/>
    <w:rsid w:val="3DBD986F"/>
    <w:rsid w:val="3DFD003B"/>
    <w:rsid w:val="3DFF65C5"/>
    <w:rsid w:val="3EFDC08F"/>
    <w:rsid w:val="3F5D53A3"/>
    <w:rsid w:val="3F5FB6C8"/>
    <w:rsid w:val="3FBDEEA3"/>
    <w:rsid w:val="3FBF0B96"/>
    <w:rsid w:val="3FCE77D8"/>
    <w:rsid w:val="3FD31D1A"/>
    <w:rsid w:val="3FDF5F59"/>
    <w:rsid w:val="3FDF8D9F"/>
    <w:rsid w:val="3FEB0306"/>
    <w:rsid w:val="3FEF2ED7"/>
    <w:rsid w:val="3FEF313D"/>
    <w:rsid w:val="3FFE56F3"/>
    <w:rsid w:val="41524D2E"/>
    <w:rsid w:val="42DA3803"/>
    <w:rsid w:val="441A37D3"/>
    <w:rsid w:val="44F311F7"/>
    <w:rsid w:val="453E61E0"/>
    <w:rsid w:val="460F4DB2"/>
    <w:rsid w:val="467F45BC"/>
    <w:rsid w:val="46FD4AB7"/>
    <w:rsid w:val="470730E7"/>
    <w:rsid w:val="47291516"/>
    <w:rsid w:val="477D2D6F"/>
    <w:rsid w:val="47EF57E2"/>
    <w:rsid w:val="47FEC0CD"/>
    <w:rsid w:val="487D6524"/>
    <w:rsid w:val="49ABBD6F"/>
    <w:rsid w:val="4B5780E3"/>
    <w:rsid w:val="4B5869BB"/>
    <w:rsid w:val="4B8725BB"/>
    <w:rsid w:val="4D0B020E"/>
    <w:rsid w:val="4E190719"/>
    <w:rsid w:val="4F2C3884"/>
    <w:rsid w:val="4F71C337"/>
    <w:rsid w:val="4FABDBEA"/>
    <w:rsid w:val="4FBC614C"/>
    <w:rsid w:val="4FF5AEF7"/>
    <w:rsid w:val="521405B2"/>
    <w:rsid w:val="52CC9C47"/>
    <w:rsid w:val="53DFC414"/>
    <w:rsid w:val="53FE96C0"/>
    <w:rsid w:val="5437167A"/>
    <w:rsid w:val="556A5494"/>
    <w:rsid w:val="55A47DD2"/>
    <w:rsid w:val="55C86D02"/>
    <w:rsid w:val="55CE70B7"/>
    <w:rsid w:val="55DF1A73"/>
    <w:rsid w:val="55F37C40"/>
    <w:rsid w:val="56847DB9"/>
    <w:rsid w:val="56B23EE3"/>
    <w:rsid w:val="57E9A842"/>
    <w:rsid w:val="581F2E1D"/>
    <w:rsid w:val="597C96E5"/>
    <w:rsid w:val="5A71200C"/>
    <w:rsid w:val="5ACB4093"/>
    <w:rsid w:val="5C497844"/>
    <w:rsid w:val="5C960873"/>
    <w:rsid w:val="5CB6247B"/>
    <w:rsid w:val="5DEC6249"/>
    <w:rsid w:val="5ECBB09B"/>
    <w:rsid w:val="5EF349CD"/>
    <w:rsid w:val="5F0EDE71"/>
    <w:rsid w:val="5F2E4200"/>
    <w:rsid w:val="5F3FB8D2"/>
    <w:rsid w:val="5F5C0FE6"/>
    <w:rsid w:val="5F999DAC"/>
    <w:rsid w:val="5F9F6EA5"/>
    <w:rsid w:val="5F9F8F89"/>
    <w:rsid w:val="5FCFBFF5"/>
    <w:rsid w:val="5FE32B2D"/>
    <w:rsid w:val="5FEE1BD1"/>
    <w:rsid w:val="5FF76974"/>
    <w:rsid w:val="5FFE64FA"/>
    <w:rsid w:val="613215AA"/>
    <w:rsid w:val="614A74F3"/>
    <w:rsid w:val="61E643DB"/>
    <w:rsid w:val="62582E28"/>
    <w:rsid w:val="635BFA00"/>
    <w:rsid w:val="65730378"/>
    <w:rsid w:val="659D0EF1"/>
    <w:rsid w:val="66410EA1"/>
    <w:rsid w:val="667DA5AF"/>
    <w:rsid w:val="66882C46"/>
    <w:rsid w:val="66D718F3"/>
    <w:rsid w:val="67AFBD4F"/>
    <w:rsid w:val="67BF0286"/>
    <w:rsid w:val="67C055B0"/>
    <w:rsid w:val="67C4718E"/>
    <w:rsid w:val="680E6B20"/>
    <w:rsid w:val="683BBFFF"/>
    <w:rsid w:val="686A57AE"/>
    <w:rsid w:val="69580C46"/>
    <w:rsid w:val="696A3CDA"/>
    <w:rsid w:val="69DE3E62"/>
    <w:rsid w:val="6A7FB461"/>
    <w:rsid w:val="6B997CA1"/>
    <w:rsid w:val="6BDED4D9"/>
    <w:rsid w:val="6BDF1921"/>
    <w:rsid w:val="6C2E46AC"/>
    <w:rsid w:val="6DB726D6"/>
    <w:rsid w:val="6DDA2556"/>
    <w:rsid w:val="6DDFC727"/>
    <w:rsid w:val="6DF77E49"/>
    <w:rsid w:val="6DFB0CE9"/>
    <w:rsid w:val="6F56370E"/>
    <w:rsid w:val="6F5F2565"/>
    <w:rsid w:val="6FBDFADA"/>
    <w:rsid w:val="6FBF287F"/>
    <w:rsid w:val="6FDF01A3"/>
    <w:rsid w:val="6FE9DC53"/>
    <w:rsid w:val="6FF8C94A"/>
    <w:rsid w:val="6FFBA25A"/>
    <w:rsid w:val="6FFFD904"/>
    <w:rsid w:val="702A24DF"/>
    <w:rsid w:val="716141D7"/>
    <w:rsid w:val="71FEB4D8"/>
    <w:rsid w:val="72B60684"/>
    <w:rsid w:val="73B779FF"/>
    <w:rsid w:val="73DD1208"/>
    <w:rsid w:val="73F5E98D"/>
    <w:rsid w:val="75193D9F"/>
    <w:rsid w:val="7537061B"/>
    <w:rsid w:val="75FB0310"/>
    <w:rsid w:val="763C456C"/>
    <w:rsid w:val="76BF6EC3"/>
    <w:rsid w:val="76FB206A"/>
    <w:rsid w:val="774B308F"/>
    <w:rsid w:val="7774CCB9"/>
    <w:rsid w:val="77C9223D"/>
    <w:rsid w:val="77D4751C"/>
    <w:rsid w:val="77E7B80D"/>
    <w:rsid w:val="77EEFAA9"/>
    <w:rsid w:val="78575EEF"/>
    <w:rsid w:val="78CB18B9"/>
    <w:rsid w:val="793F510B"/>
    <w:rsid w:val="79AE4B5D"/>
    <w:rsid w:val="79CBC06C"/>
    <w:rsid w:val="79F55F4E"/>
    <w:rsid w:val="7A4C43B2"/>
    <w:rsid w:val="7AD75333"/>
    <w:rsid w:val="7ADFBA2F"/>
    <w:rsid w:val="7AEF3B45"/>
    <w:rsid w:val="7AFFC8AA"/>
    <w:rsid w:val="7B7F806D"/>
    <w:rsid w:val="7BB2E039"/>
    <w:rsid w:val="7BDA1DAF"/>
    <w:rsid w:val="7BDE3E05"/>
    <w:rsid w:val="7BEF53F3"/>
    <w:rsid w:val="7BFA20F1"/>
    <w:rsid w:val="7BFD94E1"/>
    <w:rsid w:val="7C2F4711"/>
    <w:rsid w:val="7C474869"/>
    <w:rsid w:val="7CFBDDFF"/>
    <w:rsid w:val="7CFF4752"/>
    <w:rsid w:val="7D275532"/>
    <w:rsid w:val="7D3FC59B"/>
    <w:rsid w:val="7D4F9FD3"/>
    <w:rsid w:val="7D71A113"/>
    <w:rsid w:val="7D99FDE0"/>
    <w:rsid w:val="7DB26FA7"/>
    <w:rsid w:val="7DB5669D"/>
    <w:rsid w:val="7DB9E6F6"/>
    <w:rsid w:val="7DCF3E94"/>
    <w:rsid w:val="7DFF1DB1"/>
    <w:rsid w:val="7DFF6E8A"/>
    <w:rsid w:val="7DFFCC09"/>
    <w:rsid w:val="7EB72399"/>
    <w:rsid w:val="7EBF4A1E"/>
    <w:rsid w:val="7ECFD8C8"/>
    <w:rsid w:val="7EE7083A"/>
    <w:rsid w:val="7EEC9F81"/>
    <w:rsid w:val="7EEF6968"/>
    <w:rsid w:val="7EFEBC8E"/>
    <w:rsid w:val="7F3526EE"/>
    <w:rsid w:val="7F384BC2"/>
    <w:rsid w:val="7F3D0A67"/>
    <w:rsid w:val="7F7D822E"/>
    <w:rsid w:val="7F7E9C5A"/>
    <w:rsid w:val="7F7EBF43"/>
    <w:rsid w:val="7F7F4051"/>
    <w:rsid w:val="7F879E7A"/>
    <w:rsid w:val="7F9DF17D"/>
    <w:rsid w:val="7F9F0828"/>
    <w:rsid w:val="7F9F0D18"/>
    <w:rsid w:val="7FBEBCD1"/>
    <w:rsid w:val="7FDD70FB"/>
    <w:rsid w:val="7FDEAFCB"/>
    <w:rsid w:val="7FDF9F4B"/>
    <w:rsid w:val="7FE734FE"/>
    <w:rsid w:val="7FE912DF"/>
    <w:rsid w:val="7FF3987A"/>
    <w:rsid w:val="7FFAF6E5"/>
    <w:rsid w:val="7FFDA6F6"/>
    <w:rsid w:val="7FFEBC86"/>
    <w:rsid w:val="7FFF5463"/>
    <w:rsid w:val="7FFF7BC6"/>
    <w:rsid w:val="7FFF91D2"/>
    <w:rsid w:val="7FFFE507"/>
    <w:rsid w:val="93F5A1FB"/>
    <w:rsid w:val="93FF165C"/>
    <w:rsid w:val="99FEE7BC"/>
    <w:rsid w:val="9D3B270E"/>
    <w:rsid w:val="9E9B0D24"/>
    <w:rsid w:val="9EAF821E"/>
    <w:rsid w:val="9FD40DBB"/>
    <w:rsid w:val="9FEB9E71"/>
    <w:rsid w:val="9FEE291F"/>
    <w:rsid w:val="9FF20ECE"/>
    <w:rsid w:val="A6DC23B3"/>
    <w:rsid w:val="A6EBF6ED"/>
    <w:rsid w:val="AB7B9AF9"/>
    <w:rsid w:val="ABFFC32D"/>
    <w:rsid w:val="AE7A30E3"/>
    <w:rsid w:val="AE9F40E3"/>
    <w:rsid w:val="AF7D8AB8"/>
    <w:rsid w:val="AF7EC9C4"/>
    <w:rsid w:val="AFDF4C7D"/>
    <w:rsid w:val="AFF78FF8"/>
    <w:rsid w:val="AFF92C20"/>
    <w:rsid w:val="AFFD9775"/>
    <w:rsid w:val="AFFDA2EC"/>
    <w:rsid w:val="B4FFBEE1"/>
    <w:rsid w:val="B6FFEA21"/>
    <w:rsid w:val="B74CF76B"/>
    <w:rsid w:val="B7E949A6"/>
    <w:rsid w:val="BA6A3F88"/>
    <w:rsid w:val="BAF7BC04"/>
    <w:rsid w:val="BB6E9779"/>
    <w:rsid w:val="BB9B5915"/>
    <w:rsid w:val="BBDE7582"/>
    <w:rsid w:val="BBFFABC0"/>
    <w:rsid w:val="BDBF53C5"/>
    <w:rsid w:val="BE93795D"/>
    <w:rsid w:val="BEAFD99B"/>
    <w:rsid w:val="BEB70FCD"/>
    <w:rsid w:val="BEEE8C42"/>
    <w:rsid w:val="BF5FE413"/>
    <w:rsid w:val="BF77F370"/>
    <w:rsid w:val="BFDB903F"/>
    <w:rsid w:val="BFDF6A93"/>
    <w:rsid w:val="BFF3E6DF"/>
    <w:rsid w:val="BFFB2529"/>
    <w:rsid w:val="BFFB55DD"/>
    <w:rsid w:val="C4FFE0CF"/>
    <w:rsid w:val="C7FF3BC7"/>
    <w:rsid w:val="C9EC6A62"/>
    <w:rsid w:val="C9FDB2D6"/>
    <w:rsid w:val="CD7FE14C"/>
    <w:rsid w:val="CE75BCBC"/>
    <w:rsid w:val="CEEF5E9C"/>
    <w:rsid w:val="CFFF80E3"/>
    <w:rsid w:val="D5FB3271"/>
    <w:rsid w:val="D5FE9B55"/>
    <w:rsid w:val="D6FFD3A3"/>
    <w:rsid w:val="D7D7D5F6"/>
    <w:rsid w:val="D9D145A1"/>
    <w:rsid w:val="D9FD6A12"/>
    <w:rsid w:val="DBC3B13A"/>
    <w:rsid w:val="DBDFB595"/>
    <w:rsid w:val="DDFE8EE9"/>
    <w:rsid w:val="DDFFB082"/>
    <w:rsid w:val="DE25412F"/>
    <w:rsid w:val="DE3E3F68"/>
    <w:rsid w:val="DE5AF73B"/>
    <w:rsid w:val="DEBE1FD5"/>
    <w:rsid w:val="DEDD7921"/>
    <w:rsid w:val="DEFD031A"/>
    <w:rsid w:val="DF3EB2E7"/>
    <w:rsid w:val="DF66BBCE"/>
    <w:rsid w:val="DF7AB57C"/>
    <w:rsid w:val="DF84F0BC"/>
    <w:rsid w:val="DF8723F9"/>
    <w:rsid w:val="DF8FFAC8"/>
    <w:rsid w:val="DFA571B7"/>
    <w:rsid w:val="DFD5D541"/>
    <w:rsid w:val="DFD902C0"/>
    <w:rsid w:val="DFDF5A7B"/>
    <w:rsid w:val="DFDF7278"/>
    <w:rsid w:val="DFEB9218"/>
    <w:rsid w:val="DFEFB28B"/>
    <w:rsid w:val="E2D7AB79"/>
    <w:rsid w:val="E2EBB919"/>
    <w:rsid w:val="E377F5F8"/>
    <w:rsid w:val="E5C64DFB"/>
    <w:rsid w:val="E5FB76F0"/>
    <w:rsid w:val="E6BF8624"/>
    <w:rsid w:val="E7BDF57B"/>
    <w:rsid w:val="E7BE85FD"/>
    <w:rsid w:val="E7E7BAE8"/>
    <w:rsid w:val="E9BEDA24"/>
    <w:rsid w:val="EA4B29CE"/>
    <w:rsid w:val="EB7F3B79"/>
    <w:rsid w:val="EBFBB68C"/>
    <w:rsid w:val="EBFD737E"/>
    <w:rsid w:val="ECF38DC9"/>
    <w:rsid w:val="EDAF475D"/>
    <w:rsid w:val="EDB705C8"/>
    <w:rsid w:val="EDFAFE91"/>
    <w:rsid w:val="EDFDFE94"/>
    <w:rsid w:val="EDFE9564"/>
    <w:rsid w:val="EF3F532F"/>
    <w:rsid w:val="EF674AD7"/>
    <w:rsid w:val="EF6FC30D"/>
    <w:rsid w:val="EF9C356B"/>
    <w:rsid w:val="EFE730B5"/>
    <w:rsid w:val="EFF53DDD"/>
    <w:rsid w:val="EFFF06DF"/>
    <w:rsid w:val="EFFFA740"/>
    <w:rsid w:val="F1FFA312"/>
    <w:rsid w:val="F2FFC536"/>
    <w:rsid w:val="F3B4BE3F"/>
    <w:rsid w:val="F3DC401D"/>
    <w:rsid w:val="F45F1345"/>
    <w:rsid w:val="F549A5C6"/>
    <w:rsid w:val="F5AF251F"/>
    <w:rsid w:val="F5D7152E"/>
    <w:rsid w:val="F6B4A2FD"/>
    <w:rsid w:val="F6BE9761"/>
    <w:rsid w:val="F6BF7168"/>
    <w:rsid w:val="F6EF1EE2"/>
    <w:rsid w:val="F6FE48A4"/>
    <w:rsid w:val="F79FBC6B"/>
    <w:rsid w:val="F7CE151D"/>
    <w:rsid w:val="F7FBD7F6"/>
    <w:rsid w:val="F87F0C66"/>
    <w:rsid w:val="F87F0E7D"/>
    <w:rsid w:val="F96E6DFF"/>
    <w:rsid w:val="F9ABE0CE"/>
    <w:rsid w:val="F9B74600"/>
    <w:rsid w:val="FB3F2347"/>
    <w:rsid w:val="FB5A8FCE"/>
    <w:rsid w:val="FB86EA3C"/>
    <w:rsid w:val="FBAEA0D2"/>
    <w:rsid w:val="FBED8C34"/>
    <w:rsid w:val="FBEFD42A"/>
    <w:rsid w:val="FBEFF1E0"/>
    <w:rsid w:val="FBF74481"/>
    <w:rsid w:val="FBFF7FC0"/>
    <w:rsid w:val="FC7E520F"/>
    <w:rsid w:val="FCDF4ACB"/>
    <w:rsid w:val="FCFF2A63"/>
    <w:rsid w:val="FD074B1C"/>
    <w:rsid w:val="FD5FEB6C"/>
    <w:rsid w:val="FD767B7E"/>
    <w:rsid w:val="FDAFA6A3"/>
    <w:rsid w:val="FDB7CD3E"/>
    <w:rsid w:val="FDDDFDEB"/>
    <w:rsid w:val="FDEF9D89"/>
    <w:rsid w:val="FDFF8A3F"/>
    <w:rsid w:val="FE7D2FA7"/>
    <w:rsid w:val="FEABD4B2"/>
    <w:rsid w:val="FEBC166C"/>
    <w:rsid w:val="FEC760D8"/>
    <w:rsid w:val="FECF5E54"/>
    <w:rsid w:val="FEE6EB9D"/>
    <w:rsid w:val="FEE769DD"/>
    <w:rsid w:val="FEEF74A3"/>
    <w:rsid w:val="FEF58CE2"/>
    <w:rsid w:val="FEF7472F"/>
    <w:rsid w:val="FEFBE127"/>
    <w:rsid w:val="FEFF2106"/>
    <w:rsid w:val="FEFF236A"/>
    <w:rsid w:val="FF0FA008"/>
    <w:rsid w:val="FF3C75E2"/>
    <w:rsid w:val="FF3E7F23"/>
    <w:rsid w:val="FF4DCD67"/>
    <w:rsid w:val="FF5FCCF5"/>
    <w:rsid w:val="FF6F42CE"/>
    <w:rsid w:val="FF932757"/>
    <w:rsid w:val="FF9F2436"/>
    <w:rsid w:val="FFB3F317"/>
    <w:rsid w:val="FFBA4868"/>
    <w:rsid w:val="FFBFA0A5"/>
    <w:rsid w:val="FFBFF601"/>
    <w:rsid w:val="FFCFAFC2"/>
    <w:rsid w:val="FFD36B6F"/>
    <w:rsid w:val="FFE7044A"/>
    <w:rsid w:val="FFF6ACCC"/>
    <w:rsid w:val="FFF72C6A"/>
    <w:rsid w:val="FFF94AC9"/>
    <w:rsid w:val="FFF983F1"/>
    <w:rsid w:val="FFFB30D2"/>
    <w:rsid w:val="FFFB4C0C"/>
    <w:rsid w:val="FFFD08A2"/>
    <w:rsid w:val="FFFD1664"/>
    <w:rsid w:val="FFFD9B90"/>
    <w:rsid w:val="FFFED70F"/>
    <w:rsid w:val="FFFF4C30"/>
    <w:rsid w:val="FFFFF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61"/>
    <w:basedOn w:val="7"/>
    <w:qFormat/>
    <w:uiPriority w:val="0"/>
    <w:rPr>
      <w:rFonts w:ascii="方正小标宋_GBK" w:hAnsi="方正小标宋_GBK" w:eastAsia="方正小标宋_GBK" w:cs="方正小标宋_GBK"/>
      <w:b/>
      <w:bCs/>
      <w:color w:val="000000"/>
      <w:sz w:val="20"/>
      <w:szCs w:val="20"/>
      <w:u w:val="none"/>
    </w:rPr>
  </w:style>
  <w:style w:type="character" w:customStyle="1" w:styleId="11">
    <w:name w:val="font7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13">
    <w:name w:val="font3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4">
    <w:name w:val="font51"/>
    <w:basedOn w:val="7"/>
    <w:qFormat/>
    <w:uiPriority w:val="0"/>
    <w:rPr>
      <w:rFonts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2492</Words>
  <Characters>2845</Characters>
  <Lines>2</Lines>
  <Paragraphs>1</Paragraphs>
  <TotalTime>2</TotalTime>
  <ScaleCrop>false</ScaleCrop>
  <LinksUpToDate>false</LinksUpToDate>
  <CharactersWithSpaces>2855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2018-09-14T01:32:00Z</dcterms:created>
  <dc:creator>市财政局</dc:creator>
  <cp:lastModifiedBy>user</cp:lastModifiedBy>
  <dcterms:modified xsi:type="dcterms:W3CDTF">2026-01-15T16:59:07Z</dcterms:modified>
  <dc:title>玉溪市财政局文件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5B3D4777F149432499F228235568C993</vt:lpwstr>
  </property>
  <property fmtid="{D5CDD505-2E9C-101B-9397-08002B2CF9AE}" pid="4" name="KSOTemplateDocerSaveRecord">
    <vt:lpwstr>eyJoZGlkIjoiMjVhZjdhYmQxN2NjMWM5OWViY2U4NGVlNWY3ZjlhNjUifQ==</vt:lpwstr>
  </property>
</Properties>
</file>