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 w:val="left" w:pos="7980"/>
        </w:tabs>
        <w:spacing w:line="500" w:lineRule="exact"/>
        <w:rPr>
          <w:rFonts w:hint="eastAsia" w:eastAsia="方正仿宋_GBK"/>
          <w:sz w:val="32"/>
          <w:szCs w:val="32"/>
        </w:rPr>
      </w:pPr>
      <w:r>
        <w:rPr>
          <w:rFonts w:hint="eastAsia" w:eastAsia="方正仿宋_GBK"/>
          <w:sz w:val="32"/>
          <w:szCs w:val="32"/>
          <w:lang w:eastAsia="zh-CN"/>
        </w:rPr>
        <w:t>附件</w:t>
      </w:r>
      <w:r>
        <w:rPr>
          <w:rFonts w:hint="eastAsia" w:eastAsia="方正仿宋_GBK"/>
          <w:sz w:val="32"/>
          <w:szCs w:val="32"/>
        </w:rPr>
        <w:t xml:space="preserve">    </w:t>
      </w:r>
    </w:p>
    <w:p>
      <w:pPr>
        <w:tabs>
          <w:tab w:val="left" w:pos="7560"/>
          <w:tab w:val="left" w:pos="7980"/>
        </w:tabs>
        <w:spacing w:line="570" w:lineRule="exact"/>
        <w:jc w:val="center"/>
        <w:rPr>
          <w:rFonts w:hint="eastAsia" w:ascii="方正小标宋_GBK" w:eastAsia="方正小标宋_GBK"/>
          <w:sz w:val="44"/>
          <w:szCs w:val="44"/>
        </w:rPr>
      </w:pPr>
      <w:r>
        <w:rPr>
          <w:rFonts w:hint="eastAsia" w:ascii="方正小标宋_GBK" w:eastAsia="方正小标宋_GBK"/>
          <w:sz w:val="44"/>
          <w:szCs w:val="44"/>
          <w:lang w:eastAsia="zh-CN"/>
        </w:rPr>
        <w:t>华宁县</w:t>
      </w:r>
      <w:r>
        <w:rPr>
          <w:rFonts w:hint="eastAsia" w:ascii="方正小标宋_GBK" w:eastAsia="方正小标宋_GBK"/>
          <w:sz w:val="44"/>
          <w:szCs w:val="44"/>
        </w:rPr>
        <w:t>贯彻落实</w:t>
      </w:r>
      <w:r>
        <w:rPr>
          <w:rFonts w:hint="eastAsia" w:ascii="方正小标宋_GBK" w:eastAsia="方正小标宋_GBK"/>
          <w:sz w:val="44"/>
          <w:szCs w:val="44"/>
          <w:lang w:eastAsia="zh-CN"/>
        </w:rPr>
        <w:t>玉溪市政府办公室</w:t>
      </w:r>
      <w:r>
        <w:rPr>
          <w:rFonts w:hint="eastAsia" w:ascii="方正小标宋_GBK" w:eastAsia="方正小标宋_GBK"/>
          <w:sz w:val="44"/>
          <w:szCs w:val="44"/>
        </w:rPr>
        <w:t>2017 年政务公开工作要点分工方案</w:t>
      </w:r>
    </w:p>
    <w:p>
      <w:pPr>
        <w:spacing w:line="400" w:lineRule="exact"/>
        <w:rPr>
          <w:rFonts w:hint="eastAsia" w:eastAsia="方正仿宋_GBK"/>
          <w:sz w:val="32"/>
          <w:szCs w:val="32"/>
        </w:rPr>
      </w:pPr>
      <w:r>
        <w:rPr>
          <w:rFonts w:hint="eastAsia" w:ascii="方正小标宋_GBK" w:eastAsia="方正小标宋_GBK"/>
          <w:sz w:val="44"/>
          <w:szCs w:val="44"/>
        </w:rPr>
        <mc:AlternateContent>
          <mc:Choice Requires="wps">
            <w:drawing>
              <wp:anchor distT="0" distB="0" distL="114300" distR="114300" simplePos="0" relativeHeight="251662336" behindDoc="0" locked="0" layoutInCell="1" allowOverlap="1">
                <wp:simplePos x="0" y="0"/>
                <wp:positionH relativeFrom="column">
                  <wp:posOffset>-600075</wp:posOffset>
                </wp:positionH>
                <wp:positionV relativeFrom="paragraph">
                  <wp:posOffset>1905</wp:posOffset>
                </wp:positionV>
                <wp:extent cx="466725" cy="619125"/>
                <wp:effectExtent l="4445" t="4445" r="5080" b="5080"/>
                <wp:wrapNone/>
                <wp:docPr id="8" name="文本框 2"/>
                <wp:cNvGraphicFramePr/>
                <a:graphic xmlns:a="http://schemas.openxmlformats.org/drawingml/2006/main">
                  <a:graphicData uri="http://schemas.microsoft.com/office/word/2010/wordprocessingShape">
                    <wps:wsp>
                      <wps:cNvSpPr txBox="1"/>
                      <wps:spPr>
                        <a:xfrm>
                          <a:off x="0" y="0"/>
                          <a:ext cx="466725" cy="61912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80" w:lineRule="exact"/>
                            </w:pPr>
                          </w:p>
                        </w:txbxContent>
                      </wps:txbx>
                      <wps:bodyPr vert="eaVert" upright="1"/>
                    </wps:wsp>
                  </a:graphicData>
                </a:graphic>
              </wp:anchor>
            </w:drawing>
          </mc:Choice>
          <mc:Fallback>
            <w:pict>
              <v:shape id="文本框 2" o:spid="_x0000_s1026" o:spt="202" type="#_x0000_t202" style="position:absolute;left:0pt;margin-left:-47.25pt;margin-top:0.15pt;height:48.75pt;width:36.75pt;z-index:251662336;mso-width-relative:page;mso-height-relative:page;" fillcolor="#FFFFFF" filled="t" stroked="t" coordsize="21600,21600" o:gfxdata="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&#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UqVJJNQAAAAHAQAADwAAAAAAAAABACAAAAA4AAAAZHJz&#10;L2Rvd25yZXYueG1sUEsBAhQAFAAAAAgAh07iQG5rjObyAQAA9QMAAA4AAAAAAAAAAQAgAAAAOQEA&#10;AGRycy9lMm9Eb2MueG1sUEsFBgAAAAAGAAYAWQEAAJ0FAAAAAA==&#10;">
                <v:fill on="t" focussize="0,0"/>
                <v:stroke color="#FFFFFF" joinstyle="miter"/>
                <v:imagedata o:title=""/>
                <o:lock v:ext="edit" aspectratio="f"/>
                <v:textbox style="layout-flow:vertical-ideographic;">
                  <w:txbxContent>
                    <w:p>
                      <w:pPr>
                        <w:spacing w:line="480" w:lineRule="exact"/>
                      </w:pPr>
                    </w:p>
                  </w:txbxContent>
                </v:textbox>
              </v:shape>
            </w:pict>
          </mc:Fallback>
        </mc:AlternateContent>
      </w:r>
    </w:p>
    <w:tbl>
      <w:tblPr>
        <w:tblStyle w:val="6"/>
        <w:tblW w:w="14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78"/>
        <w:gridCol w:w="1410"/>
        <w:gridCol w:w="7267"/>
        <w:gridCol w:w="252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03" w:type="dxa"/>
            <w:vAlign w:val="center"/>
          </w:tcPr>
          <w:p>
            <w:pPr>
              <w:pStyle w:val="4"/>
              <w:jc w:val="center"/>
              <w:rPr>
                <w:rFonts w:hint="eastAsia" w:ascii="方正黑体_GBK" w:eastAsia="方正黑体_GBK" w:cs="Times New Roman"/>
                <w:color w:val="000000"/>
                <w:sz w:val="21"/>
                <w:szCs w:val="21"/>
              </w:rPr>
            </w:pPr>
            <w:r>
              <w:rPr>
                <w:rFonts w:hint="eastAsia" w:ascii="方正黑体_GBK" w:eastAsia="方正黑体_GBK" w:cs="Times New Roman"/>
                <w:color w:val="000000"/>
                <w:sz w:val="21"/>
                <w:szCs w:val="21"/>
              </w:rPr>
              <w:t>序号</w:t>
            </w:r>
          </w:p>
        </w:tc>
        <w:tc>
          <w:tcPr>
            <w:tcW w:w="2288" w:type="dxa"/>
            <w:gridSpan w:val="2"/>
            <w:vAlign w:val="center"/>
          </w:tcPr>
          <w:p>
            <w:pPr>
              <w:pStyle w:val="4"/>
              <w:jc w:val="center"/>
              <w:rPr>
                <w:rFonts w:hint="eastAsia" w:ascii="方正黑体_GBK" w:eastAsia="方正黑体_GBK"/>
                <w:color w:val="000000"/>
                <w:sz w:val="21"/>
                <w:szCs w:val="21"/>
              </w:rPr>
            </w:pPr>
            <w:r>
              <w:rPr>
                <w:rFonts w:hint="eastAsia" w:ascii="方正黑体_GBK" w:eastAsia="方正黑体_GBK"/>
                <w:color w:val="000000"/>
                <w:sz w:val="21"/>
                <w:szCs w:val="21"/>
              </w:rPr>
              <w:t>工作任务</w:t>
            </w:r>
          </w:p>
        </w:tc>
        <w:tc>
          <w:tcPr>
            <w:tcW w:w="7267" w:type="dxa"/>
            <w:vAlign w:val="center"/>
          </w:tcPr>
          <w:p>
            <w:pPr>
              <w:pStyle w:val="4"/>
              <w:jc w:val="center"/>
              <w:rPr>
                <w:rFonts w:hint="eastAsia" w:ascii="方正黑体_GBK" w:eastAsia="方正黑体_GBK"/>
                <w:color w:val="000000"/>
                <w:sz w:val="21"/>
                <w:szCs w:val="21"/>
              </w:rPr>
            </w:pPr>
            <w:r>
              <w:rPr>
                <w:rFonts w:hint="eastAsia" w:ascii="方正黑体_GBK" w:eastAsia="方正黑体_GBK"/>
                <w:color w:val="000000"/>
                <w:sz w:val="21"/>
                <w:szCs w:val="21"/>
              </w:rPr>
              <w:t>具体要求</w:t>
            </w:r>
          </w:p>
        </w:tc>
        <w:tc>
          <w:tcPr>
            <w:tcW w:w="2520" w:type="dxa"/>
            <w:vAlign w:val="center"/>
          </w:tcPr>
          <w:p>
            <w:pPr>
              <w:pStyle w:val="4"/>
              <w:jc w:val="center"/>
              <w:rPr>
                <w:rFonts w:hint="eastAsia" w:ascii="方正黑体_GBK" w:eastAsia="方正黑体_GBK"/>
                <w:color w:val="000000"/>
                <w:sz w:val="21"/>
                <w:szCs w:val="21"/>
              </w:rPr>
            </w:pPr>
            <w:r>
              <w:rPr>
                <w:rFonts w:hint="eastAsia" w:ascii="方正黑体_GBK" w:eastAsia="方正黑体_GBK"/>
                <w:color w:val="000000"/>
                <w:sz w:val="21"/>
                <w:szCs w:val="21"/>
              </w:rPr>
              <w:t>牵头落实单位</w:t>
            </w:r>
          </w:p>
        </w:tc>
        <w:tc>
          <w:tcPr>
            <w:tcW w:w="1575" w:type="dxa"/>
            <w:vAlign w:val="center"/>
          </w:tcPr>
          <w:p>
            <w:pPr>
              <w:pStyle w:val="4"/>
              <w:jc w:val="center"/>
              <w:rPr>
                <w:rFonts w:hint="eastAsia" w:ascii="方正黑体_GBK" w:eastAsia="方正黑体_GBK"/>
                <w:color w:val="000000"/>
                <w:sz w:val="21"/>
                <w:szCs w:val="21"/>
              </w:rPr>
            </w:pPr>
            <w:r>
              <w:rPr>
                <w:rFonts w:hint="eastAsia" w:ascii="方正黑体_GBK" w:eastAsia="方正黑体_GBK"/>
                <w:color w:val="000000"/>
                <w:sz w:val="21"/>
                <w:szCs w:val="21"/>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1</w:t>
            </w:r>
          </w:p>
        </w:tc>
        <w:tc>
          <w:tcPr>
            <w:tcW w:w="878" w:type="dxa"/>
            <w:vMerge w:val="restart"/>
            <w:vAlign w:val="center"/>
          </w:tcPr>
          <w:p>
            <w:pPr>
              <w:pStyle w:val="4"/>
              <w:jc w:val="both"/>
              <w:rPr>
                <w:rFonts w:hint="eastAsia"/>
                <w:color w:val="000000"/>
                <w:sz w:val="21"/>
                <w:szCs w:val="21"/>
              </w:rPr>
            </w:pPr>
            <w:r>
              <w:rPr>
                <w:rFonts w:hint="eastAsia"/>
                <w:color w:val="000000"/>
                <w:sz w:val="21"/>
                <w:szCs w:val="21"/>
              </w:rPr>
              <w:t>以政务公开助力稳增长</w:t>
            </w:r>
          </w:p>
        </w:tc>
        <w:tc>
          <w:tcPr>
            <w:tcW w:w="1410" w:type="dxa"/>
            <w:vMerge w:val="restart"/>
            <w:vAlign w:val="center"/>
          </w:tcPr>
          <w:p>
            <w:pPr>
              <w:rPr>
                <w:rFonts w:ascii="宋体" w:hAnsi="宋体"/>
                <w:color w:val="000000"/>
                <w:szCs w:val="21"/>
              </w:rPr>
            </w:pPr>
            <w:r>
              <w:rPr>
                <w:rFonts w:hint="eastAsia" w:ascii="宋体" w:hAnsi="宋体"/>
                <w:color w:val="000000"/>
                <w:szCs w:val="21"/>
              </w:rPr>
              <w:t>加强预期引导</w:t>
            </w:r>
          </w:p>
        </w:tc>
        <w:tc>
          <w:tcPr>
            <w:tcW w:w="7267" w:type="dxa"/>
            <w:vAlign w:val="center"/>
          </w:tcPr>
          <w:p>
            <w:pPr>
              <w:pStyle w:val="4"/>
              <w:jc w:val="both"/>
              <w:rPr>
                <w:color w:val="000000"/>
                <w:sz w:val="21"/>
                <w:szCs w:val="21"/>
              </w:rPr>
            </w:pPr>
            <w:r>
              <w:rPr>
                <w:rFonts w:hint="eastAsia"/>
                <w:color w:val="000000"/>
                <w:sz w:val="21"/>
                <w:szCs w:val="21"/>
              </w:rPr>
              <w:t>加强政务信息主动公开，客观发布经济社会运行真实情况，引导全社会认清和尊重经济社会发展规律。</w:t>
            </w:r>
          </w:p>
        </w:tc>
        <w:tc>
          <w:tcPr>
            <w:tcW w:w="2520" w:type="dxa"/>
            <w:vMerge w:val="restart"/>
            <w:vAlign w:val="center"/>
          </w:tcPr>
          <w:p>
            <w:pPr>
              <w:autoSpaceDE w:val="0"/>
              <w:autoSpaceDN w:val="0"/>
              <w:adjustRightInd w:val="0"/>
              <w:rPr>
                <w:rFonts w:ascii="宋体" w:hAnsi="宋体" w:cs="FZFSK--GBK1-0"/>
                <w:color w:val="000000"/>
                <w:kern w:val="0"/>
                <w:szCs w:val="21"/>
              </w:rPr>
            </w:pPr>
            <w:r>
              <w:rPr>
                <w:rFonts w:hint="eastAsia" w:ascii="宋体" w:hAnsi="宋体" w:cs="FZFSK--GBK1-0"/>
                <w:color w:val="000000"/>
                <w:kern w:val="0"/>
                <w:szCs w:val="21"/>
                <w:lang w:eastAsia="zh-CN"/>
              </w:rPr>
              <w:t>县发改局</w:t>
            </w:r>
            <w:r>
              <w:rPr>
                <w:rFonts w:hint="eastAsia" w:ascii="宋体" w:hAnsi="宋体" w:cs="FZFSK--GBK1-0"/>
                <w:color w:val="000000"/>
                <w:kern w:val="0"/>
                <w:szCs w:val="21"/>
              </w:rPr>
              <w:t>、人社局、财政局</w:t>
            </w:r>
            <w:r>
              <w:rPr>
                <w:rFonts w:hint="eastAsia" w:ascii="宋体" w:hAnsi="宋体" w:cs="FZFSK--GBK1-0"/>
                <w:color w:val="000000"/>
                <w:kern w:val="0"/>
                <w:szCs w:val="21"/>
                <w:lang w:eastAsia="zh-CN"/>
              </w:rPr>
              <w:t>、</w:t>
            </w:r>
            <w:r>
              <w:rPr>
                <w:rFonts w:hint="eastAsia" w:ascii="宋体" w:hAnsi="宋体" w:cs="FZFSK--GBK1-0"/>
                <w:color w:val="000000"/>
                <w:kern w:val="0"/>
                <w:szCs w:val="21"/>
              </w:rPr>
              <w:t>人行等部门按照职责分工分别牵头落实</w:t>
            </w:r>
          </w:p>
        </w:tc>
        <w:tc>
          <w:tcPr>
            <w:tcW w:w="1575" w:type="dxa"/>
            <w:vAlign w:val="center"/>
          </w:tcPr>
          <w:p>
            <w:pPr>
              <w:pStyle w:val="4"/>
              <w:jc w:val="center"/>
              <w:rPr>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pStyle w:val="4"/>
              <w:jc w:val="center"/>
              <w:rPr>
                <w:rFonts w:cs="Times New Roman"/>
                <w:color w:val="000000"/>
                <w:sz w:val="21"/>
                <w:szCs w:val="21"/>
              </w:rPr>
            </w:pPr>
            <w:r>
              <w:rPr>
                <w:rFonts w:cs="Times New Roman"/>
                <w:color w:val="000000"/>
                <w:sz w:val="21"/>
                <w:szCs w:val="21"/>
              </w:rPr>
              <w:t>2</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autoSpaceDE w:val="0"/>
              <w:autoSpaceDN w:val="0"/>
              <w:adjustRightInd w:val="0"/>
              <w:rPr>
                <w:rFonts w:ascii="宋体" w:hAnsi="宋体" w:cs="FZFSK--GBK1-0"/>
                <w:color w:val="000000"/>
                <w:kern w:val="0"/>
                <w:szCs w:val="21"/>
              </w:rPr>
            </w:pPr>
            <w:r>
              <w:rPr>
                <w:rFonts w:hint="eastAsia" w:ascii="宋体" w:hAnsi="宋体" w:cs="FZFSK--GBK1-0"/>
                <w:color w:val="000000"/>
                <w:kern w:val="0"/>
                <w:szCs w:val="21"/>
              </w:rPr>
              <w:t>围绕出台的积极财政政策、稳健货币政策和积极就业政策，</w:t>
            </w:r>
            <w:r>
              <w:rPr>
                <w:rFonts w:hint="eastAsia" w:ascii="宋体" w:hAnsi="宋体" w:cs="FZFSK--GBK1-0"/>
                <w:color w:val="000000"/>
                <w:kern w:val="0"/>
                <w:szCs w:val="21"/>
                <w:lang w:eastAsia="zh-CN"/>
              </w:rPr>
              <w:t>县属有关单位</w:t>
            </w:r>
            <w:r>
              <w:rPr>
                <w:rFonts w:hint="eastAsia" w:ascii="宋体" w:hAnsi="宋体" w:cs="FZFSK--GBK1-0"/>
                <w:color w:val="000000"/>
                <w:kern w:val="0"/>
                <w:szCs w:val="21"/>
              </w:rPr>
              <w:t>的负责同志采取参加政策例行吹风会等方式，深入解读。</w:t>
            </w:r>
          </w:p>
        </w:tc>
        <w:tc>
          <w:tcPr>
            <w:tcW w:w="2520" w:type="dxa"/>
            <w:vMerge w:val="continue"/>
            <w:vAlign w:val="center"/>
          </w:tcPr>
          <w:p>
            <w:pPr>
              <w:pStyle w:val="4"/>
              <w:jc w:val="both"/>
              <w:rPr>
                <w:color w:val="000000"/>
                <w:sz w:val="21"/>
                <w:szCs w:val="21"/>
              </w:rPr>
            </w:pPr>
          </w:p>
        </w:tc>
        <w:tc>
          <w:tcPr>
            <w:tcW w:w="1575" w:type="dxa"/>
            <w:vAlign w:val="center"/>
          </w:tcPr>
          <w:p>
            <w:pPr>
              <w:pStyle w:val="4"/>
              <w:jc w:val="both"/>
              <w:rPr>
                <w:color w:val="000000"/>
                <w:sz w:val="21"/>
                <w:szCs w:val="21"/>
              </w:rPr>
            </w:pPr>
            <w:r>
              <w:rPr>
                <w:rFonts w:hint="eastAsia"/>
                <w:color w:val="000000"/>
                <w:sz w:val="21"/>
                <w:szCs w:val="21"/>
              </w:rPr>
              <w:t>2017年11月</w:t>
            </w:r>
            <w:r>
              <w:rPr>
                <w:rFonts w:hint="eastAsia"/>
                <w:color w:val="000000"/>
                <w:sz w:val="21"/>
                <w:szCs w:val="21"/>
                <w:lang w:eastAsia="zh-CN"/>
              </w:rPr>
              <w:t>中旬</w:t>
            </w:r>
            <w:r>
              <w:rPr>
                <w:rFonts w:hint="eastAsia"/>
                <w:color w:val="000000"/>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pStyle w:val="4"/>
              <w:jc w:val="center"/>
              <w:rPr>
                <w:rFonts w:cs="Times New Roman"/>
                <w:color w:val="000000"/>
                <w:sz w:val="21"/>
                <w:szCs w:val="21"/>
              </w:rPr>
            </w:pPr>
            <w:r>
              <w:rPr>
                <w:rFonts w:cs="Times New Roman"/>
                <w:color w:val="000000"/>
                <w:sz w:val="21"/>
                <w:szCs w:val="21"/>
              </w:rPr>
              <w:t>3</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pStyle w:val="4"/>
              <w:jc w:val="both"/>
              <w:rPr>
                <w:color w:val="000000"/>
                <w:sz w:val="21"/>
                <w:szCs w:val="21"/>
              </w:rPr>
            </w:pPr>
            <w:r>
              <w:rPr>
                <w:rFonts w:hint="eastAsia"/>
                <w:color w:val="000000"/>
                <w:sz w:val="21"/>
                <w:szCs w:val="21"/>
              </w:rPr>
              <w:t>加强国内外舆情的收集研判，针对涉及我</w:t>
            </w:r>
            <w:r>
              <w:rPr>
                <w:rFonts w:hint="eastAsia"/>
                <w:color w:val="000000"/>
                <w:sz w:val="21"/>
                <w:szCs w:val="21"/>
                <w:lang w:eastAsia="zh-CN"/>
              </w:rPr>
              <w:t>县</w:t>
            </w:r>
            <w:r>
              <w:rPr>
                <w:rFonts w:hint="eastAsia"/>
                <w:color w:val="000000"/>
                <w:sz w:val="21"/>
                <w:szCs w:val="21"/>
              </w:rPr>
              <w:t>经济发展的误导和不实信息，客观及时、有说服力地发声，解疑释惑，澄清事实。</w:t>
            </w:r>
          </w:p>
        </w:tc>
        <w:tc>
          <w:tcPr>
            <w:tcW w:w="2520" w:type="dxa"/>
            <w:vMerge w:val="continue"/>
            <w:vAlign w:val="center"/>
          </w:tcPr>
          <w:p>
            <w:pPr>
              <w:pStyle w:val="4"/>
              <w:jc w:val="both"/>
              <w:rPr>
                <w:color w:val="000000"/>
                <w:sz w:val="21"/>
                <w:szCs w:val="21"/>
              </w:rPr>
            </w:pPr>
          </w:p>
        </w:tc>
        <w:tc>
          <w:tcPr>
            <w:tcW w:w="1575" w:type="dxa"/>
            <w:vAlign w:val="center"/>
          </w:tcPr>
          <w:p>
            <w:pPr>
              <w:pStyle w:val="4"/>
              <w:jc w:val="center"/>
              <w:rPr>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pStyle w:val="4"/>
              <w:jc w:val="center"/>
              <w:rPr>
                <w:rFonts w:cs="Times New Roman"/>
                <w:color w:val="000000"/>
                <w:sz w:val="21"/>
                <w:szCs w:val="21"/>
              </w:rPr>
            </w:pPr>
            <w:r>
              <w:rPr>
                <w:rFonts w:cs="Times New Roman"/>
                <w:color w:val="000000"/>
                <w:sz w:val="21"/>
                <w:szCs w:val="21"/>
              </w:rPr>
              <w:t>4</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pStyle w:val="4"/>
              <w:jc w:val="both"/>
              <w:rPr>
                <w:color w:val="000000"/>
                <w:sz w:val="21"/>
                <w:szCs w:val="21"/>
              </w:rPr>
            </w:pPr>
            <w:r>
              <w:rPr>
                <w:rFonts w:hint="eastAsia"/>
                <w:color w:val="000000"/>
                <w:sz w:val="21"/>
                <w:szCs w:val="21"/>
              </w:rPr>
              <w:t>按月公开财政收支情况，解读财政收支增减变化情况及原因、预判财政收入走势，主动解释说明收支运行中可能引发社会关注的热点问题。</w:t>
            </w:r>
          </w:p>
        </w:tc>
        <w:tc>
          <w:tcPr>
            <w:tcW w:w="2520" w:type="dxa"/>
            <w:vAlign w:val="center"/>
          </w:tcPr>
          <w:p>
            <w:pPr>
              <w:pStyle w:val="4"/>
              <w:jc w:val="both"/>
              <w:rPr>
                <w:color w:val="000000"/>
                <w:sz w:val="21"/>
                <w:szCs w:val="21"/>
              </w:rPr>
            </w:pPr>
            <w:r>
              <w:rPr>
                <w:rFonts w:hint="eastAsia"/>
                <w:color w:val="000000"/>
                <w:sz w:val="21"/>
                <w:szCs w:val="21"/>
                <w:lang w:eastAsia="zh-CN"/>
              </w:rPr>
              <w:t>县</w:t>
            </w:r>
            <w:r>
              <w:rPr>
                <w:rFonts w:hint="eastAsia"/>
                <w:color w:val="000000"/>
                <w:sz w:val="21"/>
                <w:szCs w:val="21"/>
              </w:rPr>
              <w:t>财政局牵头落实</w:t>
            </w:r>
          </w:p>
        </w:tc>
        <w:tc>
          <w:tcPr>
            <w:tcW w:w="1575" w:type="dxa"/>
            <w:vAlign w:val="center"/>
          </w:tcPr>
          <w:p>
            <w:pPr>
              <w:pStyle w:val="4"/>
              <w:jc w:val="both"/>
              <w:rPr>
                <w:color w:val="000000"/>
                <w:sz w:val="21"/>
                <w:szCs w:val="21"/>
              </w:rPr>
            </w:pPr>
            <w:r>
              <w:rPr>
                <w:rFonts w:hint="eastAsia"/>
                <w:color w:val="000000"/>
                <w:sz w:val="21"/>
                <w:szCs w:val="21"/>
              </w:rPr>
              <w:t>次月5日前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vAlign w:val="center"/>
          </w:tcPr>
          <w:p>
            <w:pPr>
              <w:pStyle w:val="4"/>
              <w:jc w:val="center"/>
              <w:rPr>
                <w:rFonts w:cs="Times New Roman"/>
                <w:color w:val="000000"/>
                <w:sz w:val="21"/>
                <w:szCs w:val="21"/>
              </w:rPr>
            </w:pPr>
            <w:r>
              <w:rPr>
                <w:rFonts w:cs="Times New Roman"/>
                <w:color w:val="000000"/>
                <w:sz w:val="21"/>
                <w:szCs w:val="21"/>
              </w:rPr>
              <w:t>5</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pStyle w:val="4"/>
              <w:jc w:val="both"/>
              <w:rPr>
                <w:color w:val="000000"/>
                <w:sz w:val="21"/>
                <w:szCs w:val="21"/>
              </w:rPr>
            </w:pPr>
            <w:r>
              <w:rPr>
                <w:rFonts w:hint="eastAsia"/>
                <w:color w:val="000000"/>
                <w:sz w:val="21"/>
                <w:szCs w:val="21"/>
              </w:rPr>
              <w:t>及时发布全</w:t>
            </w:r>
            <w:r>
              <w:rPr>
                <w:rFonts w:hint="eastAsia"/>
                <w:color w:val="000000"/>
                <w:sz w:val="21"/>
                <w:szCs w:val="21"/>
                <w:lang w:eastAsia="zh-CN"/>
              </w:rPr>
              <w:t>县</w:t>
            </w:r>
            <w:r>
              <w:rPr>
                <w:rFonts w:hint="eastAsia"/>
                <w:color w:val="000000"/>
                <w:sz w:val="21"/>
                <w:szCs w:val="21"/>
              </w:rPr>
              <w:t>月度、季度国民经济运行情况，并解读社会关注的重要指标数据，增加反映质量、效益、结构以及供给侧结构性改革推进情况等方面的内容，正确引导对经济形势的认识判断。</w:t>
            </w:r>
          </w:p>
        </w:tc>
        <w:tc>
          <w:tcPr>
            <w:tcW w:w="2520" w:type="dxa"/>
            <w:vAlign w:val="center"/>
          </w:tcPr>
          <w:p>
            <w:pPr>
              <w:pStyle w:val="4"/>
              <w:jc w:val="both"/>
              <w:rPr>
                <w:color w:val="000000"/>
                <w:sz w:val="21"/>
                <w:szCs w:val="21"/>
              </w:rPr>
            </w:pPr>
            <w:r>
              <w:rPr>
                <w:rFonts w:hint="eastAsia"/>
                <w:color w:val="000000"/>
                <w:sz w:val="21"/>
                <w:szCs w:val="21"/>
                <w:lang w:eastAsia="zh-CN"/>
              </w:rPr>
              <w:t>县</w:t>
            </w:r>
            <w:r>
              <w:rPr>
                <w:rFonts w:hint="eastAsia"/>
                <w:color w:val="000000"/>
                <w:sz w:val="21"/>
                <w:szCs w:val="21"/>
              </w:rPr>
              <w:t>统计局牵头落实</w:t>
            </w:r>
          </w:p>
        </w:tc>
        <w:tc>
          <w:tcPr>
            <w:tcW w:w="1575" w:type="dxa"/>
            <w:vAlign w:val="center"/>
          </w:tcPr>
          <w:p>
            <w:pPr>
              <w:pStyle w:val="4"/>
              <w:jc w:val="both"/>
              <w:rPr>
                <w:color w:val="000000"/>
                <w:sz w:val="21"/>
                <w:szCs w:val="21"/>
              </w:rPr>
            </w:pPr>
            <w:r>
              <w:rPr>
                <w:rFonts w:hint="eastAsia"/>
                <w:color w:val="000000"/>
                <w:sz w:val="21"/>
                <w:szCs w:val="21"/>
              </w:rPr>
              <w:t>每月、每季度后20日内完成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3" w:type="dxa"/>
            <w:vMerge w:val="continue"/>
            <w:vAlign w:val="center"/>
          </w:tcPr>
          <w:p>
            <w:pPr>
              <w:pStyle w:val="4"/>
              <w:jc w:val="center"/>
              <w:rPr>
                <w:rFonts w:cs="Times New Roman"/>
                <w:color w:val="000000"/>
                <w:sz w:val="21"/>
                <w:szCs w:val="21"/>
              </w:rPr>
            </w:pP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pStyle w:val="4"/>
              <w:jc w:val="both"/>
              <w:rPr>
                <w:color w:val="000000"/>
                <w:sz w:val="21"/>
                <w:szCs w:val="21"/>
              </w:rPr>
            </w:pPr>
            <w:r>
              <w:rPr>
                <w:rFonts w:hint="eastAsia"/>
                <w:color w:val="000000"/>
                <w:sz w:val="21"/>
                <w:szCs w:val="21"/>
              </w:rPr>
              <w:t>做好我</w:t>
            </w:r>
            <w:r>
              <w:rPr>
                <w:rFonts w:hint="eastAsia"/>
                <w:color w:val="000000"/>
                <w:sz w:val="21"/>
                <w:szCs w:val="21"/>
                <w:lang w:eastAsia="zh-CN"/>
              </w:rPr>
              <w:t>县</w:t>
            </w:r>
            <w:r>
              <w:rPr>
                <w:rFonts w:hint="eastAsia"/>
                <w:color w:val="000000"/>
                <w:sz w:val="21"/>
                <w:szCs w:val="21"/>
              </w:rPr>
              <w:t>重大政策措施落实跟踪审计结果公开。</w:t>
            </w:r>
          </w:p>
        </w:tc>
        <w:tc>
          <w:tcPr>
            <w:tcW w:w="2520" w:type="dxa"/>
            <w:vAlign w:val="center"/>
          </w:tcPr>
          <w:p>
            <w:pPr>
              <w:pStyle w:val="4"/>
              <w:jc w:val="both"/>
              <w:rPr>
                <w:color w:val="000000"/>
                <w:sz w:val="21"/>
                <w:szCs w:val="21"/>
              </w:rPr>
            </w:pPr>
            <w:r>
              <w:rPr>
                <w:rFonts w:hint="eastAsia"/>
                <w:color w:val="000000"/>
                <w:sz w:val="21"/>
                <w:szCs w:val="21"/>
                <w:lang w:eastAsia="zh-CN"/>
              </w:rPr>
              <w:t>县</w:t>
            </w:r>
            <w:r>
              <w:rPr>
                <w:rFonts w:hint="eastAsia"/>
                <w:color w:val="000000"/>
                <w:sz w:val="21"/>
                <w:szCs w:val="21"/>
              </w:rPr>
              <w:t>审计局落实</w:t>
            </w:r>
          </w:p>
        </w:tc>
        <w:tc>
          <w:tcPr>
            <w:tcW w:w="1575" w:type="dxa"/>
            <w:vAlign w:val="center"/>
          </w:tcPr>
          <w:p>
            <w:pPr>
              <w:pStyle w:val="4"/>
              <w:jc w:val="center"/>
              <w:rPr>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6</w:t>
            </w:r>
          </w:p>
        </w:tc>
        <w:tc>
          <w:tcPr>
            <w:tcW w:w="878" w:type="dxa"/>
            <w:vMerge w:val="continue"/>
            <w:vAlign w:val="center"/>
          </w:tcPr>
          <w:p>
            <w:pPr>
              <w:pStyle w:val="4"/>
              <w:jc w:val="both"/>
              <w:rPr>
                <w:color w:val="000000"/>
                <w:sz w:val="21"/>
                <w:szCs w:val="21"/>
              </w:rPr>
            </w:pPr>
          </w:p>
        </w:tc>
        <w:tc>
          <w:tcPr>
            <w:tcW w:w="1410" w:type="dxa"/>
            <w:vMerge w:val="restart"/>
            <w:vAlign w:val="center"/>
          </w:tcPr>
          <w:p>
            <w:pPr>
              <w:rPr>
                <w:rFonts w:ascii="宋体" w:hAnsi="宋体"/>
                <w:color w:val="000000"/>
                <w:szCs w:val="21"/>
              </w:rPr>
            </w:pPr>
            <w:r>
              <w:rPr>
                <w:rFonts w:hint="eastAsia" w:ascii="宋体" w:hAnsi="宋体"/>
                <w:color w:val="000000"/>
                <w:szCs w:val="21"/>
              </w:rPr>
              <w:t>推进减税、降费、降低要素成本信息公开</w:t>
            </w:r>
          </w:p>
        </w:tc>
        <w:tc>
          <w:tcPr>
            <w:tcW w:w="7267" w:type="dxa"/>
            <w:vAlign w:val="center"/>
          </w:tcPr>
          <w:p>
            <w:pPr>
              <w:pStyle w:val="4"/>
              <w:tabs>
                <w:tab w:val="left" w:pos="3531"/>
              </w:tabs>
              <w:spacing w:line="280" w:lineRule="exact"/>
              <w:jc w:val="both"/>
              <w:rPr>
                <w:color w:val="000000"/>
                <w:sz w:val="21"/>
                <w:szCs w:val="21"/>
              </w:rPr>
            </w:pPr>
            <w:r>
              <w:rPr>
                <w:rFonts w:hint="eastAsia"/>
                <w:color w:val="000000"/>
                <w:sz w:val="21"/>
                <w:szCs w:val="21"/>
              </w:rPr>
              <w:t>围绕新出台的税制改革和减税降费政策措施，以及促进创业创新、保障和改善民生等税收优惠政策，做好在政府网站集中发布、利用新媒体主动推送、加强政策宣讲等工作。</w:t>
            </w:r>
          </w:p>
        </w:tc>
        <w:tc>
          <w:tcPr>
            <w:tcW w:w="2520" w:type="dxa"/>
            <w:vAlign w:val="center"/>
          </w:tcPr>
          <w:p>
            <w:pPr>
              <w:autoSpaceDE w:val="0"/>
              <w:autoSpaceDN w:val="0"/>
              <w:adjustRightInd w:val="0"/>
              <w:rPr>
                <w:rFonts w:ascii="宋体" w:hAnsi="宋体" w:cs="FZFSK--GBK1-0"/>
                <w:color w:val="000000"/>
                <w:kern w:val="0"/>
                <w:szCs w:val="21"/>
              </w:rPr>
            </w:pPr>
            <w:r>
              <w:rPr>
                <w:rFonts w:hint="eastAsia" w:ascii="宋体" w:hAnsi="宋体" w:cs="FZFSK--GBK1-0"/>
                <w:color w:val="000000"/>
                <w:kern w:val="0"/>
                <w:szCs w:val="21"/>
                <w:lang w:eastAsia="zh-CN"/>
              </w:rPr>
              <w:t>县</w:t>
            </w:r>
            <w:r>
              <w:rPr>
                <w:rFonts w:hint="eastAsia" w:ascii="宋体" w:hAnsi="宋体" w:cs="FZFSK--GBK1-0"/>
                <w:color w:val="000000"/>
                <w:kern w:val="0"/>
                <w:szCs w:val="21"/>
              </w:rPr>
              <w:t>财政局、地税局按照职责分工分别牵头落实</w:t>
            </w:r>
          </w:p>
        </w:tc>
        <w:tc>
          <w:tcPr>
            <w:tcW w:w="1575" w:type="dxa"/>
            <w:vAlign w:val="center"/>
          </w:tcPr>
          <w:p>
            <w:pPr>
              <w:pStyle w:val="4"/>
              <w:jc w:val="center"/>
              <w:rPr>
                <w:rFonts w:hint="eastAsia"/>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7</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autoSpaceDE w:val="0"/>
              <w:autoSpaceDN w:val="0"/>
              <w:adjustRightInd w:val="0"/>
              <w:spacing w:line="260" w:lineRule="exact"/>
              <w:rPr>
                <w:rFonts w:hint="eastAsia" w:ascii="宋体" w:hAnsi="宋体" w:eastAsia="宋体" w:cs="FZFSK--GBK1-0"/>
                <w:color w:val="000000"/>
                <w:kern w:val="0"/>
                <w:szCs w:val="21"/>
                <w:lang w:eastAsia="zh-CN"/>
              </w:rPr>
            </w:pPr>
            <w:r>
              <w:rPr>
                <w:rFonts w:hint="eastAsia" w:ascii="宋体" w:hAnsi="宋体" w:cs="FZFSK--GBK1-0"/>
                <w:color w:val="000000"/>
                <w:kern w:val="0"/>
                <w:szCs w:val="21"/>
                <w:lang w:eastAsia="zh-CN"/>
              </w:rPr>
              <w:t>在“华宁县人民政府网”开设地税局重点领域专栏，并增添减税降费专栏内容。</w:t>
            </w:r>
          </w:p>
        </w:tc>
        <w:tc>
          <w:tcPr>
            <w:tcW w:w="2520" w:type="dxa"/>
            <w:vAlign w:val="center"/>
          </w:tcPr>
          <w:p>
            <w:pPr>
              <w:pStyle w:val="4"/>
              <w:jc w:val="both"/>
              <w:rPr>
                <w:color w:val="000000"/>
                <w:sz w:val="21"/>
                <w:szCs w:val="21"/>
              </w:rPr>
            </w:pPr>
            <w:r>
              <w:rPr>
                <w:rFonts w:hint="eastAsia"/>
                <w:color w:val="000000"/>
                <w:sz w:val="21"/>
                <w:szCs w:val="21"/>
                <w:lang w:eastAsia="zh-CN"/>
              </w:rPr>
              <w:t>县</w:t>
            </w:r>
            <w:r>
              <w:rPr>
                <w:rFonts w:hint="eastAsia"/>
                <w:color w:val="000000"/>
                <w:sz w:val="21"/>
                <w:szCs w:val="21"/>
              </w:rPr>
              <w:t>地税局牵头落实</w:t>
            </w:r>
          </w:p>
        </w:tc>
        <w:tc>
          <w:tcPr>
            <w:tcW w:w="1575" w:type="dxa"/>
            <w:vMerge w:val="restart"/>
            <w:vAlign w:val="center"/>
          </w:tcPr>
          <w:p>
            <w:pPr>
              <w:pStyle w:val="4"/>
              <w:jc w:val="center"/>
              <w:rPr>
                <w:rFonts w:hint="eastAsia"/>
                <w:color w:val="000000"/>
                <w:sz w:val="21"/>
                <w:szCs w:val="21"/>
              </w:rPr>
            </w:pPr>
            <w:r>
              <w:rPr>
                <w:rFonts w:hint="eastAsia"/>
                <w:color w:val="000000"/>
                <w:sz w:val="21"/>
                <w:szCs w:val="21"/>
              </w:rPr>
              <w:t>2017年7月</w:t>
            </w:r>
            <w:r>
              <w:rPr>
                <w:rFonts w:hint="eastAsia"/>
                <w:color w:val="000000"/>
                <w:sz w:val="21"/>
                <w:szCs w:val="21"/>
                <w:lang w:eastAsia="zh-CN"/>
              </w:rPr>
              <w:t>中旬</w:t>
            </w:r>
            <w:r>
              <w:rPr>
                <w:rFonts w:hint="eastAsia"/>
                <w:color w:val="000000"/>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8</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pStyle w:val="4"/>
              <w:spacing w:line="260" w:lineRule="exact"/>
              <w:jc w:val="both"/>
              <w:rPr>
                <w:color w:val="000000"/>
                <w:sz w:val="21"/>
                <w:szCs w:val="21"/>
              </w:rPr>
            </w:pPr>
            <w:r>
              <w:rPr>
                <w:rFonts w:hint="eastAsia"/>
                <w:color w:val="000000"/>
                <w:sz w:val="21"/>
                <w:szCs w:val="21"/>
                <w:lang w:eastAsia="zh-CN"/>
              </w:rPr>
              <w:t>在财政局重点领域专栏展示</w:t>
            </w:r>
            <w:r>
              <w:rPr>
                <w:rFonts w:hint="eastAsia"/>
                <w:color w:val="000000"/>
                <w:sz w:val="21"/>
                <w:szCs w:val="21"/>
              </w:rPr>
              <w:t>、实时更新全面公布</w:t>
            </w:r>
            <w:r>
              <w:rPr>
                <w:rFonts w:hint="eastAsia"/>
                <w:color w:val="000000"/>
                <w:sz w:val="21"/>
                <w:szCs w:val="21"/>
                <w:lang w:eastAsia="zh-CN"/>
              </w:rPr>
              <w:t>华宁县</w:t>
            </w:r>
            <w:r>
              <w:rPr>
                <w:rFonts w:hint="eastAsia"/>
                <w:color w:val="000000"/>
                <w:sz w:val="21"/>
                <w:szCs w:val="21"/>
              </w:rPr>
              <w:t>地方审批的行政事业性收费目录清单；在</w:t>
            </w:r>
            <w:r>
              <w:rPr>
                <w:rFonts w:hint="eastAsia"/>
                <w:color w:val="000000"/>
                <w:sz w:val="21"/>
                <w:szCs w:val="21"/>
                <w:lang w:eastAsia="zh-CN"/>
              </w:rPr>
              <w:t>县发改局重点专栏</w:t>
            </w:r>
            <w:r>
              <w:rPr>
                <w:rFonts w:hint="eastAsia"/>
                <w:color w:val="000000"/>
                <w:sz w:val="21"/>
                <w:szCs w:val="21"/>
              </w:rPr>
              <w:t>集中展示、实时更新全面公布政府定价或指导价的经营服务性收费目录清单，明确项目名称、设立依据、标准等。全面公开对清单之外乱收费、乱摊派等行为的查处结果，让政府收费项目一览无余。</w:t>
            </w:r>
          </w:p>
        </w:tc>
        <w:tc>
          <w:tcPr>
            <w:tcW w:w="2520" w:type="dxa"/>
            <w:vAlign w:val="center"/>
          </w:tcPr>
          <w:p>
            <w:pPr>
              <w:pStyle w:val="4"/>
              <w:jc w:val="both"/>
              <w:rPr>
                <w:color w:val="000000"/>
                <w:sz w:val="21"/>
                <w:szCs w:val="21"/>
              </w:rPr>
            </w:pPr>
            <w:r>
              <w:rPr>
                <w:rFonts w:hint="eastAsia"/>
                <w:color w:val="000000"/>
                <w:sz w:val="21"/>
                <w:szCs w:val="21"/>
                <w:lang w:eastAsia="zh-CN"/>
              </w:rPr>
              <w:t>县</w:t>
            </w:r>
            <w:r>
              <w:rPr>
                <w:rFonts w:hint="eastAsia"/>
                <w:color w:val="000000"/>
                <w:sz w:val="21"/>
                <w:szCs w:val="21"/>
              </w:rPr>
              <w:t>财政局、发改</w:t>
            </w:r>
            <w:r>
              <w:rPr>
                <w:rFonts w:hint="eastAsia"/>
                <w:color w:val="000000"/>
                <w:sz w:val="21"/>
                <w:szCs w:val="21"/>
                <w:lang w:eastAsia="zh-CN"/>
              </w:rPr>
              <w:t>局</w:t>
            </w:r>
            <w:r>
              <w:rPr>
                <w:rFonts w:hint="eastAsia"/>
                <w:color w:val="000000"/>
                <w:sz w:val="21"/>
                <w:szCs w:val="21"/>
              </w:rPr>
              <w:t>分别牵头，</w:t>
            </w:r>
            <w:r>
              <w:rPr>
                <w:rFonts w:hint="eastAsia"/>
                <w:color w:val="000000"/>
                <w:sz w:val="21"/>
                <w:szCs w:val="21"/>
                <w:lang w:eastAsia="zh-CN"/>
              </w:rPr>
              <w:t>县</w:t>
            </w:r>
            <w:r>
              <w:rPr>
                <w:rFonts w:hint="eastAsia"/>
                <w:color w:val="000000"/>
                <w:sz w:val="21"/>
                <w:szCs w:val="21"/>
              </w:rPr>
              <w:t>人社局、地税局等部门配合</w:t>
            </w: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9</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pStyle w:val="4"/>
              <w:jc w:val="both"/>
              <w:rPr>
                <w:rFonts w:hint="eastAsia"/>
                <w:color w:val="000000"/>
                <w:sz w:val="21"/>
                <w:szCs w:val="21"/>
              </w:rPr>
            </w:pPr>
            <w:r>
              <w:rPr>
                <w:rFonts w:hint="eastAsia"/>
                <w:color w:val="000000"/>
                <w:spacing w:val="-6"/>
                <w:sz w:val="21"/>
                <w:szCs w:val="21"/>
              </w:rPr>
              <w:t>具体执收单位在收费场所或在考试报名缴费网站相应位置，全面公示收费文件依据（原文件）、主体、项目、范围、标准、对象等，主动接受社会监督。</w:t>
            </w:r>
          </w:p>
        </w:tc>
        <w:tc>
          <w:tcPr>
            <w:tcW w:w="2520" w:type="dxa"/>
            <w:vAlign w:val="center"/>
          </w:tcPr>
          <w:p>
            <w:pPr>
              <w:pStyle w:val="4"/>
              <w:jc w:val="both"/>
              <w:rPr>
                <w:color w:val="000000"/>
                <w:spacing w:val="-6"/>
                <w:sz w:val="21"/>
                <w:szCs w:val="21"/>
              </w:rPr>
            </w:pPr>
            <w:r>
              <w:rPr>
                <w:rFonts w:hint="eastAsia"/>
                <w:color w:val="000000"/>
                <w:spacing w:val="-6"/>
                <w:sz w:val="21"/>
                <w:szCs w:val="21"/>
                <w:lang w:eastAsia="zh-CN"/>
              </w:rPr>
              <w:t>县</w:t>
            </w:r>
            <w:r>
              <w:rPr>
                <w:rFonts w:hint="eastAsia"/>
                <w:color w:val="000000"/>
                <w:sz w:val="21"/>
                <w:szCs w:val="21"/>
              </w:rPr>
              <w:t>发改</w:t>
            </w:r>
            <w:r>
              <w:rPr>
                <w:rFonts w:hint="eastAsia"/>
                <w:color w:val="000000"/>
                <w:sz w:val="21"/>
                <w:szCs w:val="21"/>
                <w:lang w:eastAsia="zh-CN"/>
              </w:rPr>
              <w:t>局</w:t>
            </w:r>
            <w:r>
              <w:rPr>
                <w:rFonts w:hint="eastAsia"/>
                <w:color w:val="000000"/>
                <w:spacing w:val="-6"/>
                <w:sz w:val="21"/>
                <w:szCs w:val="21"/>
              </w:rPr>
              <w:t>、财政局按照职责分工分别牵头落实</w:t>
            </w:r>
          </w:p>
        </w:tc>
        <w:tc>
          <w:tcPr>
            <w:tcW w:w="1575" w:type="dxa"/>
            <w:vAlign w:val="center"/>
          </w:tcPr>
          <w:p>
            <w:pPr>
              <w:pStyle w:val="4"/>
              <w:jc w:val="center"/>
              <w:rPr>
                <w:rFonts w:hint="eastAsia"/>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03" w:type="dxa"/>
            <w:tcBorders>
              <w:bottom w:val="single" w:color="auto" w:sz="4" w:space="0"/>
            </w:tcBorders>
            <w:vAlign w:val="center"/>
          </w:tcPr>
          <w:p>
            <w:pPr>
              <w:pStyle w:val="4"/>
              <w:jc w:val="center"/>
              <w:rPr>
                <w:rFonts w:cs="Times New Roman"/>
                <w:color w:val="000000"/>
                <w:sz w:val="21"/>
                <w:szCs w:val="21"/>
              </w:rPr>
            </w:pPr>
            <w:r>
              <w:rPr>
                <w:rFonts w:cs="Times New Roman"/>
                <w:color w:val="000000"/>
                <w:sz w:val="21"/>
                <w:szCs w:val="21"/>
              </w:rPr>
              <w:t>10</w:t>
            </w:r>
          </w:p>
        </w:tc>
        <w:tc>
          <w:tcPr>
            <w:tcW w:w="878" w:type="dxa"/>
            <w:vMerge w:val="restart"/>
            <w:vAlign w:val="center"/>
          </w:tcPr>
          <w:p>
            <w:pPr>
              <w:pStyle w:val="4"/>
              <w:jc w:val="both"/>
              <w:rPr>
                <w:color w:val="000000"/>
                <w:sz w:val="21"/>
                <w:szCs w:val="21"/>
              </w:rPr>
            </w:pPr>
            <w:r>
              <w:rPr>
                <w:rFonts w:hint="eastAsia"/>
                <w:color w:val="000000"/>
                <w:sz w:val="21"/>
                <w:szCs w:val="21"/>
              </w:rPr>
              <w:t>以政务公开助力稳增长</w:t>
            </w:r>
          </w:p>
        </w:tc>
        <w:tc>
          <w:tcPr>
            <w:tcW w:w="1410" w:type="dxa"/>
            <w:vMerge w:val="restart"/>
            <w:tcBorders>
              <w:bottom w:val="single" w:color="auto" w:sz="4" w:space="0"/>
            </w:tcBorders>
            <w:vAlign w:val="center"/>
          </w:tcPr>
          <w:p>
            <w:pPr>
              <w:rPr>
                <w:rFonts w:ascii="宋体" w:hAnsi="宋体"/>
                <w:color w:val="000000"/>
                <w:szCs w:val="21"/>
              </w:rPr>
            </w:pPr>
            <w:r>
              <w:rPr>
                <w:rFonts w:hint="eastAsia" w:ascii="宋体" w:hAnsi="宋体"/>
                <w:color w:val="000000"/>
                <w:szCs w:val="21"/>
              </w:rPr>
              <w:t>推进减税、降费、降低要素成本信息公开</w:t>
            </w:r>
          </w:p>
        </w:tc>
        <w:tc>
          <w:tcPr>
            <w:tcW w:w="7267" w:type="dxa"/>
            <w:tcBorders>
              <w:bottom w:val="single" w:color="auto" w:sz="4" w:space="0"/>
            </w:tcBorders>
            <w:vAlign w:val="center"/>
          </w:tcPr>
          <w:p>
            <w:pPr>
              <w:pStyle w:val="4"/>
              <w:tabs>
                <w:tab w:val="left" w:pos="3769"/>
              </w:tabs>
              <w:jc w:val="both"/>
              <w:rPr>
                <w:color w:val="000000"/>
                <w:spacing w:val="-6"/>
                <w:sz w:val="21"/>
                <w:szCs w:val="21"/>
              </w:rPr>
            </w:pPr>
            <w:r>
              <w:rPr>
                <w:rFonts w:hint="eastAsia"/>
                <w:color w:val="000000"/>
                <w:sz w:val="21"/>
                <w:szCs w:val="21"/>
              </w:rPr>
              <w:t>及时公开清理规范涉企收费和降低物流成本、降低企业用电用地用矿等要素成本的各项政策措施以及执行落实情况。</w:t>
            </w:r>
          </w:p>
        </w:tc>
        <w:tc>
          <w:tcPr>
            <w:tcW w:w="2520" w:type="dxa"/>
            <w:vMerge w:val="restart"/>
            <w:tcBorders>
              <w:bottom w:val="single" w:color="auto" w:sz="4" w:space="0"/>
            </w:tcBorders>
            <w:vAlign w:val="center"/>
          </w:tcPr>
          <w:p>
            <w:pPr>
              <w:pStyle w:val="4"/>
              <w:spacing w:line="240" w:lineRule="exact"/>
              <w:jc w:val="both"/>
              <w:rPr>
                <w:color w:val="000000"/>
                <w:spacing w:val="-6"/>
                <w:sz w:val="21"/>
                <w:szCs w:val="21"/>
              </w:rPr>
            </w:pPr>
            <w:r>
              <w:rPr>
                <w:rFonts w:hint="eastAsia"/>
                <w:color w:val="000000"/>
                <w:sz w:val="21"/>
                <w:szCs w:val="21"/>
                <w:lang w:eastAsia="zh-CN"/>
              </w:rPr>
              <w:t>县</w:t>
            </w:r>
            <w:r>
              <w:rPr>
                <w:rFonts w:hint="eastAsia"/>
                <w:color w:val="000000"/>
                <w:sz w:val="21"/>
                <w:szCs w:val="21"/>
              </w:rPr>
              <w:t>发改</w:t>
            </w:r>
            <w:r>
              <w:rPr>
                <w:rFonts w:hint="eastAsia"/>
                <w:color w:val="000000"/>
                <w:sz w:val="21"/>
                <w:szCs w:val="21"/>
                <w:lang w:eastAsia="zh-CN"/>
              </w:rPr>
              <w:t>局</w:t>
            </w:r>
            <w:r>
              <w:rPr>
                <w:rFonts w:hint="eastAsia"/>
                <w:color w:val="000000"/>
                <w:sz w:val="21"/>
                <w:szCs w:val="21"/>
              </w:rPr>
              <w:t>、</w:t>
            </w:r>
            <w:r>
              <w:rPr>
                <w:rFonts w:hint="eastAsia"/>
                <w:color w:val="000000"/>
                <w:sz w:val="21"/>
                <w:szCs w:val="21"/>
                <w:lang w:eastAsia="zh-CN"/>
              </w:rPr>
              <w:t>工信局</w:t>
            </w:r>
            <w:r>
              <w:rPr>
                <w:rFonts w:hint="eastAsia"/>
                <w:color w:val="000000"/>
                <w:sz w:val="21"/>
                <w:szCs w:val="21"/>
              </w:rPr>
              <w:t>、人社局、财政局、国土资源局、交通运输局、地税局</w:t>
            </w:r>
            <w:r>
              <w:rPr>
                <w:rFonts w:hint="eastAsia"/>
                <w:color w:val="000000"/>
                <w:sz w:val="21"/>
                <w:szCs w:val="21"/>
                <w:lang w:eastAsia="zh-CN"/>
              </w:rPr>
              <w:t>、</w:t>
            </w:r>
            <w:r>
              <w:rPr>
                <w:rFonts w:hint="eastAsia"/>
                <w:color w:val="000000"/>
                <w:sz w:val="21"/>
                <w:szCs w:val="21"/>
              </w:rPr>
              <w:t>国税局等部门按照职责分工分别牵头落实</w:t>
            </w:r>
          </w:p>
        </w:tc>
        <w:tc>
          <w:tcPr>
            <w:tcW w:w="1575" w:type="dxa"/>
            <w:vMerge w:val="restart"/>
            <w:tcBorders>
              <w:bottom w:val="single" w:color="auto" w:sz="4" w:space="0"/>
            </w:tcBorders>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11</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pStyle w:val="4"/>
              <w:tabs>
                <w:tab w:val="left" w:pos="4282"/>
              </w:tabs>
              <w:jc w:val="both"/>
              <w:rPr>
                <w:color w:val="000000"/>
                <w:sz w:val="21"/>
                <w:szCs w:val="21"/>
              </w:rPr>
            </w:pPr>
            <w:r>
              <w:rPr>
                <w:rFonts w:hint="eastAsia"/>
                <w:color w:val="000000"/>
                <w:sz w:val="21"/>
                <w:szCs w:val="21"/>
              </w:rPr>
              <w:t>适时公布阶段性降低社会保险费率的执行情况和实际效果，定期公布参加社会保险情况和社会保险基金运行情况。</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12</w:t>
            </w:r>
          </w:p>
        </w:tc>
        <w:tc>
          <w:tcPr>
            <w:tcW w:w="878" w:type="dxa"/>
            <w:vMerge w:val="continue"/>
            <w:vAlign w:val="center"/>
          </w:tcPr>
          <w:p>
            <w:pPr>
              <w:pStyle w:val="4"/>
              <w:jc w:val="both"/>
              <w:rPr>
                <w:color w:val="000000"/>
                <w:spacing w:val="-10"/>
                <w:sz w:val="21"/>
                <w:szCs w:val="21"/>
              </w:rPr>
            </w:pPr>
          </w:p>
        </w:tc>
        <w:tc>
          <w:tcPr>
            <w:tcW w:w="1410" w:type="dxa"/>
            <w:vMerge w:val="restart"/>
            <w:vAlign w:val="center"/>
          </w:tcPr>
          <w:p>
            <w:pPr>
              <w:pStyle w:val="4"/>
              <w:jc w:val="both"/>
              <w:rPr>
                <w:color w:val="000000"/>
                <w:spacing w:val="-10"/>
                <w:sz w:val="21"/>
                <w:szCs w:val="21"/>
              </w:rPr>
            </w:pPr>
            <w:r>
              <w:rPr>
                <w:rFonts w:hint="eastAsia"/>
                <w:color w:val="000000"/>
                <w:spacing w:val="-10"/>
                <w:sz w:val="21"/>
                <w:szCs w:val="21"/>
              </w:rPr>
              <w:t>推进重大建设项目和公共资源配置信息公开</w:t>
            </w:r>
          </w:p>
        </w:tc>
        <w:tc>
          <w:tcPr>
            <w:tcW w:w="7267" w:type="dxa"/>
            <w:vAlign w:val="center"/>
          </w:tcPr>
          <w:p>
            <w:pPr>
              <w:pStyle w:val="4"/>
              <w:widowControl w:val="0"/>
              <w:spacing w:line="260" w:lineRule="exact"/>
              <w:jc w:val="both"/>
              <w:rPr>
                <w:color w:val="000000"/>
                <w:sz w:val="21"/>
                <w:szCs w:val="21"/>
              </w:rPr>
            </w:pPr>
            <w:r>
              <w:rPr>
                <w:rFonts w:hint="eastAsia"/>
                <w:color w:val="000000"/>
                <w:sz w:val="21"/>
                <w:szCs w:val="21"/>
              </w:rPr>
              <w:t>对纳入年度重点工程计划的政府投资项目，定期发布项目审批、进展、建设信息。重点工程的审批信息由有关职能部门完成审批后及时公开；施工项目由建设单位按月公开实施信息，并适时公开重要节点进度信息；有关部门做好招投标、质量监督、执法检查、竣工备案、协调成果等事项信息的公开工作。</w:t>
            </w:r>
          </w:p>
        </w:tc>
        <w:tc>
          <w:tcPr>
            <w:tcW w:w="2520" w:type="dxa"/>
            <w:vMerge w:val="restart"/>
            <w:vAlign w:val="center"/>
          </w:tcPr>
          <w:p>
            <w:pPr>
              <w:autoSpaceDE w:val="0"/>
              <w:autoSpaceDN w:val="0"/>
              <w:adjustRightInd w:val="0"/>
              <w:rPr>
                <w:rFonts w:hint="eastAsia"/>
                <w:color w:val="000000"/>
                <w:sz w:val="21"/>
                <w:szCs w:val="21"/>
              </w:rPr>
            </w:pPr>
            <w:r>
              <w:rPr>
                <w:rFonts w:hint="eastAsia"/>
                <w:color w:val="000000"/>
                <w:sz w:val="21"/>
                <w:szCs w:val="21"/>
                <w:lang w:eastAsia="zh-CN"/>
              </w:rPr>
              <w:t>县</w:t>
            </w:r>
            <w:r>
              <w:rPr>
                <w:rFonts w:hint="eastAsia"/>
                <w:color w:val="000000"/>
                <w:sz w:val="21"/>
                <w:szCs w:val="21"/>
              </w:rPr>
              <w:t>发改</w:t>
            </w:r>
            <w:r>
              <w:rPr>
                <w:rFonts w:hint="eastAsia"/>
                <w:color w:val="000000"/>
                <w:sz w:val="21"/>
                <w:szCs w:val="21"/>
                <w:lang w:eastAsia="zh-CN"/>
              </w:rPr>
              <w:t>局</w:t>
            </w:r>
            <w:r>
              <w:rPr>
                <w:rFonts w:hint="eastAsia" w:ascii="宋体" w:hAnsi="宋体" w:cs="FZFSK--GBK1-0"/>
                <w:color w:val="000000"/>
                <w:kern w:val="0"/>
                <w:szCs w:val="21"/>
              </w:rPr>
              <w:t>、公共资源交易中心牵头，会同</w:t>
            </w:r>
            <w:r>
              <w:rPr>
                <w:rFonts w:hint="eastAsia" w:ascii="宋体" w:hAnsi="宋体" w:cs="FZFSK--GBK1-0"/>
                <w:color w:val="000000"/>
                <w:kern w:val="0"/>
                <w:szCs w:val="21"/>
                <w:lang w:eastAsia="zh-CN"/>
              </w:rPr>
              <w:t>县</w:t>
            </w:r>
            <w:r>
              <w:rPr>
                <w:rFonts w:hint="eastAsia" w:ascii="宋体" w:hAnsi="宋体" w:cs="FZFSK--GBK1-0"/>
                <w:color w:val="000000"/>
                <w:kern w:val="0"/>
                <w:szCs w:val="21"/>
              </w:rPr>
              <w:t>农</w:t>
            </w:r>
            <w:r>
              <w:rPr>
                <w:rFonts w:hint="eastAsia" w:cs="FZFSK--GBK1-0"/>
                <w:color w:val="000000"/>
                <w:sz w:val="21"/>
                <w:szCs w:val="21"/>
              </w:rPr>
              <w:t>业局、林业局、水利局</w:t>
            </w:r>
            <w:r>
              <w:rPr>
                <w:rFonts w:hint="eastAsia" w:cs="FZFSK--GBK1-0"/>
                <w:color w:val="000000"/>
                <w:sz w:val="21"/>
                <w:szCs w:val="21"/>
                <w:lang w:eastAsia="zh-CN"/>
              </w:rPr>
              <w:t>、环保局</w:t>
            </w:r>
            <w:r>
              <w:rPr>
                <w:rFonts w:hint="eastAsia" w:cs="FZFSK--GBK1-0"/>
                <w:color w:val="000000"/>
                <w:sz w:val="21"/>
                <w:szCs w:val="21"/>
              </w:rPr>
              <w:t>等部门落实</w:t>
            </w:r>
          </w:p>
        </w:tc>
        <w:tc>
          <w:tcPr>
            <w:tcW w:w="1575" w:type="dxa"/>
            <w:vAlign w:val="center"/>
          </w:tcPr>
          <w:p>
            <w:pPr>
              <w:pStyle w:val="4"/>
              <w:jc w:val="center"/>
              <w:rPr>
                <w:rFonts w:hint="eastAsia"/>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13</w:t>
            </w:r>
          </w:p>
        </w:tc>
        <w:tc>
          <w:tcPr>
            <w:tcW w:w="878" w:type="dxa"/>
            <w:vMerge w:val="continue"/>
            <w:vAlign w:val="center"/>
          </w:tcPr>
          <w:p>
            <w:pPr>
              <w:pStyle w:val="4"/>
              <w:jc w:val="both"/>
              <w:rPr>
                <w:color w:val="000000"/>
                <w:spacing w:val="-10"/>
                <w:sz w:val="21"/>
                <w:szCs w:val="21"/>
              </w:rPr>
            </w:pPr>
          </w:p>
        </w:tc>
        <w:tc>
          <w:tcPr>
            <w:tcW w:w="1410" w:type="dxa"/>
            <w:vMerge w:val="continue"/>
            <w:vAlign w:val="center"/>
          </w:tcPr>
          <w:p>
            <w:pPr>
              <w:pStyle w:val="4"/>
              <w:jc w:val="both"/>
              <w:rPr>
                <w:color w:val="000000"/>
                <w:spacing w:val="-10"/>
                <w:sz w:val="21"/>
                <w:szCs w:val="21"/>
              </w:rPr>
            </w:pPr>
          </w:p>
        </w:tc>
        <w:tc>
          <w:tcPr>
            <w:tcW w:w="7267" w:type="dxa"/>
            <w:vAlign w:val="center"/>
          </w:tcPr>
          <w:p>
            <w:pPr>
              <w:spacing w:line="260" w:lineRule="exact"/>
              <w:rPr>
                <w:rFonts w:ascii="宋体" w:hAnsi="宋体" w:cs="FZFSK--GBK1-0"/>
                <w:color w:val="000000"/>
                <w:kern w:val="0"/>
                <w:szCs w:val="21"/>
              </w:rPr>
            </w:pPr>
            <w:r>
              <w:rPr>
                <w:rFonts w:hint="eastAsia" w:ascii="宋体" w:hAnsi="宋体" w:cs="FZFSK--GBK1-0"/>
                <w:color w:val="000000"/>
                <w:kern w:val="0"/>
                <w:szCs w:val="21"/>
              </w:rPr>
              <w:t>出台重大建设项目批准和实施、公共资源配置领域信息公开的指导意见，明确公开的主体、范围、程序等。</w:t>
            </w:r>
          </w:p>
        </w:tc>
        <w:tc>
          <w:tcPr>
            <w:tcW w:w="2520" w:type="dxa"/>
            <w:vMerge w:val="continue"/>
            <w:vAlign w:val="center"/>
          </w:tcPr>
          <w:p>
            <w:pPr>
              <w:pStyle w:val="4"/>
              <w:jc w:val="both"/>
              <w:rPr>
                <w:rFonts w:hint="eastAsia"/>
                <w:color w:val="000000"/>
                <w:sz w:val="21"/>
                <w:szCs w:val="21"/>
              </w:rPr>
            </w:pPr>
          </w:p>
        </w:tc>
        <w:tc>
          <w:tcPr>
            <w:tcW w:w="1575" w:type="dxa"/>
            <w:vAlign w:val="center"/>
          </w:tcPr>
          <w:p>
            <w:pPr>
              <w:pStyle w:val="4"/>
              <w:jc w:val="center"/>
              <w:rPr>
                <w:rFonts w:hint="eastAsia"/>
                <w:color w:val="000000"/>
                <w:spacing w:val="-20"/>
                <w:sz w:val="21"/>
                <w:szCs w:val="21"/>
              </w:rPr>
            </w:pPr>
            <w:r>
              <w:rPr>
                <w:rFonts w:hint="eastAsia" w:cs="FZFSK--GBK1-0"/>
                <w:color w:val="000000"/>
                <w:spacing w:val="-20"/>
                <w:sz w:val="21"/>
                <w:szCs w:val="21"/>
              </w:rPr>
              <w:t>国家指导意见印发后</w:t>
            </w:r>
            <w:r>
              <w:rPr>
                <w:rFonts w:cs="TimesNewRomanPSMT"/>
                <w:color w:val="000000"/>
                <w:spacing w:val="-20"/>
                <w:sz w:val="21"/>
                <w:szCs w:val="21"/>
              </w:rPr>
              <w:t>60</w:t>
            </w:r>
            <w:r>
              <w:rPr>
                <w:rFonts w:hint="eastAsia" w:cs="FZFSK--GBK1-0"/>
                <w:color w:val="000000"/>
                <w:spacing w:val="-20"/>
                <w:sz w:val="21"/>
                <w:szCs w:val="21"/>
              </w:rPr>
              <w:t>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14</w:t>
            </w:r>
          </w:p>
        </w:tc>
        <w:tc>
          <w:tcPr>
            <w:tcW w:w="878" w:type="dxa"/>
            <w:vMerge w:val="continue"/>
            <w:vAlign w:val="center"/>
          </w:tcPr>
          <w:p>
            <w:pPr>
              <w:pStyle w:val="4"/>
              <w:jc w:val="both"/>
              <w:rPr>
                <w:color w:val="000000"/>
                <w:spacing w:val="-10"/>
                <w:sz w:val="21"/>
                <w:szCs w:val="21"/>
              </w:rPr>
            </w:pPr>
          </w:p>
        </w:tc>
        <w:tc>
          <w:tcPr>
            <w:tcW w:w="1410" w:type="dxa"/>
            <w:vMerge w:val="continue"/>
            <w:vAlign w:val="center"/>
          </w:tcPr>
          <w:p>
            <w:pPr>
              <w:pStyle w:val="4"/>
              <w:jc w:val="both"/>
              <w:rPr>
                <w:color w:val="000000"/>
                <w:spacing w:val="-10"/>
                <w:sz w:val="21"/>
                <w:szCs w:val="21"/>
              </w:rPr>
            </w:pPr>
          </w:p>
        </w:tc>
        <w:tc>
          <w:tcPr>
            <w:tcW w:w="7267" w:type="dxa"/>
            <w:vAlign w:val="center"/>
          </w:tcPr>
          <w:p>
            <w:pPr>
              <w:spacing w:line="260" w:lineRule="exact"/>
              <w:rPr>
                <w:rFonts w:ascii="宋体" w:hAnsi="宋体" w:cs="FZFSK--GBK1-0"/>
                <w:color w:val="000000"/>
                <w:kern w:val="0"/>
                <w:szCs w:val="21"/>
              </w:rPr>
            </w:pPr>
            <w:r>
              <w:rPr>
                <w:rFonts w:hint="eastAsia" w:ascii="宋体" w:hAnsi="宋体" w:cs="FZFSK--GBK1-0"/>
                <w:color w:val="000000"/>
                <w:kern w:val="0"/>
                <w:szCs w:val="21"/>
              </w:rPr>
              <w:t>围绕易地扶贫搬迁、重大水利工程、现代农业、生态环保等重大建设项目，做好审批、核准、备案等结果公开，着力推进实施过程信息公开。</w:t>
            </w:r>
          </w:p>
        </w:tc>
        <w:tc>
          <w:tcPr>
            <w:tcW w:w="2520" w:type="dxa"/>
            <w:vMerge w:val="continue"/>
            <w:vAlign w:val="center"/>
          </w:tcPr>
          <w:p>
            <w:pPr>
              <w:pStyle w:val="4"/>
              <w:jc w:val="both"/>
              <w:rPr>
                <w:rFonts w:hint="eastAsia"/>
                <w:color w:val="000000"/>
                <w:sz w:val="21"/>
                <w:szCs w:val="21"/>
              </w:rPr>
            </w:pPr>
          </w:p>
        </w:tc>
        <w:tc>
          <w:tcPr>
            <w:tcW w:w="1575" w:type="dxa"/>
            <w:vMerge w:val="restart"/>
            <w:vAlign w:val="center"/>
          </w:tcPr>
          <w:p>
            <w:pPr>
              <w:pStyle w:val="4"/>
              <w:jc w:val="center"/>
              <w:rPr>
                <w:rFonts w:hint="eastAsia"/>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15</w:t>
            </w:r>
          </w:p>
        </w:tc>
        <w:tc>
          <w:tcPr>
            <w:tcW w:w="878" w:type="dxa"/>
            <w:vMerge w:val="continue"/>
            <w:vAlign w:val="center"/>
          </w:tcPr>
          <w:p>
            <w:pPr>
              <w:pStyle w:val="4"/>
              <w:jc w:val="both"/>
              <w:rPr>
                <w:color w:val="000000"/>
                <w:spacing w:val="-10"/>
                <w:sz w:val="21"/>
                <w:szCs w:val="21"/>
              </w:rPr>
            </w:pPr>
          </w:p>
        </w:tc>
        <w:tc>
          <w:tcPr>
            <w:tcW w:w="1410" w:type="dxa"/>
            <w:vMerge w:val="continue"/>
            <w:vAlign w:val="center"/>
          </w:tcPr>
          <w:p>
            <w:pPr>
              <w:pStyle w:val="4"/>
              <w:jc w:val="both"/>
              <w:rPr>
                <w:color w:val="000000"/>
                <w:spacing w:val="-10"/>
                <w:sz w:val="21"/>
                <w:szCs w:val="21"/>
              </w:rPr>
            </w:pPr>
          </w:p>
        </w:tc>
        <w:tc>
          <w:tcPr>
            <w:tcW w:w="7267" w:type="dxa"/>
            <w:vAlign w:val="center"/>
          </w:tcPr>
          <w:p>
            <w:pPr>
              <w:spacing w:line="260" w:lineRule="exact"/>
              <w:rPr>
                <w:rFonts w:ascii="宋体" w:hAnsi="宋体" w:cs="FZFSK--GBK1-0"/>
                <w:color w:val="000000"/>
                <w:spacing w:val="-6"/>
                <w:kern w:val="0"/>
                <w:szCs w:val="21"/>
              </w:rPr>
            </w:pPr>
            <w:r>
              <w:rPr>
                <w:rFonts w:hint="eastAsia" w:ascii="宋体" w:hAnsi="宋体" w:cs="FZFSK--GBK1-0"/>
                <w:color w:val="000000"/>
                <w:spacing w:val="-6"/>
                <w:kern w:val="0"/>
                <w:szCs w:val="21"/>
              </w:rPr>
              <w:t>将碳排放权、排污权、公立医院药品、林权等纳入公共资源交易平台，依法公开的公共资源交易公告、资格审查信息、交易过程信息、成交信息以及履约信息都要在平台上统一发布，</w:t>
            </w:r>
            <w:r>
              <w:rPr>
                <w:rFonts w:ascii="宋体" w:hAnsi="宋体" w:cs="FZFSK--GBK1-0"/>
                <w:color w:val="000000"/>
                <w:spacing w:val="-6"/>
                <w:kern w:val="0"/>
                <w:szCs w:val="21"/>
              </w:rPr>
              <w:t xml:space="preserve"> </w:t>
            </w:r>
            <w:r>
              <w:rPr>
                <w:rFonts w:hint="eastAsia" w:ascii="宋体" w:hAnsi="宋体" w:cs="FZFSK--GBK1-0"/>
                <w:color w:val="000000"/>
                <w:spacing w:val="-6"/>
                <w:kern w:val="0"/>
                <w:szCs w:val="21"/>
              </w:rPr>
              <w:t>推进公共资源配置全流程透明化运行。</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16</w:t>
            </w:r>
          </w:p>
        </w:tc>
        <w:tc>
          <w:tcPr>
            <w:tcW w:w="878" w:type="dxa"/>
            <w:vMerge w:val="continue"/>
            <w:vAlign w:val="center"/>
          </w:tcPr>
          <w:p>
            <w:pPr>
              <w:pStyle w:val="4"/>
              <w:jc w:val="both"/>
              <w:rPr>
                <w:color w:val="000000"/>
                <w:spacing w:val="-10"/>
                <w:sz w:val="21"/>
                <w:szCs w:val="21"/>
              </w:rPr>
            </w:pPr>
          </w:p>
        </w:tc>
        <w:tc>
          <w:tcPr>
            <w:tcW w:w="1410" w:type="dxa"/>
            <w:vAlign w:val="center"/>
          </w:tcPr>
          <w:p>
            <w:pPr>
              <w:pStyle w:val="4"/>
              <w:jc w:val="both"/>
              <w:rPr>
                <w:color w:val="000000"/>
                <w:spacing w:val="-10"/>
                <w:sz w:val="21"/>
                <w:szCs w:val="21"/>
              </w:rPr>
            </w:pPr>
            <w:r>
              <w:rPr>
                <w:rFonts w:hint="eastAsia"/>
                <w:color w:val="000000"/>
                <w:spacing w:val="-10"/>
                <w:sz w:val="21"/>
                <w:szCs w:val="21"/>
              </w:rPr>
              <w:t>推进政府和社会资本合作（PPP）项目信息公开</w:t>
            </w:r>
          </w:p>
        </w:tc>
        <w:tc>
          <w:tcPr>
            <w:tcW w:w="7267" w:type="dxa"/>
            <w:vAlign w:val="center"/>
          </w:tcPr>
          <w:p>
            <w:pPr>
              <w:spacing w:line="260" w:lineRule="exact"/>
              <w:rPr>
                <w:rFonts w:ascii="宋体" w:hAnsi="宋体" w:cs="FZFSK--GBK1-0"/>
                <w:color w:val="000000"/>
                <w:kern w:val="0"/>
                <w:szCs w:val="21"/>
              </w:rPr>
            </w:pPr>
            <w:r>
              <w:rPr>
                <w:rFonts w:hint="eastAsia" w:ascii="宋体" w:hAnsi="宋体" w:cs="FZFSK--GBK1-0"/>
                <w:color w:val="000000"/>
                <w:kern w:val="0"/>
                <w:szCs w:val="21"/>
              </w:rPr>
              <w:t>全面公开</w:t>
            </w:r>
            <w:r>
              <w:rPr>
                <w:rFonts w:ascii="宋体" w:hAnsi="宋体" w:cs="TimesNewRomanPSMT"/>
                <w:color w:val="000000"/>
                <w:kern w:val="0"/>
                <w:szCs w:val="21"/>
              </w:rPr>
              <w:t xml:space="preserve">PPP </w:t>
            </w:r>
            <w:r>
              <w:rPr>
                <w:rFonts w:hint="eastAsia" w:ascii="宋体" w:hAnsi="宋体" w:cs="FZFSK--GBK1-0"/>
                <w:color w:val="000000"/>
                <w:kern w:val="0"/>
                <w:szCs w:val="21"/>
              </w:rPr>
              <w:t>有关法律法规、政策文件、项目进展、专家库等信息，做好项目准备、实施等阶段公开工作，加大社会资本参与方式、项目合同和回报机制等内容的公开力度，提高公开的及时性、准确性和完整性，激发社会资本的参与热情。</w:t>
            </w:r>
          </w:p>
        </w:tc>
        <w:tc>
          <w:tcPr>
            <w:tcW w:w="2520" w:type="dxa"/>
            <w:vAlign w:val="center"/>
          </w:tcPr>
          <w:p>
            <w:pPr>
              <w:autoSpaceDE w:val="0"/>
              <w:autoSpaceDN w:val="0"/>
              <w:adjustRightInd w:val="0"/>
              <w:rPr>
                <w:rFonts w:ascii="宋体" w:hAnsi="宋体" w:cs="FZFSK--GBK1-0"/>
                <w:color w:val="000000"/>
                <w:kern w:val="0"/>
                <w:szCs w:val="21"/>
              </w:rPr>
            </w:pPr>
            <w:r>
              <w:rPr>
                <w:rFonts w:hint="eastAsia"/>
                <w:color w:val="000000"/>
                <w:sz w:val="21"/>
                <w:szCs w:val="21"/>
                <w:lang w:eastAsia="zh-CN"/>
              </w:rPr>
              <w:t>县</w:t>
            </w:r>
            <w:r>
              <w:rPr>
                <w:rFonts w:hint="eastAsia"/>
                <w:color w:val="000000"/>
                <w:sz w:val="21"/>
                <w:szCs w:val="21"/>
              </w:rPr>
              <w:t>发改</w:t>
            </w:r>
            <w:r>
              <w:rPr>
                <w:rFonts w:hint="eastAsia"/>
                <w:color w:val="000000"/>
                <w:sz w:val="21"/>
                <w:szCs w:val="21"/>
                <w:lang w:eastAsia="zh-CN"/>
              </w:rPr>
              <w:t>局</w:t>
            </w:r>
            <w:r>
              <w:rPr>
                <w:rFonts w:hint="eastAsia" w:ascii="宋体" w:hAnsi="宋体" w:cs="FZFSK--GBK1-0"/>
                <w:color w:val="000000"/>
                <w:kern w:val="0"/>
                <w:szCs w:val="21"/>
              </w:rPr>
              <w:t>、财政局按照职责分工分别牵头落实</w:t>
            </w: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17</w:t>
            </w:r>
          </w:p>
        </w:tc>
        <w:tc>
          <w:tcPr>
            <w:tcW w:w="878" w:type="dxa"/>
            <w:vMerge w:val="restart"/>
            <w:vAlign w:val="center"/>
          </w:tcPr>
          <w:p>
            <w:pPr>
              <w:pStyle w:val="4"/>
              <w:jc w:val="both"/>
              <w:rPr>
                <w:color w:val="000000"/>
                <w:sz w:val="21"/>
                <w:szCs w:val="21"/>
              </w:rPr>
            </w:pPr>
            <w:r>
              <w:rPr>
                <w:rFonts w:hint="eastAsia"/>
                <w:color w:val="000000"/>
                <w:sz w:val="21"/>
                <w:szCs w:val="21"/>
              </w:rPr>
              <w:t>以政务公开助力促改革</w:t>
            </w:r>
          </w:p>
        </w:tc>
        <w:tc>
          <w:tcPr>
            <w:tcW w:w="1410" w:type="dxa"/>
            <w:vMerge w:val="restart"/>
            <w:vAlign w:val="center"/>
          </w:tcPr>
          <w:p>
            <w:pPr>
              <w:pStyle w:val="4"/>
              <w:jc w:val="both"/>
              <w:rPr>
                <w:color w:val="000000"/>
                <w:sz w:val="21"/>
                <w:szCs w:val="21"/>
              </w:rPr>
            </w:pPr>
            <w:r>
              <w:rPr>
                <w:rFonts w:hint="eastAsia"/>
                <w:color w:val="000000"/>
                <w:sz w:val="21"/>
                <w:szCs w:val="21"/>
              </w:rPr>
              <w:t>推进“放管服”改革信息公开</w:t>
            </w:r>
          </w:p>
        </w:tc>
        <w:tc>
          <w:tcPr>
            <w:tcW w:w="7267" w:type="dxa"/>
            <w:vAlign w:val="center"/>
          </w:tcPr>
          <w:p>
            <w:pPr>
              <w:pStyle w:val="4"/>
              <w:spacing w:line="240" w:lineRule="exact"/>
              <w:jc w:val="both"/>
              <w:rPr>
                <w:color w:val="000000"/>
                <w:sz w:val="21"/>
                <w:szCs w:val="21"/>
              </w:rPr>
            </w:pPr>
            <w:r>
              <w:rPr>
                <w:rFonts w:hint="eastAsia"/>
                <w:color w:val="000000"/>
                <w:sz w:val="21"/>
                <w:szCs w:val="21"/>
              </w:rPr>
              <w:t>以清单管理推动简政放权。及时向社会公开各类清单。深化政府及其部门权责清单公开工作，根据权责事项取消、下放、承接情况动态调整，并采取在政府网站集中发布、开设反馈意见信箱、增加在线提交意见建议功能等方式，让公众了解放权情况，监督放权进程，评价放权效果。投资核准事项清单、国家职业资格目录清单、政府定价或指导价经营服务性收费清单、行政审批中介服务事项清单、工商登记前置审批事项目录和企业设立后的经营许可清单等，都要在政府门户网站或信息公开网上集中发布，接受监督。</w:t>
            </w:r>
          </w:p>
        </w:tc>
        <w:tc>
          <w:tcPr>
            <w:tcW w:w="2520" w:type="dxa"/>
            <w:vMerge w:val="restart"/>
            <w:vAlign w:val="center"/>
          </w:tcPr>
          <w:p>
            <w:pPr>
              <w:pStyle w:val="4"/>
              <w:spacing w:line="240" w:lineRule="exact"/>
              <w:jc w:val="both"/>
              <w:rPr>
                <w:rFonts w:hint="eastAsia"/>
                <w:color w:val="000000"/>
                <w:sz w:val="21"/>
                <w:szCs w:val="21"/>
              </w:rPr>
            </w:pPr>
            <w:r>
              <w:rPr>
                <w:rFonts w:hint="eastAsia" w:cs="FZFSK--GBK1-0"/>
                <w:color w:val="000000"/>
                <w:sz w:val="21"/>
                <w:szCs w:val="21"/>
                <w:lang w:eastAsia="zh-CN"/>
              </w:rPr>
              <w:t>县委</w:t>
            </w:r>
            <w:r>
              <w:rPr>
                <w:rFonts w:hint="eastAsia" w:cs="FZFSK--GBK1-0"/>
                <w:color w:val="000000"/>
                <w:sz w:val="21"/>
                <w:szCs w:val="21"/>
              </w:rPr>
              <w:t>编办、</w:t>
            </w:r>
            <w:r>
              <w:rPr>
                <w:rFonts w:hint="eastAsia"/>
                <w:color w:val="000000"/>
                <w:sz w:val="21"/>
                <w:szCs w:val="21"/>
                <w:lang w:eastAsia="zh-CN"/>
              </w:rPr>
              <w:t>县</w:t>
            </w:r>
            <w:r>
              <w:rPr>
                <w:rFonts w:hint="eastAsia"/>
                <w:color w:val="000000"/>
                <w:sz w:val="21"/>
                <w:szCs w:val="21"/>
              </w:rPr>
              <w:t>发改</w:t>
            </w:r>
            <w:r>
              <w:rPr>
                <w:rFonts w:hint="eastAsia"/>
                <w:color w:val="000000"/>
                <w:sz w:val="21"/>
                <w:szCs w:val="21"/>
                <w:lang w:eastAsia="zh-CN"/>
              </w:rPr>
              <w:t>局</w:t>
            </w:r>
            <w:r>
              <w:rPr>
                <w:rFonts w:hint="eastAsia" w:cs="FZFSK--GBK1-0"/>
                <w:color w:val="000000"/>
                <w:sz w:val="21"/>
                <w:szCs w:val="21"/>
              </w:rPr>
              <w:t>、财政局、人社局、</w:t>
            </w:r>
            <w:r>
              <w:rPr>
                <w:rFonts w:hint="eastAsia" w:cs="FZFSK--GBK1-0"/>
                <w:color w:val="000000"/>
                <w:sz w:val="21"/>
                <w:szCs w:val="21"/>
                <w:lang w:eastAsia="zh-CN"/>
              </w:rPr>
              <w:t>政务服务局、市场监管局</w:t>
            </w:r>
            <w:r>
              <w:rPr>
                <w:rFonts w:hint="eastAsia" w:cs="FZFSK--GBK1-0"/>
                <w:color w:val="000000"/>
                <w:sz w:val="21"/>
                <w:szCs w:val="21"/>
              </w:rPr>
              <w:t>、教育局、文</w:t>
            </w:r>
            <w:r>
              <w:rPr>
                <w:rFonts w:hint="eastAsia" w:cs="FZFSK--GBK1-0"/>
                <w:color w:val="000000"/>
                <w:sz w:val="21"/>
                <w:szCs w:val="21"/>
                <w:lang w:eastAsia="zh-CN"/>
              </w:rPr>
              <w:t>旅</w:t>
            </w:r>
            <w:r>
              <w:rPr>
                <w:rFonts w:hint="eastAsia" w:cs="FZFSK--GBK1-0"/>
                <w:color w:val="000000"/>
                <w:sz w:val="21"/>
                <w:szCs w:val="21"/>
              </w:rPr>
              <w:t>广</w:t>
            </w:r>
            <w:r>
              <w:rPr>
                <w:rFonts w:hint="eastAsia" w:cs="FZFSK--GBK1-0"/>
                <w:color w:val="000000"/>
                <w:sz w:val="21"/>
                <w:szCs w:val="21"/>
                <w:lang w:eastAsia="zh-CN"/>
              </w:rPr>
              <w:t>体</w:t>
            </w:r>
            <w:r>
              <w:rPr>
                <w:rFonts w:hint="eastAsia" w:cs="FZFSK--GBK1-0"/>
                <w:color w:val="000000"/>
                <w:sz w:val="21"/>
                <w:szCs w:val="21"/>
              </w:rPr>
              <w:t>局、卫</w:t>
            </w:r>
            <w:r>
              <w:rPr>
                <w:rFonts w:hint="eastAsia" w:cs="FZFSK--GBK1-0"/>
                <w:color w:val="000000"/>
                <w:sz w:val="21"/>
                <w:szCs w:val="21"/>
                <w:lang w:eastAsia="zh-CN"/>
              </w:rPr>
              <w:t>计局</w:t>
            </w:r>
            <w:r>
              <w:rPr>
                <w:rFonts w:hint="eastAsia" w:cs="FZFSK--GBK1-0"/>
                <w:color w:val="000000"/>
                <w:sz w:val="21"/>
                <w:szCs w:val="21"/>
              </w:rPr>
              <w:t>、</w:t>
            </w:r>
            <w:r>
              <w:rPr>
                <w:rFonts w:hint="eastAsia" w:cs="FZFSK--GBK1-0"/>
                <w:color w:val="000000"/>
                <w:sz w:val="21"/>
                <w:szCs w:val="21"/>
                <w:lang w:eastAsia="zh-CN"/>
              </w:rPr>
              <w:t>政府</w:t>
            </w:r>
            <w:r>
              <w:rPr>
                <w:rFonts w:hint="eastAsia" w:cs="FZFSK--GBK1-0"/>
                <w:color w:val="000000"/>
                <w:sz w:val="21"/>
                <w:szCs w:val="21"/>
              </w:rPr>
              <w:t>法制办</w:t>
            </w:r>
            <w:r>
              <w:rPr>
                <w:rFonts w:hint="eastAsia" w:cs="FZFSK--GBK1-0"/>
                <w:color w:val="000000"/>
                <w:sz w:val="21"/>
                <w:szCs w:val="21"/>
                <w:lang w:eastAsia="zh-CN"/>
              </w:rPr>
              <w:t>、</w:t>
            </w:r>
            <w:r>
              <w:rPr>
                <w:rFonts w:hint="eastAsia" w:cs="FZFSK--GBK1-0"/>
                <w:color w:val="000000"/>
                <w:sz w:val="21"/>
                <w:szCs w:val="21"/>
              </w:rPr>
              <w:t>政府督查室等部门按照职责分工分别牵头落实</w:t>
            </w:r>
          </w:p>
        </w:tc>
        <w:tc>
          <w:tcPr>
            <w:tcW w:w="1575" w:type="dxa"/>
            <w:vMerge w:val="restart"/>
            <w:vAlign w:val="center"/>
          </w:tcPr>
          <w:p>
            <w:pPr>
              <w:pStyle w:val="4"/>
              <w:spacing w:line="240" w:lineRule="exact"/>
              <w:jc w:val="center"/>
              <w:rPr>
                <w:rFonts w:hint="eastAsia"/>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18</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2041"/>
                <w:tab w:val="center" w:pos="3010"/>
              </w:tabs>
              <w:spacing w:line="280" w:lineRule="exact"/>
              <w:rPr>
                <w:rFonts w:ascii="宋体" w:hAnsi="宋体" w:cs="FZFSK--GBK1-0"/>
                <w:color w:val="000000"/>
                <w:szCs w:val="21"/>
              </w:rPr>
            </w:pPr>
            <w:r>
              <w:rPr>
                <w:rFonts w:hint="eastAsia" w:ascii="宋体" w:hAnsi="宋体" w:cs="FZFSK--GBK1-0"/>
                <w:color w:val="000000"/>
                <w:szCs w:val="21"/>
                <w:lang w:bidi="ar-SA"/>
              </w:rPr>
              <mc:AlternateContent>
                <mc:Choice Requires="wps">
                  <w:drawing>
                    <wp:anchor distT="0" distB="0" distL="114300" distR="114300" simplePos="0" relativeHeight="251663360" behindDoc="0" locked="0" layoutInCell="1" allowOverlap="1">
                      <wp:simplePos x="0" y="0"/>
                      <wp:positionH relativeFrom="column">
                        <wp:posOffset>-2733675</wp:posOffset>
                      </wp:positionH>
                      <wp:positionV relativeFrom="paragraph">
                        <wp:posOffset>43180</wp:posOffset>
                      </wp:positionV>
                      <wp:extent cx="466725" cy="891540"/>
                      <wp:effectExtent l="4445" t="4445" r="5080" b="18415"/>
                      <wp:wrapNone/>
                      <wp:docPr id="6" name="文本框 3"/>
                      <wp:cNvGraphicFramePr/>
                      <a:graphic xmlns:a="http://schemas.openxmlformats.org/drawingml/2006/main">
                        <a:graphicData uri="http://schemas.microsoft.com/office/word/2010/wordprocessingShape">
                          <wps:wsp>
                            <wps:cNvSpPr txBox="1"/>
                            <wps:spPr>
                              <a:xfrm>
                                <a:off x="0" y="0"/>
                                <a:ext cx="466725" cy="8915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80" w:lineRule="exact"/>
                                  </w:pPr>
                                </w:p>
                              </w:txbxContent>
                            </wps:txbx>
                            <wps:bodyPr vert="eaVert" upright="1"/>
                          </wps:wsp>
                        </a:graphicData>
                      </a:graphic>
                    </wp:anchor>
                  </w:drawing>
                </mc:Choice>
                <mc:Fallback>
                  <w:pict>
                    <v:shape id="文本框 3" o:spid="_x0000_s1026" o:spt="202" type="#_x0000_t202" style="position:absolute;left:0pt;margin-left:-215.25pt;margin-top:3.4pt;height:70.2pt;width:36.75pt;z-index:251663360;mso-width-relative:page;mso-height-relative:page;" fillcolor="#FFFFFF" filled="t" stroked="t" coordsize="21600,21600" o:gfxdata="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wW2fntYAAAALAQAADwAAAAAAAAABACAAAAA4&#10;AAAAZHJzL2Rvd25yZXYueG1sUEsBAhQAFAAAAAgAh07iQJoBsQn2AQAA9QMAAA4AAAAAAAAAAQAg&#10;AAAAOwEAAGRycy9lMm9Eb2MueG1sUEsFBgAAAAAGAAYAWQEAAKMFAAAAAA==&#10;">
                      <v:fill on="t" focussize="0,0"/>
                      <v:stroke color="#FFFFFF" joinstyle="miter"/>
                      <v:imagedata o:title=""/>
                      <o:lock v:ext="edit" aspectratio="f"/>
                      <v:textbox style="layout-flow:vertical-ideographic;">
                        <w:txbxContent>
                          <w:p>
                            <w:pPr>
                              <w:spacing w:line="480" w:lineRule="exact"/>
                            </w:pPr>
                          </w:p>
                        </w:txbxContent>
                      </v:textbox>
                    </v:shape>
                  </w:pict>
                </mc:Fallback>
              </mc:AlternateContent>
            </w:r>
            <w:r>
              <w:rPr>
                <w:rFonts w:hint="eastAsia" w:ascii="宋体" w:hAnsi="宋体" w:cs="FZFSK--GBK1-0"/>
                <w:color w:val="000000"/>
                <w:szCs w:val="21"/>
              </w:rPr>
              <w:t>及时公开法规、规章、规范性文件和其他政策性文件的修改、废止、失效情况，并在政府网站上分类公开发布。</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19</w:t>
            </w:r>
          </w:p>
        </w:tc>
        <w:tc>
          <w:tcPr>
            <w:tcW w:w="878" w:type="dxa"/>
            <w:vMerge w:val="restart"/>
            <w:vAlign w:val="center"/>
          </w:tcPr>
          <w:p>
            <w:pPr>
              <w:pStyle w:val="4"/>
              <w:jc w:val="both"/>
              <w:rPr>
                <w:color w:val="000000"/>
                <w:sz w:val="21"/>
                <w:szCs w:val="21"/>
              </w:rPr>
            </w:pPr>
            <w:r>
              <w:rPr>
                <w:rFonts w:hint="eastAsia"/>
                <w:color w:val="000000"/>
                <w:sz w:val="21"/>
                <w:szCs w:val="21"/>
              </w:rPr>
              <w:t>以政务公开助力促改革</w:t>
            </w:r>
          </w:p>
        </w:tc>
        <w:tc>
          <w:tcPr>
            <w:tcW w:w="1410" w:type="dxa"/>
            <w:vMerge w:val="restart"/>
            <w:vAlign w:val="center"/>
          </w:tcPr>
          <w:p>
            <w:pPr>
              <w:pStyle w:val="4"/>
              <w:jc w:val="both"/>
              <w:rPr>
                <w:color w:val="000000"/>
                <w:sz w:val="21"/>
                <w:szCs w:val="21"/>
              </w:rPr>
            </w:pPr>
            <w:r>
              <w:rPr>
                <w:rFonts w:hint="eastAsia"/>
                <w:color w:val="000000"/>
                <w:sz w:val="21"/>
                <w:szCs w:val="21"/>
              </w:rPr>
              <w:t>推进“放管服”改革信息公开</w:t>
            </w:r>
          </w:p>
        </w:tc>
        <w:tc>
          <w:tcPr>
            <w:tcW w:w="7267" w:type="dxa"/>
            <w:vAlign w:val="center"/>
          </w:tcPr>
          <w:p>
            <w:pPr>
              <w:autoSpaceDE w:val="0"/>
              <w:autoSpaceDN w:val="0"/>
              <w:adjustRightInd w:val="0"/>
              <w:spacing w:line="260" w:lineRule="exact"/>
              <w:rPr>
                <w:rFonts w:ascii="宋体" w:hAnsi="宋体" w:cs="FZFSK--GBK1-0"/>
                <w:color w:val="000000"/>
                <w:kern w:val="0"/>
                <w:szCs w:val="21"/>
              </w:rPr>
            </w:pPr>
            <w:r>
              <w:rPr>
                <w:rFonts w:hint="eastAsia" w:ascii="宋体" w:hAnsi="宋体" w:cs="FZFSK--GBK1-0"/>
                <w:color w:val="000000"/>
                <w:kern w:val="0"/>
                <w:szCs w:val="21"/>
                <w:lang w:bidi="ar-SA"/>
              </w:rPr>
              <mc:AlternateContent>
                <mc:Choice Requires="wps">
                  <w:drawing>
                    <wp:anchor distT="0" distB="0" distL="114300" distR="114300" simplePos="0" relativeHeight="251666432" behindDoc="0" locked="0" layoutInCell="1" allowOverlap="1">
                      <wp:simplePos x="0" y="0"/>
                      <wp:positionH relativeFrom="column">
                        <wp:posOffset>-2733675</wp:posOffset>
                      </wp:positionH>
                      <wp:positionV relativeFrom="paragraph">
                        <wp:posOffset>-101600</wp:posOffset>
                      </wp:positionV>
                      <wp:extent cx="466725" cy="891540"/>
                      <wp:effectExtent l="4445" t="4445" r="5080" b="18415"/>
                      <wp:wrapNone/>
                      <wp:docPr id="2" name="文本框 4"/>
                      <wp:cNvGraphicFramePr/>
                      <a:graphic xmlns:a="http://schemas.openxmlformats.org/drawingml/2006/main">
                        <a:graphicData uri="http://schemas.microsoft.com/office/word/2010/wordprocessingShape">
                          <wps:wsp>
                            <wps:cNvSpPr txBox="1"/>
                            <wps:spPr>
                              <a:xfrm>
                                <a:off x="0" y="0"/>
                                <a:ext cx="466725" cy="89154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vert="eaVert" upright="1"/>
                          </wps:wsp>
                        </a:graphicData>
                      </a:graphic>
                    </wp:anchor>
                  </w:drawing>
                </mc:Choice>
                <mc:Fallback>
                  <w:pict>
                    <v:shape id="文本框 4" o:spid="_x0000_s1026" o:spt="202" type="#_x0000_t202" style="position:absolute;left:0pt;margin-left:-215.25pt;margin-top:-8pt;height:70.2pt;width:36.75pt;z-index:251666432;mso-width-relative:page;mso-height-relative:page;" fillcolor="#FFFFFF" filled="t" stroked="t" coordsize="21600,21600" o:gfxdata="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ZHVG42AAAAA0BAAAPAAAAAAAAAAEAIAAA&#10;ADgAAABkcnMvZG93bnJldi54bWxQSwECFAAUAAAACACHTuJAcef1zfYBAAD1AwAADgAAAAAAAAAB&#10;ACAAAAA9AQAAZHJzL2Uyb0RvYy54bWxQSwUGAAAAAAYABgBZAQAApQUAAAAA&#10;">
                      <v:fill on="t" focussize="0,0"/>
                      <v:stroke color="#FFFFFF" joinstyle="miter"/>
                      <v:imagedata o:title=""/>
                      <o:lock v:ext="edit" aspectratio="f"/>
                      <v:textbox style="layout-flow:vertical-ideographic;">
                        <w:txbxContent>
                          <w:p/>
                        </w:txbxContent>
                      </v:textbox>
                    </v:shape>
                  </w:pict>
                </mc:Fallback>
              </mc:AlternateContent>
            </w:r>
            <w:r>
              <w:rPr>
                <w:rFonts w:hint="eastAsia" w:ascii="宋体" w:hAnsi="宋体" w:cs="FZFSK--GBK1-0"/>
                <w:color w:val="000000"/>
                <w:kern w:val="0"/>
                <w:szCs w:val="21"/>
              </w:rPr>
              <w:t>围绕年内实现“双随机、一公开”监管全覆盖目标，汇总形成并统一公布本级随机抽查事项清单，明确抽查依据、主体、内容、方式等，及时通过各类公开平台公开抽查结果和查处情况。</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20</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autoSpaceDE w:val="0"/>
              <w:autoSpaceDN w:val="0"/>
              <w:adjustRightInd w:val="0"/>
              <w:spacing w:line="260" w:lineRule="exact"/>
              <w:rPr>
                <w:rFonts w:ascii="宋体" w:hAnsi="宋体" w:cs="FZFSK--GBK1-0"/>
                <w:color w:val="000000"/>
                <w:kern w:val="0"/>
                <w:szCs w:val="21"/>
              </w:rPr>
            </w:pPr>
            <w:r>
              <w:rPr>
                <w:rFonts w:hint="eastAsia" w:ascii="宋体" w:hAnsi="宋体" w:cs="FZFSK--GBK1-0"/>
                <w:color w:val="000000"/>
                <w:kern w:val="0"/>
                <w:szCs w:val="21"/>
              </w:rPr>
              <w:t>大力推进“互联网+政务服务”，年内完成政务服务事项目录的编制工作，通过政府门户网站集中全面公开；</w:t>
            </w:r>
            <w:r>
              <w:rPr>
                <w:rFonts w:hint="eastAsia" w:ascii="宋体" w:hAnsi="宋体" w:cs="FZFSK--GBK1-0"/>
                <w:color w:val="000000"/>
                <w:kern w:val="0"/>
                <w:szCs w:val="21"/>
                <w:lang w:eastAsia="zh-CN"/>
              </w:rPr>
              <w:t>加快推进</w:t>
            </w:r>
            <w:r>
              <w:rPr>
                <w:rFonts w:ascii="宋体" w:hAnsi="宋体" w:cs="FZFSK--GBK1-0"/>
                <w:color w:val="000000"/>
                <w:kern w:val="0"/>
                <w:szCs w:val="21"/>
              </w:rPr>
              <w:t>一体化网上政务服务平台</w:t>
            </w:r>
            <w:r>
              <w:rPr>
                <w:rFonts w:hint="eastAsia" w:ascii="宋体" w:hAnsi="宋体" w:cs="FZFSK--GBK1-0"/>
                <w:color w:val="000000"/>
                <w:kern w:val="0"/>
                <w:szCs w:val="21"/>
                <w:lang w:eastAsia="zh-CN"/>
              </w:rPr>
              <w:t>建设</w:t>
            </w:r>
            <w:r>
              <w:rPr>
                <w:rFonts w:ascii="宋体" w:hAnsi="宋体" w:cs="FZFSK--GBK1-0"/>
                <w:color w:val="000000"/>
                <w:kern w:val="0"/>
                <w:szCs w:val="21"/>
              </w:rPr>
              <w:t>，推动企业注册登记、项目投资、创业创新，以及与群众生活密切相关的服务事项网上办理，加快实体政务大厅与网上服务平台融合发展，让企业和群众办事更加便捷</w:t>
            </w:r>
            <w:r>
              <w:rPr>
                <w:rFonts w:hint="eastAsia" w:ascii="宋体" w:hAnsi="宋体" w:cs="FZFSK--GBK1-0"/>
                <w:color w:val="000000"/>
                <w:kern w:val="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2</w:t>
            </w:r>
            <w:r>
              <w:rPr>
                <w:rFonts w:hint="eastAsia" w:cs="Times New Roman"/>
                <w:color w:val="000000"/>
                <w:sz w:val="21"/>
                <w:szCs w:val="21"/>
                <w:lang w:val="en-US" w:eastAsia="zh-CN"/>
              </w:rPr>
              <w:t>1</w:t>
            </w:r>
          </w:p>
        </w:tc>
        <w:tc>
          <w:tcPr>
            <w:tcW w:w="878" w:type="dxa"/>
            <w:vMerge w:val="continue"/>
            <w:vAlign w:val="center"/>
          </w:tcPr>
          <w:p>
            <w:pPr>
              <w:pStyle w:val="4"/>
              <w:spacing w:line="280" w:lineRule="exact"/>
              <w:jc w:val="both"/>
              <w:rPr>
                <w:color w:val="000000"/>
                <w:sz w:val="21"/>
                <w:szCs w:val="21"/>
              </w:rPr>
            </w:pPr>
          </w:p>
        </w:tc>
        <w:tc>
          <w:tcPr>
            <w:tcW w:w="1410" w:type="dxa"/>
            <w:vMerge w:val="restart"/>
            <w:vAlign w:val="center"/>
          </w:tcPr>
          <w:p>
            <w:pPr>
              <w:pStyle w:val="4"/>
              <w:spacing w:line="280" w:lineRule="exact"/>
              <w:jc w:val="both"/>
              <w:rPr>
                <w:color w:val="000000"/>
                <w:sz w:val="21"/>
                <w:szCs w:val="21"/>
              </w:rPr>
            </w:pPr>
            <w:r>
              <w:rPr>
                <w:rFonts w:hint="eastAsia"/>
                <w:color w:val="000000"/>
                <w:sz w:val="21"/>
                <w:szCs w:val="21"/>
              </w:rPr>
              <w:t>推进农业供给侧结构性改革信息公开</w:t>
            </w:r>
          </w:p>
        </w:tc>
        <w:tc>
          <w:tcPr>
            <w:tcW w:w="7267" w:type="dxa"/>
            <w:vAlign w:val="center"/>
          </w:tcPr>
          <w:p>
            <w:pPr>
              <w:pStyle w:val="4"/>
              <w:spacing w:line="240" w:lineRule="exact"/>
              <w:jc w:val="both"/>
              <w:rPr>
                <w:color w:val="000000"/>
                <w:sz w:val="21"/>
                <w:szCs w:val="21"/>
              </w:rPr>
            </w:pPr>
            <w:r>
              <w:rPr>
                <w:rFonts w:hint="eastAsia"/>
                <w:color w:val="000000"/>
                <w:sz w:val="21"/>
                <w:szCs w:val="21"/>
              </w:rPr>
              <w:t>做好农产品价格信息公开工作，每周发布国内批发市场价格信息、国际农产品价格信息以及全国小麦、稻谷、玉米、大豆收购价格信息，收购旺季时每5 日发布主产区收购进度信息，每月发布中国玉米、大豆、棉花、食用植物油、食糖等农产品供需平衡表。</w:t>
            </w:r>
          </w:p>
        </w:tc>
        <w:tc>
          <w:tcPr>
            <w:tcW w:w="2520" w:type="dxa"/>
            <w:vMerge w:val="restart"/>
            <w:vAlign w:val="center"/>
          </w:tcPr>
          <w:p>
            <w:pPr>
              <w:pStyle w:val="4"/>
              <w:spacing w:line="280" w:lineRule="exact"/>
              <w:jc w:val="both"/>
              <w:rPr>
                <w:rFonts w:hint="eastAsia"/>
                <w:color w:val="000000"/>
                <w:sz w:val="21"/>
                <w:szCs w:val="21"/>
              </w:rPr>
            </w:pPr>
            <w:r>
              <w:rPr>
                <w:rFonts w:hint="eastAsia" w:cs="FZFSK--GBK1-0"/>
                <w:color w:val="000000"/>
                <w:sz w:val="21"/>
                <w:szCs w:val="21"/>
                <w:lang w:eastAsia="zh-CN"/>
              </w:rPr>
              <w:t>县</w:t>
            </w:r>
            <w:r>
              <w:rPr>
                <w:rFonts w:hint="eastAsia" w:cs="FZFSK--GBK1-0"/>
                <w:color w:val="000000"/>
                <w:sz w:val="21"/>
                <w:szCs w:val="21"/>
              </w:rPr>
              <w:t>农业局牵头，</w:t>
            </w:r>
            <w:r>
              <w:rPr>
                <w:rFonts w:hint="eastAsia" w:cs="FZFSK--GBK1-0"/>
                <w:color w:val="000000"/>
                <w:sz w:val="21"/>
                <w:szCs w:val="21"/>
                <w:lang w:eastAsia="zh-CN"/>
              </w:rPr>
              <w:t>县</w:t>
            </w:r>
            <w:r>
              <w:rPr>
                <w:rFonts w:hint="eastAsia" w:cs="FZFSK--GBK1-0"/>
                <w:color w:val="000000"/>
                <w:sz w:val="21"/>
                <w:szCs w:val="21"/>
              </w:rPr>
              <w:t>人社局、国土资源局按照职责分工分别落实</w:t>
            </w:r>
          </w:p>
        </w:tc>
        <w:tc>
          <w:tcPr>
            <w:tcW w:w="1575" w:type="dxa"/>
            <w:vAlign w:val="center"/>
          </w:tcPr>
          <w:p>
            <w:pPr>
              <w:pStyle w:val="4"/>
              <w:spacing w:line="280" w:lineRule="exact"/>
              <w:jc w:val="both"/>
              <w:rPr>
                <w:color w:val="000000"/>
                <w:sz w:val="21"/>
                <w:szCs w:val="21"/>
              </w:rPr>
            </w:pPr>
            <w:r>
              <w:rPr>
                <w:rFonts w:hint="eastAsia"/>
                <w:color w:val="000000"/>
                <w:sz w:val="21"/>
                <w:szCs w:val="21"/>
              </w:rPr>
              <w:t>每周二前、每月第一周内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2</w:t>
            </w:r>
            <w:r>
              <w:rPr>
                <w:rFonts w:hint="eastAsia" w:cs="Times New Roman"/>
                <w:color w:val="000000"/>
                <w:sz w:val="21"/>
                <w:szCs w:val="21"/>
                <w:lang w:val="en-US" w:eastAsia="zh-CN"/>
              </w:rPr>
              <w:t>2</w:t>
            </w:r>
          </w:p>
        </w:tc>
        <w:tc>
          <w:tcPr>
            <w:tcW w:w="878" w:type="dxa"/>
            <w:vMerge w:val="continue"/>
            <w:vAlign w:val="center"/>
          </w:tcPr>
          <w:p>
            <w:pPr>
              <w:pStyle w:val="4"/>
              <w:spacing w:line="280" w:lineRule="exact"/>
              <w:jc w:val="both"/>
              <w:rPr>
                <w:color w:val="000000"/>
                <w:sz w:val="21"/>
                <w:szCs w:val="21"/>
              </w:rPr>
            </w:pPr>
          </w:p>
        </w:tc>
        <w:tc>
          <w:tcPr>
            <w:tcW w:w="1410" w:type="dxa"/>
            <w:vMerge w:val="continue"/>
            <w:vAlign w:val="center"/>
          </w:tcPr>
          <w:p>
            <w:pPr>
              <w:pStyle w:val="4"/>
              <w:spacing w:line="280" w:lineRule="exact"/>
              <w:jc w:val="both"/>
              <w:rPr>
                <w:color w:val="000000"/>
                <w:sz w:val="21"/>
                <w:szCs w:val="21"/>
              </w:rPr>
            </w:pPr>
          </w:p>
        </w:tc>
        <w:tc>
          <w:tcPr>
            <w:tcW w:w="7267" w:type="dxa"/>
            <w:vAlign w:val="center"/>
          </w:tcPr>
          <w:p>
            <w:pPr>
              <w:tabs>
                <w:tab w:val="left" w:pos="2016"/>
              </w:tabs>
              <w:spacing w:line="240" w:lineRule="exact"/>
              <w:rPr>
                <w:rFonts w:ascii="宋体" w:hAnsi="宋体" w:cs="FZFSK--GBK1-0"/>
                <w:color w:val="000000"/>
                <w:szCs w:val="21"/>
              </w:rPr>
            </w:pPr>
            <w:r>
              <w:rPr>
                <w:rFonts w:hint="eastAsia" w:ascii="宋体" w:hAnsi="宋体" w:cs="FZFSK--GBK1-0"/>
                <w:color w:val="000000"/>
                <w:szCs w:val="21"/>
              </w:rPr>
              <w:t>加大强农惠农政策公开力度，深入解读承包土地“三权分置”、农村产权制度改革、农村集体资产清产核资、农业补贴、农村劳动力转移就业、农民创业创新等政策措施。及时公开农村土地承包经营权确权登记颁证等工作进展情况。</w:t>
            </w:r>
          </w:p>
        </w:tc>
        <w:tc>
          <w:tcPr>
            <w:tcW w:w="2520" w:type="dxa"/>
            <w:vMerge w:val="continue"/>
            <w:vAlign w:val="center"/>
          </w:tcPr>
          <w:p>
            <w:pPr>
              <w:pStyle w:val="4"/>
              <w:spacing w:line="280" w:lineRule="exact"/>
              <w:jc w:val="both"/>
              <w:rPr>
                <w:rFonts w:hint="eastAsia"/>
                <w:color w:val="000000"/>
                <w:sz w:val="21"/>
                <w:szCs w:val="21"/>
              </w:rPr>
            </w:pPr>
          </w:p>
        </w:tc>
        <w:tc>
          <w:tcPr>
            <w:tcW w:w="1575" w:type="dxa"/>
            <w:vAlign w:val="center"/>
          </w:tcPr>
          <w:p>
            <w:pPr>
              <w:pStyle w:val="2"/>
              <w:spacing w:line="280" w:lineRule="exact"/>
              <w:jc w:val="center"/>
              <w:rPr>
                <w:rFonts w:cs="FZFSK--GBK1-0"/>
                <w:color w:val="000000"/>
                <w:sz w:val="21"/>
                <w:szCs w:val="21"/>
              </w:rPr>
            </w:pPr>
            <w:r>
              <w:rPr>
                <w:rFonts w:hint="eastAsia" w:cs="FZFSK--GBK1-0"/>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23</w:t>
            </w:r>
          </w:p>
        </w:tc>
        <w:tc>
          <w:tcPr>
            <w:tcW w:w="878" w:type="dxa"/>
            <w:vMerge w:val="restart"/>
            <w:vAlign w:val="center"/>
          </w:tcPr>
          <w:p>
            <w:pPr>
              <w:pStyle w:val="4"/>
              <w:spacing w:line="280" w:lineRule="exact"/>
              <w:jc w:val="both"/>
              <w:rPr>
                <w:color w:val="000000"/>
                <w:sz w:val="21"/>
                <w:szCs w:val="21"/>
              </w:rPr>
            </w:pPr>
            <w:r>
              <w:rPr>
                <w:rFonts w:hint="eastAsia"/>
                <w:color w:val="000000"/>
                <w:sz w:val="21"/>
                <w:szCs w:val="21"/>
              </w:rPr>
              <w:t>以政务公开助力促改革</w:t>
            </w:r>
          </w:p>
        </w:tc>
        <w:tc>
          <w:tcPr>
            <w:tcW w:w="1410" w:type="dxa"/>
            <w:vMerge w:val="restart"/>
            <w:vAlign w:val="center"/>
          </w:tcPr>
          <w:p>
            <w:pPr>
              <w:pStyle w:val="4"/>
              <w:spacing w:line="280" w:lineRule="exact"/>
              <w:jc w:val="both"/>
              <w:rPr>
                <w:color w:val="000000"/>
                <w:sz w:val="21"/>
                <w:szCs w:val="21"/>
              </w:rPr>
            </w:pPr>
            <w:r>
              <w:rPr>
                <w:rFonts w:hint="eastAsia"/>
                <w:color w:val="000000"/>
                <w:sz w:val="21"/>
                <w:szCs w:val="21"/>
              </w:rPr>
              <w:t>推进财税改革信息公开</w:t>
            </w:r>
          </w:p>
        </w:tc>
        <w:tc>
          <w:tcPr>
            <w:tcW w:w="7267" w:type="dxa"/>
            <w:vAlign w:val="center"/>
          </w:tcPr>
          <w:p>
            <w:pPr>
              <w:tabs>
                <w:tab w:val="left" w:pos="2279"/>
              </w:tabs>
              <w:spacing w:line="240" w:lineRule="exact"/>
              <w:rPr>
                <w:rFonts w:ascii="宋体" w:hAnsi="宋体" w:cs="FZFSK--GBK1-0"/>
                <w:color w:val="000000"/>
                <w:szCs w:val="21"/>
              </w:rPr>
            </w:pPr>
            <w:r>
              <w:rPr>
                <w:rFonts w:hint="eastAsia" w:ascii="宋体" w:hAnsi="宋体" w:cs="FZFSK--GBK1-0"/>
                <w:color w:val="000000"/>
                <w:szCs w:val="21"/>
              </w:rPr>
              <w:t>在政府网站设立预决算公开统一专栏，集中公开政府预决算、部门预决算，对公开内容进行分类、分级，并实时更新完善，方便公众查阅和监督。</w:t>
            </w:r>
          </w:p>
        </w:tc>
        <w:tc>
          <w:tcPr>
            <w:tcW w:w="2520" w:type="dxa"/>
            <w:vMerge w:val="restart"/>
            <w:vAlign w:val="center"/>
          </w:tcPr>
          <w:p>
            <w:pPr>
              <w:pStyle w:val="4"/>
              <w:spacing w:line="280" w:lineRule="exact"/>
              <w:jc w:val="both"/>
              <w:rPr>
                <w:rFonts w:hint="eastAsia"/>
                <w:color w:val="000000"/>
                <w:sz w:val="21"/>
                <w:szCs w:val="21"/>
              </w:rPr>
            </w:pPr>
            <w:r>
              <w:rPr>
                <w:rFonts w:hint="eastAsia"/>
                <w:color w:val="000000"/>
                <w:sz w:val="21"/>
                <w:szCs w:val="21"/>
                <w:lang w:eastAsia="zh-CN"/>
              </w:rPr>
              <w:t>县</w:t>
            </w:r>
            <w:r>
              <w:rPr>
                <w:rFonts w:hint="eastAsia"/>
                <w:color w:val="000000"/>
                <w:sz w:val="21"/>
                <w:szCs w:val="21"/>
              </w:rPr>
              <w:t>财政局负责落实</w:t>
            </w:r>
          </w:p>
        </w:tc>
        <w:tc>
          <w:tcPr>
            <w:tcW w:w="1575" w:type="dxa"/>
            <w:vMerge w:val="restart"/>
            <w:vAlign w:val="center"/>
          </w:tcPr>
          <w:p>
            <w:pPr>
              <w:pStyle w:val="4"/>
              <w:spacing w:line="280" w:lineRule="exact"/>
              <w:jc w:val="center"/>
              <w:rPr>
                <w:rFonts w:hint="eastAsia"/>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24</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664"/>
              </w:tabs>
              <w:autoSpaceDE w:val="0"/>
              <w:autoSpaceDN w:val="0"/>
              <w:adjustRightInd w:val="0"/>
              <w:spacing w:line="240" w:lineRule="exact"/>
              <w:rPr>
                <w:rFonts w:ascii="宋体" w:hAnsi="宋体" w:cs="FZFSK--GBK1-0"/>
                <w:color w:val="000000"/>
                <w:spacing w:val="-6"/>
                <w:kern w:val="0"/>
                <w:szCs w:val="21"/>
              </w:rPr>
            </w:pPr>
            <w:r>
              <w:rPr>
                <w:rFonts w:hint="eastAsia" w:ascii="宋体" w:hAnsi="宋体" w:cs="FZFSK--GBK1-0"/>
                <w:color w:val="000000"/>
                <w:spacing w:val="-6"/>
                <w:kern w:val="0"/>
                <w:szCs w:val="21"/>
              </w:rPr>
              <w:t>按照财政部有关要求，完善地方政府债务领域信息公开有关规定，指导督促</w:t>
            </w:r>
            <w:r>
              <w:rPr>
                <w:rFonts w:hint="eastAsia" w:ascii="宋体" w:hAnsi="宋体" w:cs="FZFSK--GBK1-0"/>
                <w:color w:val="000000"/>
                <w:spacing w:val="-6"/>
                <w:kern w:val="0"/>
                <w:szCs w:val="21"/>
                <w:lang w:eastAsia="zh-CN"/>
              </w:rPr>
              <w:t>各乡镇（街道）、县属各部门</w:t>
            </w:r>
            <w:r>
              <w:rPr>
                <w:rFonts w:hint="eastAsia" w:ascii="宋体" w:hAnsi="宋体" w:cs="FZFSK--GBK1-0"/>
                <w:color w:val="000000"/>
                <w:spacing w:val="-6"/>
                <w:kern w:val="0"/>
                <w:szCs w:val="21"/>
              </w:rPr>
              <w:t>公开债务种类、规模、结构和使用、偿还等情况。</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25</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autoSpaceDE w:val="0"/>
              <w:autoSpaceDN w:val="0"/>
              <w:adjustRightInd w:val="0"/>
              <w:spacing w:line="240" w:lineRule="exact"/>
              <w:rPr>
                <w:rFonts w:ascii="宋体" w:hAnsi="宋体" w:cs="FZFSK--GBK1-0"/>
                <w:color w:val="000000"/>
                <w:kern w:val="0"/>
                <w:szCs w:val="21"/>
              </w:rPr>
            </w:pPr>
            <w:r>
              <w:rPr>
                <w:rFonts w:hint="eastAsia" w:ascii="宋体" w:hAnsi="宋体" w:cs="FZFSK--GBK1-0"/>
                <w:color w:val="000000"/>
                <w:kern w:val="0"/>
                <w:szCs w:val="21"/>
              </w:rPr>
              <w:t>依法做</w:t>
            </w:r>
            <w:r>
              <w:rPr>
                <w:rFonts w:hint="eastAsia" w:ascii="宋体" w:hAnsi="宋体" w:cs="FZFSK--GBK1-0"/>
                <w:color w:val="000000"/>
                <w:kern w:val="0"/>
                <w:szCs w:val="21"/>
                <w:lang w:eastAsia="zh-CN"/>
              </w:rPr>
              <w:t>好</w:t>
            </w:r>
            <w:r>
              <w:rPr>
                <w:rFonts w:hint="eastAsia" w:ascii="宋体" w:hAnsi="宋体" w:cs="FZFSK--GBK1-0"/>
                <w:color w:val="000000"/>
                <w:kern w:val="0"/>
                <w:szCs w:val="21"/>
              </w:rPr>
              <w:t>财政事权和支出责任划分改革事项公开工作。</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26</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1515"/>
              </w:tabs>
              <w:autoSpaceDE w:val="0"/>
              <w:autoSpaceDN w:val="0"/>
              <w:adjustRightInd w:val="0"/>
              <w:spacing w:line="240" w:lineRule="exact"/>
              <w:rPr>
                <w:rFonts w:ascii="宋体" w:hAnsi="宋体" w:cs="FZFSK--GBK1-0"/>
                <w:color w:val="000000"/>
                <w:kern w:val="0"/>
                <w:szCs w:val="21"/>
              </w:rPr>
            </w:pPr>
            <w:r>
              <w:rPr>
                <w:rFonts w:hint="eastAsia" w:ascii="宋体" w:hAnsi="宋体" w:cs="FZFSK--GBK1-0"/>
                <w:color w:val="000000"/>
                <w:kern w:val="0"/>
                <w:szCs w:val="21"/>
              </w:rPr>
              <w:t>加大营改增政策措施、操作办法、改革进展及成效的公开力度，密切跟踪企业对营改增改革举措的舆情反映，及时回应关切。</w:t>
            </w:r>
          </w:p>
        </w:tc>
        <w:tc>
          <w:tcPr>
            <w:tcW w:w="2520" w:type="dxa"/>
            <w:vAlign w:val="center"/>
          </w:tcPr>
          <w:p>
            <w:pPr>
              <w:autoSpaceDE w:val="0"/>
              <w:autoSpaceDN w:val="0"/>
              <w:adjustRightInd w:val="0"/>
              <w:spacing w:line="240" w:lineRule="exact"/>
              <w:rPr>
                <w:rFonts w:ascii="宋体" w:hAnsi="宋体" w:cs="FZFSK--GBK1-0"/>
                <w:color w:val="000000"/>
                <w:kern w:val="0"/>
                <w:szCs w:val="21"/>
              </w:rPr>
            </w:pPr>
            <w:r>
              <w:rPr>
                <w:rFonts w:hint="eastAsia" w:ascii="宋体" w:hAnsi="宋体" w:cs="FZFSK--GBK1-0"/>
                <w:color w:val="000000"/>
                <w:kern w:val="0"/>
                <w:szCs w:val="21"/>
                <w:lang w:eastAsia="zh-CN"/>
              </w:rPr>
              <w:t>县</w:t>
            </w:r>
            <w:r>
              <w:rPr>
                <w:rFonts w:hint="eastAsia" w:ascii="宋体" w:hAnsi="宋体" w:cs="FZFSK--GBK1-0"/>
                <w:color w:val="000000"/>
                <w:kern w:val="0"/>
                <w:szCs w:val="21"/>
              </w:rPr>
              <w:t>国税局</w:t>
            </w:r>
            <w:r>
              <w:rPr>
                <w:rFonts w:hint="eastAsia" w:ascii="宋体" w:hAnsi="宋体" w:cs="FZFSK--GBK1-0"/>
                <w:color w:val="000000"/>
                <w:kern w:val="0"/>
                <w:szCs w:val="21"/>
                <w:lang w:eastAsia="zh-CN"/>
              </w:rPr>
              <w:t>、</w:t>
            </w:r>
            <w:r>
              <w:rPr>
                <w:rFonts w:hint="eastAsia" w:ascii="宋体" w:hAnsi="宋体" w:cs="FZFSK--GBK1-0"/>
                <w:color w:val="000000"/>
                <w:kern w:val="0"/>
                <w:szCs w:val="21"/>
              </w:rPr>
              <w:t>地税局负责落实</w:t>
            </w: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27</w:t>
            </w:r>
          </w:p>
        </w:tc>
        <w:tc>
          <w:tcPr>
            <w:tcW w:w="878" w:type="dxa"/>
            <w:vMerge w:val="restart"/>
            <w:vAlign w:val="center"/>
          </w:tcPr>
          <w:p>
            <w:pPr>
              <w:pStyle w:val="4"/>
              <w:jc w:val="both"/>
              <w:rPr>
                <w:color w:val="000000"/>
                <w:sz w:val="21"/>
                <w:szCs w:val="21"/>
              </w:rPr>
            </w:pPr>
            <w:r>
              <w:rPr>
                <w:rFonts w:hint="eastAsia"/>
                <w:color w:val="000000"/>
                <w:sz w:val="21"/>
                <w:szCs w:val="21"/>
              </w:rPr>
              <w:t>以政务公开助力调结构</w:t>
            </w:r>
          </w:p>
        </w:tc>
        <w:tc>
          <w:tcPr>
            <w:tcW w:w="1410" w:type="dxa"/>
            <w:vMerge w:val="restart"/>
            <w:vAlign w:val="center"/>
          </w:tcPr>
          <w:p>
            <w:pPr>
              <w:rPr>
                <w:rFonts w:ascii="宋体" w:hAnsi="宋体"/>
                <w:color w:val="000000"/>
                <w:szCs w:val="21"/>
              </w:rPr>
            </w:pPr>
            <w:r>
              <w:rPr>
                <w:rFonts w:hint="eastAsia" w:ascii="宋体" w:hAnsi="宋体"/>
                <w:color w:val="000000"/>
                <w:szCs w:val="21"/>
              </w:rPr>
              <w:t>推进发展新产业、培育新动能工作公开透明</w:t>
            </w:r>
          </w:p>
        </w:tc>
        <w:tc>
          <w:tcPr>
            <w:tcW w:w="7267" w:type="dxa"/>
            <w:vAlign w:val="center"/>
          </w:tcPr>
          <w:p>
            <w:pPr>
              <w:pStyle w:val="4"/>
              <w:spacing w:line="240" w:lineRule="exact"/>
              <w:jc w:val="both"/>
              <w:rPr>
                <w:color w:val="000000"/>
                <w:sz w:val="21"/>
                <w:szCs w:val="21"/>
              </w:rPr>
            </w:pPr>
            <w:r>
              <w:rPr>
                <w:rFonts w:hint="eastAsia"/>
                <w:color w:val="000000"/>
                <w:sz w:val="21"/>
                <w:szCs w:val="21"/>
              </w:rPr>
              <w:t>围绕省8大产业发展规划、推进制造强国建设、支持创业创新、推动新产业健康发展、提升改造传统产业等，加大政策及其执行情况的公开力度，及时发布推广典型经验做法。</w:t>
            </w:r>
          </w:p>
        </w:tc>
        <w:tc>
          <w:tcPr>
            <w:tcW w:w="2520" w:type="dxa"/>
            <w:vMerge w:val="restart"/>
            <w:vAlign w:val="center"/>
          </w:tcPr>
          <w:p>
            <w:pPr>
              <w:autoSpaceDE w:val="0"/>
              <w:autoSpaceDN w:val="0"/>
              <w:adjustRightInd w:val="0"/>
              <w:rPr>
                <w:rFonts w:ascii="宋体" w:hAnsi="宋体" w:cs="FZFSK--GBK1-0"/>
                <w:color w:val="000000"/>
                <w:kern w:val="0"/>
                <w:szCs w:val="21"/>
              </w:rPr>
            </w:pPr>
            <w:r>
              <w:rPr>
                <w:rFonts w:hint="eastAsia"/>
                <w:color w:val="000000"/>
                <w:sz w:val="21"/>
                <w:szCs w:val="21"/>
                <w:lang w:eastAsia="zh-CN"/>
              </w:rPr>
              <w:t>县</w:t>
            </w:r>
            <w:r>
              <w:rPr>
                <w:rFonts w:hint="eastAsia"/>
                <w:color w:val="000000"/>
                <w:sz w:val="21"/>
                <w:szCs w:val="21"/>
              </w:rPr>
              <w:t>发改</w:t>
            </w:r>
            <w:r>
              <w:rPr>
                <w:rFonts w:hint="eastAsia"/>
                <w:color w:val="000000"/>
                <w:sz w:val="21"/>
                <w:szCs w:val="21"/>
                <w:lang w:eastAsia="zh-CN"/>
              </w:rPr>
              <w:t>局</w:t>
            </w:r>
            <w:r>
              <w:rPr>
                <w:rFonts w:hint="eastAsia" w:ascii="宋体" w:hAnsi="宋体" w:cs="FZFSK--GBK1-0"/>
                <w:color w:val="000000"/>
                <w:kern w:val="0"/>
                <w:szCs w:val="21"/>
              </w:rPr>
              <w:t>、人社局、</w:t>
            </w:r>
            <w:r>
              <w:rPr>
                <w:rFonts w:hint="eastAsia" w:ascii="宋体" w:hAnsi="宋体" w:cs="FZFSK--GBK1-0"/>
                <w:color w:val="000000"/>
                <w:kern w:val="0"/>
                <w:szCs w:val="21"/>
                <w:lang w:eastAsia="zh-CN"/>
              </w:rPr>
              <w:t>工信局</w:t>
            </w:r>
            <w:r>
              <w:rPr>
                <w:rFonts w:hint="eastAsia" w:ascii="宋体" w:hAnsi="宋体" w:cs="FZFSK--GBK1-0"/>
                <w:color w:val="000000"/>
                <w:kern w:val="0"/>
                <w:szCs w:val="21"/>
              </w:rPr>
              <w:t>等部门按照职责分工分别牵头落实</w:t>
            </w:r>
          </w:p>
        </w:tc>
        <w:tc>
          <w:tcPr>
            <w:tcW w:w="1575" w:type="dxa"/>
            <w:vMerge w:val="restart"/>
            <w:vAlign w:val="center"/>
          </w:tcPr>
          <w:p>
            <w:pPr>
              <w:pStyle w:val="4"/>
              <w:jc w:val="center"/>
              <w:rPr>
                <w:rFonts w:hint="eastAsia"/>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28</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2016"/>
              </w:tabs>
              <w:spacing w:line="240" w:lineRule="exact"/>
              <w:rPr>
                <w:rFonts w:ascii="宋体" w:hAnsi="宋体" w:cs="FZFSK--GBK1-0"/>
                <w:color w:val="000000"/>
                <w:szCs w:val="21"/>
              </w:rPr>
            </w:pPr>
            <w:r>
              <w:rPr>
                <w:rFonts w:hint="eastAsia" w:ascii="宋体" w:hAnsi="宋体" w:cs="FZFSK--GBK1-0"/>
                <w:color w:val="000000"/>
                <w:szCs w:val="21"/>
              </w:rPr>
              <w:t>制定新产业、新业态、新模式等方面监管政策时，要采取征求意见、听证座谈、咨询协商等方式，扩大有关市场主体的参与度，使出台的政策更加适应新产业发展。</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29</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2279"/>
              </w:tabs>
              <w:spacing w:line="240" w:lineRule="exact"/>
              <w:rPr>
                <w:rFonts w:ascii="宋体" w:hAnsi="宋体" w:cs="FZFSK--GBK1-0"/>
                <w:color w:val="000000"/>
                <w:szCs w:val="21"/>
              </w:rPr>
            </w:pPr>
            <w:r>
              <w:rPr>
                <w:rFonts w:hint="eastAsia" w:ascii="宋体" w:hAnsi="宋体" w:cs="FZFSK--GBK1-0"/>
                <w:color w:val="000000"/>
                <w:szCs w:val="21"/>
              </w:rPr>
              <w:t>注重收集公众对发展新产业、培育新动能政策的反应，主动及时做好解疑释惑和舆论引导工作。</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30</w:t>
            </w:r>
          </w:p>
        </w:tc>
        <w:tc>
          <w:tcPr>
            <w:tcW w:w="878" w:type="dxa"/>
            <w:vMerge w:val="continue"/>
            <w:vAlign w:val="center"/>
          </w:tcPr>
          <w:p>
            <w:pPr>
              <w:pStyle w:val="4"/>
              <w:jc w:val="both"/>
              <w:rPr>
                <w:color w:val="000000"/>
                <w:sz w:val="21"/>
                <w:szCs w:val="21"/>
              </w:rPr>
            </w:pPr>
          </w:p>
        </w:tc>
        <w:tc>
          <w:tcPr>
            <w:tcW w:w="1410" w:type="dxa"/>
            <w:vMerge w:val="restart"/>
            <w:vAlign w:val="center"/>
          </w:tcPr>
          <w:p>
            <w:pPr>
              <w:pStyle w:val="4"/>
              <w:jc w:val="both"/>
              <w:rPr>
                <w:color w:val="000000"/>
                <w:sz w:val="21"/>
                <w:szCs w:val="21"/>
              </w:rPr>
            </w:pPr>
            <w:r>
              <w:rPr>
                <w:rFonts w:hint="eastAsia"/>
                <w:color w:val="000000"/>
                <w:sz w:val="21"/>
                <w:szCs w:val="21"/>
              </w:rPr>
              <w:t>推进化解过剩产能工作公开透明</w:t>
            </w:r>
          </w:p>
        </w:tc>
        <w:tc>
          <w:tcPr>
            <w:tcW w:w="7267" w:type="dxa"/>
            <w:vMerge w:val="restart"/>
            <w:vAlign w:val="center"/>
          </w:tcPr>
          <w:p>
            <w:pPr>
              <w:tabs>
                <w:tab w:val="left" w:pos="3544"/>
              </w:tabs>
              <w:autoSpaceDE w:val="0"/>
              <w:autoSpaceDN w:val="0"/>
              <w:adjustRightInd w:val="0"/>
              <w:spacing w:line="240" w:lineRule="exact"/>
              <w:rPr>
                <w:rFonts w:ascii="宋体" w:hAnsi="宋体" w:cs="FZFSK--GBK1-0"/>
                <w:color w:val="000000"/>
                <w:kern w:val="0"/>
                <w:szCs w:val="21"/>
              </w:rPr>
            </w:pPr>
            <w:r>
              <w:rPr>
                <w:rFonts w:hint="eastAsia" w:ascii="宋体" w:hAnsi="宋体" w:cs="FZFSK--GBK1-0"/>
                <w:color w:val="000000"/>
                <w:kern w:val="0"/>
                <w:szCs w:val="21"/>
              </w:rPr>
              <w:t>健全去产能公示公告制度，实行“事前公示、事后公告”。根据年度目标任务，充分利用政府门户网站，分批次向社会公示承担化解过剩产能任务的企业名单、已完成化解过剩产能任务的企业名单，公布企业产能、奖补资金分配、违法违规建设生产和不达标情况</w:t>
            </w:r>
            <w:r>
              <w:rPr>
                <w:rFonts w:hint="eastAsia" w:ascii="宋体" w:hAnsi="宋体" w:cs="FZFSK--GBK1-0"/>
                <w:color w:val="000000"/>
                <w:kern w:val="0"/>
                <w:szCs w:val="21"/>
                <w:lang w:eastAsia="zh-CN"/>
              </w:rPr>
              <w:t>，</w:t>
            </w:r>
            <w:r>
              <w:rPr>
                <w:rFonts w:hint="eastAsia" w:ascii="宋体" w:hAnsi="宋体" w:cs="FZFSK--GBK1-0"/>
                <w:color w:val="000000"/>
                <w:kern w:val="0"/>
                <w:szCs w:val="21"/>
              </w:rPr>
              <w:t>并将有关信息提供给“</w:t>
            </w:r>
            <w:r>
              <w:rPr>
                <w:rFonts w:hint="eastAsia" w:ascii="宋体" w:hAnsi="宋体" w:cs="FZFSK--GBK1-0"/>
                <w:color w:val="000000"/>
                <w:kern w:val="0"/>
                <w:szCs w:val="21"/>
                <w:lang w:eastAsia="zh-CN"/>
              </w:rPr>
              <w:t>华宁县</w:t>
            </w:r>
            <w:r>
              <w:rPr>
                <w:rFonts w:hint="eastAsia" w:ascii="宋体" w:hAnsi="宋体" w:cs="FZFSK--GBK1-0"/>
                <w:color w:val="000000"/>
                <w:kern w:val="0"/>
                <w:szCs w:val="21"/>
              </w:rPr>
              <w:t>人民政府网”网站同步发布。化解过剩产能验收合格后，及时公开上一年度化解过剩产能情况。公开巩固钢铁去产能成果，打击违法生产销售“地条钢”情况，以及煤炭行业再去产能情况。</w:t>
            </w:r>
          </w:p>
        </w:tc>
        <w:tc>
          <w:tcPr>
            <w:tcW w:w="2520" w:type="dxa"/>
            <w:vMerge w:val="restart"/>
            <w:vAlign w:val="center"/>
          </w:tcPr>
          <w:p>
            <w:pPr>
              <w:autoSpaceDE w:val="0"/>
              <w:autoSpaceDN w:val="0"/>
              <w:adjustRightInd w:val="0"/>
              <w:rPr>
                <w:rFonts w:ascii="宋体" w:hAnsi="宋体" w:cs="FZFSK--GBK1-0"/>
                <w:color w:val="000000"/>
                <w:kern w:val="0"/>
                <w:szCs w:val="21"/>
              </w:rPr>
            </w:pPr>
            <w:r>
              <w:rPr>
                <w:rFonts w:hint="eastAsia"/>
                <w:color w:val="000000"/>
                <w:sz w:val="21"/>
                <w:szCs w:val="21"/>
                <w:lang w:eastAsia="zh-CN"/>
              </w:rPr>
              <w:t>县</w:t>
            </w:r>
            <w:r>
              <w:rPr>
                <w:rFonts w:hint="eastAsia"/>
                <w:color w:val="000000"/>
                <w:sz w:val="21"/>
                <w:szCs w:val="21"/>
              </w:rPr>
              <w:t>发改</w:t>
            </w:r>
            <w:r>
              <w:rPr>
                <w:rFonts w:hint="eastAsia"/>
                <w:color w:val="000000"/>
                <w:sz w:val="21"/>
                <w:szCs w:val="21"/>
                <w:lang w:eastAsia="zh-CN"/>
              </w:rPr>
              <w:t>局</w:t>
            </w:r>
            <w:r>
              <w:rPr>
                <w:rFonts w:hint="eastAsia" w:ascii="宋体" w:hAnsi="宋体" w:cs="FZFSK--GBK1-0"/>
                <w:color w:val="000000"/>
                <w:kern w:val="0"/>
                <w:szCs w:val="21"/>
              </w:rPr>
              <w:t>、工</w:t>
            </w:r>
            <w:r>
              <w:rPr>
                <w:rFonts w:hint="eastAsia" w:ascii="宋体" w:hAnsi="宋体" w:cs="FZFSK--GBK1-0"/>
                <w:color w:val="000000"/>
                <w:kern w:val="0"/>
                <w:szCs w:val="21"/>
                <w:lang w:eastAsia="zh-CN"/>
              </w:rPr>
              <w:t>信局</w:t>
            </w:r>
            <w:r>
              <w:rPr>
                <w:rFonts w:hint="eastAsia" w:ascii="宋体" w:hAnsi="宋体" w:cs="FZFSK--GBK1-0"/>
                <w:color w:val="000000"/>
                <w:kern w:val="0"/>
                <w:szCs w:val="21"/>
              </w:rPr>
              <w:t>、财政局、环护</w:t>
            </w:r>
            <w:r>
              <w:rPr>
                <w:rFonts w:hint="eastAsia" w:ascii="宋体" w:hAnsi="宋体" w:cs="FZFSK--GBK1-0"/>
                <w:color w:val="000000"/>
                <w:kern w:val="0"/>
                <w:szCs w:val="21"/>
                <w:lang w:eastAsia="zh-CN"/>
              </w:rPr>
              <w:t>局</w:t>
            </w:r>
            <w:r>
              <w:rPr>
                <w:rFonts w:hint="eastAsia" w:ascii="宋体" w:hAnsi="宋体" w:cs="FZFSK--GBK1-0"/>
                <w:color w:val="000000"/>
                <w:kern w:val="0"/>
                <w:szCs w:val="21"/>
              </w:rPr>
              <w:t>、</w:t>
            </w:r>
            <w:r>
              <w:rPr>
                <w:rFonts w:hint="eastAsia" w:ascii="宋体" w:hAnsi="宋体" w:cs="FZFSK--GBK1-0"/>
                <w:color w:val="000000"/>
                <w:kern w:val="0"/>
                <w:szCs w:val="21"/>
                <w:lang w:eastAsia="zh-CN"/>
              </w:rPr>
              <w:t>市场监管局</w:t>
            </w:r>
            <w:r>
              <w:rPr>
                <w:rFonts w:hint="eastAsia" w:ascii="宋体" w:hAnsi="宋体" w:cs="FZFSK--GBK1-0"/>
                <w:color w:val="000000"/>
                <w:kern w:val="0"/>
                <w:szCs w:val="21"/>
              </w:rPr>
              <w:t>、安监局等部门按照职责分工分别牵头落实</w:t>
            </w: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31</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Merge w:val="continue"/>
            <w:vAlign w:val="center"/>
          </w:tcPr>
          <w:p>
            <w:pPr>
              <w:tabs>
                <w:tab w:val="left" w:pos="2454"/>
              </w:tabs>
              <w:autoSpaceDE w:val="0"/>
              <w:autoSpaceDN w:val="0"/>
              <w:adjustRightInd w:val="0"/>
              <w:spacing w:line="240" w:lineRule="exact"/>
              <w:rPr>
                <w:rFonts w:ascii="宋体" w:hAnsi="宋体" w:cs="FZFSK--GBK1-0"/>
                <w:color w:val="000000"/>
                <w:kern w:val="0"/>
                <w:szCs w:val="21"/>
              </w:rPr>
            </w:pP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32</w:t>
            </w:r>
          </w:p>
        </w:tc>
        <w:tc>
          <w:tcPr>
            <w:tcW w:w="878" w:type="dxa"/>
            <w:vMerge w:val="continue"/>
            <w:vAlign w:val="center"/>
          </w:tcPr>
          <w:p>
            <w:pPr>
              <w:pStyle w:val="4"/>
              <w:jc w:val="both"/>
              <w:rPr>
                <w:color w:val="000000"/>
                <w:sz w:val="21"/>
                <w:szCs w:val="21"/>
              </w:rPr>
            </w:pPr>
          </w:p>
        </w:tc>
        <w:tc>
          <w:tcPr>
            <w:tcW w:w="1410" w:type="dxa"/>
            <w:vMerge w:val="restart"/>
            <w:vAlign w:val="center"/>
          </w:tcPr>
          <w:p>
            <w:pPr>
              <w:pStyle w:val="4"/>
              <w:jc w:val="both"/>
              <w:rPr>
                <w:color w:val="000000"/>
                <w:sz w:val="21"/>
                <w:szCs w:val="21"/>
              </w:rPr>
            </w:pPr>
            <w:r>
              <w:rPr>
                <w:rFonts w:hint="eastAsia"/>
                <w:color w:val="000000"/>
                <w:sz w:val="21"/>
                <w:szCs w:val="21"/>
              </w:rPr>
              <w:t>推进消费升级和产品质量提升工作公开透明</w:t>
            </w:r>
          </w:p>
        </w:tc>
        <w:tc>
          <w:tcPr>
            <w:tcW w:w="7267" w:type="dxa"/>
            <w:vAlign w:val="center"/>
          </w:tcPr>
          <w:p>
            <w:pPr>
              <w:pStyle w:val="4"/>
              <w:spacing w:line="240" w:lineRule="exact"/>
              <w:jc w:val="both"/>
              <w:rPr>
                <w:color w:val="000000"/>
                <w:sz w:val="21"/>
                <w:szCs w:val="21"/>
              </w:rPr>
            </w:pPr>
            <w:r>
              <w:rPr>
                <w:rFonts w:hint="eastAsia"/>
                <w:color w:val="000000"/>
                <w:sz w:val="21"/>
                <w:szCs w:val="21"/>
              </w:rPr>
              <w:t>定期发布消费市场运行情况分析报告，重点公开与群众密切相关的消费品和全域旅游、体育健身、医养结合、健康管理、文化创意等新兴服务业的消费情况，引导消费升级。</w:t>
            </w:r>
          </w:p>
        </w:tc>
        <w:tc>
          <w:tcPr>
            <w:tcW w:w="2520" w:type="dxa"/>
            <w:vMerge w:val="restart"/>
            <w:vAlign w:val="center"/>
          </w:tcPr>
          <w:p>
            <w:pPr>
              <w:pStyle w:val="4"/>
              <w:jc w:val="both"/>
              <w:rPr>
                <w:rFonts w:hint="eastAsia"/>
                <w:color w:val="000000"/>
                <w:sz w:val="21"/>
                <w:szCs w:val="21"/>
              </w:rPr>
            </w:pPr>
            <w:r>
              <w:rPr>
                <w:rFonts w:hint="eastAsia" w:cs="FZFSK--GBK1-0"/>
                <w:color w:val="000000"/>
                <w:sz w:val="21"/>
                <w:szCs w:val="21"/>
                <w:lang w:eastAsia="zh-CN"/>
              </w:rPr>
              <w:t>县工信局</w:t>
            </w:r>
            <w:r>
              <w:rPr>
                <w:rFonts w:hint="eastAsia" w:cs="FZFSK--GBK1-0"/>
                <w:color w:val="000000"/>
                <w:sz w:val="21"/>
                <w:szCs w:val="21"/>
              </w:rPr>
              <w:t>、</w:t>
            </w:r>
            <w:r>
              <w:rPr>
                <w:rFonts w:hint="eastAsia" w:cs="FZFSK--GBK1-0"/>
                <w:color w:val="000000"/>
                <w:sz w:val="21"/>
                <w:szCs w:val="21"/>
                <w:lang w:eastAsia="zh-CN"/>
              </w:rPr>
              <w:t>市场监管局</w:t>
            </w:r>
            <w:r>
              <w:rPr>
                <w:rFonts w:hint="eastAsia" w:cs="FZFSK--GBK1-0"/>
                <w:color w:val="000000"/>
                <w:sz w:val="21"/>
                <w:szCs w:val="21"/>
              </w:rPr>
              <w:t>按照职责分工分别牵头落实</w:t>
            </w:r>
          </w:p>
        </w:tc>
        <w:tc>
          <w:tcPr>
            <w:tcW w:w="1575" w:type="dxa"/>
            <w:vAlign w:val="center"/>
          </w:tcPr>
          <w:p>
            <w:pPr>
              <w:pStyle w:val="4"/>
              <w:jc w:val="center"/>
              <w:rPr>
                <w:rFonts w:hint="eastAsia"/>
                <w:color w:val="000000"/>
                <w:sz w:val="21"/>
                <w:szCs w:val="21"/>
              </w:rPr>
            </w:pPr>
            <w:r>
              <w:rPr>
                <w:rFonts w:hint="eastAsia"/>
                <w:color w:val="000000"/>
                <w:sz w:val="21"/>
                <w:szCs w:val="21"/>
              </w:rPr>
              <w:t>按月度、季度公布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33</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2016"/>
              </w:tabs>
              <w:spacing w:line="260" w:lineRule="exact"/>
              <w:rPr>
                <w:rFonts w:ascii="宋体" w:hAnsi="宋体" w:cs="FZFSK--GBK1-0"/>
                <w:color w:val="000000"/>
                <w:szCs w:val="21"/>
              </w:rPr>
            </w:pPr>
            <w:r>
              <w:rPr>
                <w:rFonts w:hint="eastAsia" w:ascii="宋体" w:hAnsi="宋体" w:cs="FZFSK--GBK1-0"/>
                <w:color w:val="000000"/>
                <w:szCs w:val="21"/>
              </w:rPr>
              <w:t>推进产品质量监管政策法规、内容、标准、程序和结果公开。</w:t>
            </w:r>
          </w:p>
        </w:tc>
        <w:tc>
          <w:tcPr>
            <w:tcW w:w="2520" w:type="dxa"/>
            <w:vMerge w:val="continue"/>
            <w:vAlign w:val="center"/>
          </w:tcPr>
          <w:p>
            <w:pPr>
              <w:pStyle w:val="4"/>
              <w:jc w:val="both"/>
              <w:rPr>
                <w:rFonts w:hint="eastAsia"/>
                <w:color w:val="000000"/>
                <w:sz w:val="21"/>
                <w:szCs w:val="21"/>
              </w:rPr>
            </w:pPr>
          </w:p>
        </w:tc>
        <w:tc>
          <w:tcPr>
            <w:tcW w:w="1575" w:type="dxa"/>
            <w:vMerge w:val="restart"/>
            <w:vAlign w:val="center"/>
          </w:tcPr>
          <w:p>
            <w:pPr>
              <w:pStyle w:val="4"/>
              <w:jc w:val="center"/>
              <w:rPr>
                <w:rFonts w:hint="eastAsia"/>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34</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2279"/>
              </w:tabs>
              <w:spacing w:line="260" w:lineRule="exact"/>
              <w:rPr>
                <w:rFonts w:ascii="宋体" w:hAnsi="宋体" w:cs="FZFSK--GBK1-0"/>
                <w:color w:val="000000"/>
                <w:szCs w:val="21"/>
              </w:rPr>
            </w:pPr>
            <w:r>
              <w:rPr>
                <w:rFonts w:hint="eastAsia" w:ascii="宋体" w:hAnsi="宋体" w:cs="FZFSK--GBK1-0"/>
                <w:color w:val="000000"/>
                <w:szCs w:val="21"/>
              </w:rPr>
              <w:t>按照质检总局要求，推动我</w:t>
            </w:r>
            <w:r>
              <w:rPr>
                <w:rFonts w:hint="eastAsia" w:ascii="宋体" w:hAnsi="宋体" w:cs="FZFSK--GBK1-0"/>
                <w:color w:val="000000"/>
                <w:szCs w:val="21"/>
                <w:lang w:eastAsia="zh-CN"/>
              </w:rPr>
              <w:t>县</w:t>
            </w:r>
            <w:r>
              <w:rPr>
                <w:rFonts w:hint="eastAsia" w:ascii="宋体" w:hAnsi="宋体" w:cs="FZFSK--GBK1-0"/>
                <w:color w:val="000000"/>
                <w:szCs w:val="21"/>
              </w:rPr>
              <w:t>推荐性地方标准全文公开。</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35</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2442"/>
              </w:tabs>
              <w:autoSpaceDE w:val="0"/>
              <w:autoSpaceDN w:val="0"/>
              <w:adjustRightInd w:val="0"/>
              <w:spacing w:line="240" w:lineRule="exact"/>
              <w:rPr>
                <w:rFonts w:ascii="宋体" w:hAnsi="宋体" w:cs="FZFSK--GBK1-0"/>
                <w:color w:val="000000"/>
                <w:kern w:val="0"/>
                <w:szCs w:val="21"/>
              </w:rPr>
            </w:pPr>
            <w:r>
              <w:rPr>
                <w:rFonts w:hint="eastAsia" w:ascii="宋体" w:hAnsi="宋体" w:cs="FZFSK--GBK1-0"/>
                <w:color w:val="000000"/>
                <w:kern w:val="0"/>
                <w:szCs w:val="21"/>
                <w:lang w:bidi="ar-SA"/>
              </w:rPr>
              <mc:AlternateContent>
                <mc:Choice Requires="wps">
                  <w:drawing>
                    <wp:anchor distT="0" distB="0" distL="114300" distR="114300" simplePos="0" relativeHeight="251667456" behindDoc="0" locked="0" layoutInCell="1" allowOverlap="1">
                      <wp:simplePos x="0" y="0"/>
                      <wp:positionH relativeFrom="column">
                        <wp:posOffset>-2733675</wp:posOffset>
                      </wp:positionH>
                      <wp:positionV relativeFrom="paragraph">
                        <wp:posOffset>22860</wp:posOffset>
                      </wp:positionV>
                      <wp:extent cx="466725" cy="891540"/>
                      <wp:effectExtent l="4445" t="4445" r="5080" b="18415"/>
                      <wp:wrapNone/>
                      <wp:docPr id="12" name="文本框 5"/>
                      <wp:cNvGraphicFramePr/>
                      <a:graphic xmlns:a="http://schemas.openxmlformats.org/drawingml/2006/main">
                        <a:graphicData uri="http://schemas.microsoft.com/office/word/2010/wordprocessingShape">
                          <wps:wsp>
                            <wps:cNvSpPr txBox="1"/>
                            <wps:spPr>
                              <a:xfrm>
                                <a:off x="0" y="0"/>
                                <a:ext cx="466725" cy="8915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80" w:lineRule="exact"/>
                                  </w:pPr>
                                </w:p>
                                <w:p/>
                              </w:txbxContent>
                            </wps:txbx>
                            <wps:bodyPr vert="eaVert" upright="1"/>
                          </wps:wsp>
                        </a:graphicData>
                      </a:graphic>
                    </wp:anchor>
                  </w:drawing>
                </mc:Choice>
                <mc:Fallback>
                  <w:pict>
                    <v:shape id="文本框 5" o:spid="_x0000_s1026" o:spt="202" type="#_x0000_t202" style="position:absolute;left:0pt;margin-left:-215.25pt;margin-top:1.8pt;height:70.2pt;width:36.75pt;z-index:251667456;mso-width-relative:page;mso-height-relative:page;" fillcolor="#FFFFFF" filled="t" stroked="t" coordsize="21600,21600" o:gfxdata="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O7/78bXAAAACwEAAA8AAAAAAAAAAQAgAAAA&#10;OAAAAGRycy9kb3ducmV2LnhtbFBLAQIUABQAAAAIAIdO4kBBFEgI9gEAAPYDAAAOAAAAAAAAAAEA&#10;IAAAADwBAABkcnMvZTJvRG9jLnhtbFBLBQYAAAAABgAGAFkBAACkBQAAAAA=&#10;">
                      <v:fill on="t" focussize="0,0"/>
                      <v:stroke color="#FFFFFF" joinstyle="miter"/>
                      <v:imagedata o:title=""/>
                      <o:lock v:ext="edit" aspectratio="f"/>
                      <v:textbox style="layout-flow:vertical-ideographic;">
                        <w:txbxContent>
                          <w:p>
                            <w:pPr>
                              <w:spacing w:line="480" w:lineRule="exact"/>
                            </w:pPr>
                          </w:p>
                          <w:p/>
                        </w:txbxContent>
                      </v:textbox>
                    </v:shape>
                  </w:pict>
                </mc:Fallback>
              </mc:AlternateContent>
            </w:r>
            <w:r>
              <w:rPr>
                <w:rFonts w:hint="eastAsia" w:ascii="宋体" w:hAnsi="宋体" w:cs="FZFSK--GBK1-0"/>
                <w:color w:val="000000"/>
                <w:kern w:val="0"/>
                <w:szCs w:val="21"/>
              </w:rPr>
              <w:t>做好质量提升行动、执法专项行动信息公开。发布中国品牌价值评价结果，公开对质量违法行为的执法记录、缺陷产品名单及后续处理情况，促进中高端产品供给。</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36</w:t>
            </w:r>
          </w:p>
        </w:tc>
        <w:tc>
          <w:tcPr>
            <w:tcW w:w="878" w:type="dxa"/>
            <w:vMerge w:val="restart"/>
            <w:vAlign w:val="center"/>
          </w:tcPr>
          <w:p>
            <w:pPr>
              <w:pStyle w:val="4"/>
              <w:jc w:val="both"/>
              <w:rPr>
                <w:color w:val="000000"/>
                <w:sz w:val="21"/>
                <w:szCs w:val="21"/>
              </w:rPr>
            </w:pPr>
            <w:r>
              <w:rPr>
                <w:rFonts w:hint="eastAsia"/>
                <w:color w:val="000000"/>
                <w:sz w:val="21"/>
                <w:szCs w:val="21"/>
              </w:rPr>
              <w:t>以政务公开助力调结构</w:t>
            </w:r>
          </w:p>
        </w:tc>
        <w:tc>
          <w:tcPr>
            <w:tcW w:w="1410" w:type="dxa"/>
            <w:vMerge w:val="restart"/>
            <w:vAlign w:val="center"/>
          </w:tcPr>
          <w:p>
            <w:pPr>
              <w:pStyle w:val="4"/>
              <w:jc w:val="both"/>
              <w:rPr>
                <w:color w:val="000000"/>
                <w:sz w:val="21"/>
                <w:szCs w:val="21"/>
              </w:rPr>
            </w:pPr>
            <w:r>
              <w:rPr>
                <w:rFonts w:hint="eastAsia"/>
                <w:color w:val="000000"/>
                <w:sz w:val="21"/>
                <w:szCs w:val="21"/>
              </w:rPr>
              <w:t>推进消费升级和产品质量提升工作公开透明</w:t>
            </w:r>
          </w:p>
        </w:tc>
        <w:tc>
          <w:tcPr>
            <w:tcW w:w="7267" w:type="dxa"/>
            <w:vAlign w:val="center"/>
          </w:tcPr>
          <w:p>
            <w:pPr>
              <w:tabs>
                <w:tab w:val="left" w:pos="2367"/>
              </w:tabs>
              <w:autoSpaceDE w:val="0"/>
              <w:autoSpaceDN w:val="0"/>
              <w:adjustRightInd w:val="0"/>
              <w:spacing w:line="260" w:lineRule="exact"/>
              <w:rPr>
                <w:rFonts w:ascii="宋体" w:hAnsi="宋体" w:cs="FZFSK--GBK1-0"/>
                <w:color w:val="000000"/>
                <w:kern w:val="0"/>
                <w:szCs w:val="21"/>
              </w:rPr>
            </w:pPr>
            <w:r>
              <w:rPr>
                <w:rFonts w:hint="eastAsia" w:ascii="宋体" w:hAnsi="宋体" w:cs="FZFSK--GBK1-0"/>
                <w:color w:val="000000"/>
                <w:kern w:val="0"/>
                <w:szCs w:val="21"/>
                <w:lang w:bidi="ar-SA"/>
              </w:rPr>
              <mc:AlternateContent>
                <mc:Choice Requires="wps">
                  <w:drawing>
                    <wp:anchor distT="0" distB="0" distL="114300" distR="114300" simplePos="0" relativeHeight="251664384" behindDoc="0" locked="0" layoutInCell="1" allowOverlap="1">
                      <wp:simplePos x="0" y="0"/>
                      <wp:positionH relativeFrom="column">
                        <wp:posOffset>-2667000</wp:posOffset>
                      </wp:positionH>
                      <wp:positionV relativeFrom="paragraph">
                        <wp:posOffset>-27940</wp:posOffset>
                      </wp:positionV>
                      <wp:extent cx="400050" cy="891540"/>
                      <wp:effectExtent l="4445" t="4445" r="14605" b="18415"/>
                      <wp:wrapNone/>
                      <wp:docPr id="3" name="文本框 6"/>
                      <wp:cNvGraphicFramePr/>
                      <a:graphic xmlns:a="http://schemas.openxmlformats.org/drawingml/2006/main">
                        <a:graphicData uri="http://schemas.microsoft.com/office/word/2010/wordprocessingShape">
                          <wps:wsp>
                            <wps:cNvSpPr txBox="1"/>
                            <wps:spPr>
                              <a:xfrm>
                                <a:off x="0" y="0"/>
                                <a:ext cx="400050" cy="8915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80" w:lineRule="exact"/>
                                  </w:pPr>
                                  <w:r>
                                    <w:rPr>
                                      <w:rStyle w:val="9"/>
                                      <w:rFonts w:hint="eastAsia" w:ascii="宋体" w:hAnsi="宋体"/>
                                      <w:sz w:val="28"/>
                                      <w:szCs w:val="28"/>
                                    </w:rPr>
                                    <w:t xml:space="preserve">－ 8 </w:t>
                                  </w:r>
                                </w:p>
                              </w:txbxContent>
                            </wps:txbx>
                            <wps:bodyPr vert="eaVert" upright="1"/>
                          </wps:wsp>
                        </a:graphicData>
                      </a:graphic>
                    </wp:anchor>
                  </w:drawing>
                </mc:Choice>
                <mc:Fallback>
                  <w:pict>
                    <v:shape id="文本框 6" o:spid="_x0000_s1026" o:spt="202" type="#_x0000_t202" style="position:absolute;left:0pt;margin-left:-210pt;margin-top:-2.2pt;height:70.2pt;width:31.5pt;z-index:251664384;mso-width-relative:page;mso-height-relative:page;" fillcolor="#FFFFFF" filled="t" stroked="t" coordsize="21600,21600" o:gfxdata="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0FkQP1gAAAAwBAAAPAAAAAAAAAAEAIAAAADgA&#10;AABkcnMvZG93bnJldi54bWxQSwECFAAUAAAACACHTuJAIw74ZvUBAAD1AwAADgAAAAAAAAABACAA&#10;AAA7AQAAZHJzL2Uyb0RvYy54bWxQSwUGAAAAAAYABgBZAQAAogUAAAAA&#10;">
                      <v:fill on="t" focussize="0,0"/>
                      <v:stroke color="#FFFFFF" joinstyle="miter"/>
                      <v:imagedata o:title=""/>
                      <o:lock v:ext="edit" aspectratio="f"/>
                      <v:textbox style="layout-flow:vertical-ideographic;">
                        <w:txbxContent>
                          <w:p>
                            <w:pPr>
                              <w:spacing w:line="480" w:lineRule="exact"/>
                            </w:pPr>
                            <w:r>
                              <w:rPr>
                                <w:rStyle w:val="9"/>
                                <w:rFonts w:hint="eastAsia" w:ascii="宋体" w:hAnsi="宋体"/>
                                <w:sz w:val="28"/>
                                <w:szCs w:val="28"/>
                              </w:rPr>
                              <w:t xml:space="preserve">－ 8 </w:t>
                            </w:r>
                          </w:p>
                        </w:txbxContent>
                      </v:textbox>
                    </v:shape>
                  </w:pict>
                </mc:Fallback>
              </mc:AlternateContent>
            </w:r>
            <w:r>
              <w:rPr>
                <w:rFonts w:hint="eastAsia" w:ascii="宋体" w:hAnsi="宋体" w:cs="FZFSK--GBK1-0"/>
                <w:color w:val="000000"/>
                <w:kern w:val="0"/>
                <w:szCs w:val="21"/>
              </w:rPr>
              <w:t>及时公布流通领域商品质量抽检结果。</w:t>
            </w:r>
          </w:p>
        </w:tc>
        <w:tc>
          <w:tcPr>
            <w:tcW w:w="2520" w:type="dxa"/>
            <w:vMerge w:val="restart"/>
            <w:vAlign w:val="center"/>
          </w:tcPr>
          <w:p>
            <w:pPr>
              <w:pStyle w:val="4"/>
              <w:jc w:val="both"/>
              <w:rPr>
                <w:rFonts w:hint="eastAsia"/>
                <w:color w:val="000000"/>
                <w:sz w:val="21"/>
                <w:szCs w:val="21"/>
              </w:rPr>
            </w:pPr>
            <w:r>
              <w:rPr>
                <w:rFonts w:hint="eastAsia" w:cs="FZFSK--GBK1-0"/>
                <w:color w:val="000000"/>
                <w:sz w:val="21"/>
                <w:szCs w:val="21"/>
                <w:lang w:eastAsia="zh-CN"/>
              </w:rPr>
              <w:t>县工信局</w:t>
            </w:r>
            <w:r>
              <w:rPr>
                <w:rFonts w:hint="eastAsia" w:cs="FZFSK--GBK1-0"/>
                <w:color w:val="000000"/>
                <w:sz w:val="21"/>
                <w:szCs w:val="21"/>
              </w:rPr>
              <w:t>、</w:t>
            </w:r>
            <w:r>
              <w:rPr>
                <w:rFonts w:hint="eastAsia" w:cs="FZFSK--GBK1-0"/>
                <w:color w:val="000000"/>
                <w:sz w:val="21"/>
                <w:szCs w:val="21"/>
                <w:lang w:eastAsia="zh-CN"/>
              </w:rPr>
              <w:t>市场监管局</w:t>
            </w:r>
            <w:r>
              <w:rPr>
                <w:rFonts w:hint="eastAsia" w:cs="FZFSK--GBK1-0"/>
                <w:color w:val="000000"/>
                <w:sz w:val="21"/>
                <w:szCs w:val="21"/>
              </w:rPr>
              <w:t>按照职责分工分别牵头落实</w:t>
            </w:r>
          </w:p>
        </w:tc>
        <w:tc>
          <w:tcPr>
            <w:tcW w:w="1575" w:type="dxa"/>
            <w:vMerge w:val="restart"/>
            <w:vAlign w:val="center"/>
          </w:tcPr>
          <w:p>
            <w:pPr>
              <w:pStyle w:val="4"/>
              <w:jc w:val="center"/>
              <w:rPr>
                <w:rFonts w:hint="eastAsia"/>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37</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2317"/>
              </w:tabs>
              <w:autoSpaceDE w:val="0"/>
              <w:autoSpaceDN w:val="0"/>
              <w:adjustRightInd w:val="0"/>
              <w:spacing w:line="260" w:lineRule="exact"/>
              <w:rPr>
                <w:rFonts w:ascii="宋体" w:hAnsi="宋体" w:cs="FZFSK--GBK1-0"/>
                <w:color w:val="000000"/>
                <w:kern w:val="0"/>
                <w:szCs w:val="21"/>
              </w:rPr>
            </w:pPr>
            <w:r>
              <w:rPr>
                <w:rFonts w:hint="eastAsia" w:ascii="宋体" w:hAnsi="宋体" w:cs="FZFSK--GBK1-0"/>
                <w:color w:val="000000"/>
                <w:kern w:val="0"/>
                <w:szCs w:val="21"/>
              </w:rPr>
              <w:t>全面公开机构检验资格许可等行政审批信息。做好消费者诉求数据分析结果公开工作。</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38</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autoSpaceDE w:val="0"/>
              <w:autoSpaceDN w:val="0"/>
              <w:adjustRightInd w:val="0"/>
              <w:spacing w:line="260" w:lineRule="exact"/>
              <w:rPr>
                <w:rFonts w:ascii="宋体" w:hAnsi="宋体" w:cs="FZFSK--GBK1-0"/>
                <w:color w:val="000000"/>
                <w:kern w:val="0"/>
                <w:szCs w:val="21"/>
              </w:rPr>
            </w:pPr>
            <w:r>
              <w:rPr>
                <w:rFonts w:hint="eastAsia" w:ascii="宋体" w:hAnsi="宋体" w:cs="FZFSK--GBK1-0"/>
                <w:color w:val="000000"/>
                <w:kern w:val="0"/>
                <w:szCs w:val="21"/>
                <w:lang w:eastAsia="zh-CN"/>
              </w:rPr>
              <w:t>县</w:t>
            </w:r>
            <w:r>
              <w:rPr>
                <w:rFonts w:hint="eastAsia" w:ascii="宋体" w:hAnsi="宋体" w:cs="FZFSK--GBK1-0"/>
                <w:color w:val="000000"/>
                <w:kern w:val="0"/>
                <w:szCs w:val="21"/>
              </w:rPr>
              <w:t>直有关行业主管部门应将对企业作出的行政许可准予、变更、延续、撤销以及行政处罚等信息通过相关平台进行归集，并进行公示。</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39</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3944"/>
              </w:tabs>
              <w:autoSpaceDE w:val="0"/>
              <w:autoSpaceDN w:val="0"/>
              <w:adjustRightInd w:val="0"/>
              <w:spacing w:line="260" w:lineRule="exact"/>
              <w:rPr>
                <w:rFonts w:ascii="宋体" w:hAnsi="宋体" w:cs="FZFSK--GBK1-0"/>
                <w:color w:val="000000"/>
                <w:kern w:val="0"/>
                <w:szCs w:val="21"/>
              </w:rPr>
            </w:pPr>
            <w:r>
              <w:rPr>
                <w:rFonts w:hint="eastAsia" w:ascii="宋体" w:hAnsi="宋体" w:cs="FZFSK--GBK1-0"/>
                <w:color w:val="000000"/>
                <w:kern w:val="0"/>
                <w:szCs w:val="21"/>
              </w:rPr>
              <w:t>及时主动在政府门户网站公布专利行政执法案件信息。</w:t>
            </w:r>
          </w:p>
        </w:tc>
        <w:tc>
          <w:tcPr>
            <w:tcW w:w="2520" w:type="dxa"/>
            <w:vMerge w:val="restart"/>
            <w:vAlign w:val="center"/>
          </w:tcPr>
          <w:p>
            <w:pPr>
              <w:autoSpaceDE w:val="0"/>
              <w:autoSpaceDN w:val="0"/>
              <w:adjustRightInd w:val="0"/>
              <w:rPr>
                <w:rFonts w:ascii="宋体" w:hAnsi="宋体" w:cs="FZFSK--GBK1-0"/>
                <w:color w:val="000000"/>
                <w:kern w:val="0"/>
                <w:szCs w:val="21"/>
              </w:rPr>
            </w:pPr>
            <w:r>
              <w:rPr>
                <w:rFonts w:hint="eastAsia" w:cs="FZFSK--GBK1-0"/>
                <w:color w:val="000000"/>
                <w:sz w:val="21"/>
                <w:szCs w:val="21"/>
                <w:lang w:eastAsia="zh-CN"/>
              </w:rPr>
              <w:t>县工信局</w:t>
            </w:r>
            <w:r>
              <w:rPr>
                <w:rFonts w:hint="eastAsia" w:ascii="宋体" w:hAnsi="宋体" w:cs="FZFSK--GBK1-0"/>
                <w:color w:val="000000"/>
                <w:kern w:val="0"/>
                <w:szCs w:val="21"/>
              </w:rPr>
              <w:t>牵头落实</w:t>
            </w: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40</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autoSpaceDE w:val="0"/>
              <w:autoSpaceDN w:val="0"/>
              <w:adjustRightInd w:val="0"/>
              <w:spacing w:line="260" w:lineRule="exact"/>
              <w:rPr>
                <w:rFonts w:ascii="宋体" w:hAnsi="宋体" w:cs="FZFSK--GBK1-0"/>
                <w:color w:val="000000"/>
                <w:kern w:val="0"/>
                <w:szCs w:val="21"/>
              </w:rPr>
            </w:pPr>
            <w:r>
              <w:rPr>
                <w:rFonts w:hint="eastAsia" w:ascii="宋体" w:hAnsi="宋体" w:cs="FZFSK--GBK1-0"/>
                <w:color w:val="000000"/>
                <w:kern w:val="0"/>
                <w:szCs w:val="21"/>
              </w:rPr>
              <w:t>做好双公示工作，完善行政许可和行政处罚公示栏目，按时公布专利侵权纠纷行政处理决定、假冒专利行政处罚信息。</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03" w:type="dxa"/>
            <w:vAlign w:val="center"/>
          </w:tcPr>
          <w:p>
            <w:pPr>
              <w:pStyle w:val="2"/>
              <w:jc w:val="center"/>
              <w:rPr>
                <w:rFonts w:hint="eastAsia" w:ascii="宋体" w:hAnsi="宋体" w:eastAsia="宋体"/>
                <w:color w:val="000000"/>
                <w:sz w:val="21"/>
                <w:szCs w:val="21"/>
                <w:lang w:eastAsia="zh-CN"/>
              </w:rPr>
            </w:pPr>
            <w:r>
              <w:rPr>
                <w:rFonts w:hint="eastAsia" w:ascii="宋体" w:hAnsi="宋体"/>
                <w:color w:val="000000"/>
                <w:sz w:val="21"/>
                <w:szCs w:val="21"/>
                <w:lang w:val="en-US" w:eastAsia="zh-CN"/>
              </w:rPr>
              <w:t>41</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4733"/>
              </w:tabs>
              <w:autoSpaceDE w:val="0"/>
              <w:autoSpaceDN w:val="0"/>
              <w:adjustRightInd w:val="0"/>
              <w:spacing w:line="260" w:lineRule="exact"/>
              <w:rPr>
                <w:rFonts w:ascii="宋体" w:hAnsi="宋体" w:cs="FZFSK--GBK1-0"/>
                <w:color w:val="000000"/>
                <w:kern w:val="0"/>
                <w:szCs w:val="21"/>
              </w:rPr>
            </w:pPr>
            <w:r>
              <w:rPr>
                <w:rFonts w:hint="eastAsia" w:ascii="宋体" w:hAnsi="宋体" w:cs="FZFSK--GBK1-0"/>
                <w:color w:val="000000"/>
                <w:kern w:val="0"/>
                <w:szCs w:val="21"/>
              </w:rPr>
              <w:t>公开旅行社名录及旅游指标发展情况。每月公示旅游投诉情况，每季度公开旅游经营服务不良信息、具体行政处罚情况。</w:t>
            </w:r>
          </w:p>
        </w:tc>
        <w:tc>
          <w:tcPr>
            <w:tcW w:w="2520" w:type="dxa"/>
            <w:vAlign w:val="center"/>
          </w:tcPr>
          <w:p>
            <w:pPr>
              <w:rPr>
                <w:rFonts w:ascii="宋体" w:hAnsi="宋体" w:cs="FZFSK--GBK1-0"/>
                <w:color w:val="000000"/>
                <w:szCs w:val="21"/>
              </w:rPr>
            </w:pPr>
            <w:r>
              <w:rPr>
                <w:rFonts w:hint="eastAsia" w:ascii="宋体" w:hAnsi="宋体" w:cs="FZFSK--GBK1-0"/>
                <w:color w:val="000000"/>
                <w:szCs w:val="21"/>
                <w:lang w:eastAsia="zh-CN"/>
              </w:rPr>
              <w:t>县文旅广体局</w:t>
            </w:r>
            <w:r>
              <w:rPr>
                <w:rFonts w:hint="eastAsia" w:ascii="宋体" w:hAnsi="宋体" w:cs="FZFSK--GBK1-0"/>
                <w:color w:val="000000"/>
                <w:szCs w:val="21"/>
              </w:rPr>
              <w:t>牵头落实</w:t>
            </w: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42</w:t>
            </w:r>
          </w:p>
        </w:tc>
        <w:tc>
          <w:tcPr>
            <w:tcW w:w="878" w:type="dxa"/>
            <w:vMerge w:val="restart"/>
            <w:vAlign w:val="center"/>
          </w:tcPr>
          <w:p>
            <w:pPr>
              <w:pStyle w:val="4"/>
              <w:jc w:val="both"/>
              <w:rPr>
                <w:color w:val="000000"/>
                <w:sz w:val="21"/>
                <w:szCs w:val="21"/>
              </w:rPr>
            </w:pPr>
            <w:r>
              <w:rPr>
                <w:rFonts w:hint="eastAsia"/>
                <w:color w:val="000000"/>
                <w:sz w:val="21"/>
                <w:szCs w:val="21"/>
              </w:rPr>
              <w:t>以政务公开助力惠民生</w:t>
            </w:r>
          </w:p>
        </w:tc>
        <w:tc>
          <w:tcPr>
            <w:tcW w:w="1410" w:type="dxa"/>
            <w:vMerge w:val="restart"/>
            <w:vAlign w:val="center"/>
          </w:tcPr>
          <w:p>
            <w:pPr>
              <w:rPr>
                <w:rFonts w:ascii="宋体" w:hAnsi="宋体"/>
                <w:color w:val="000000"/>
                <w:szCs w:val="21"/>
              </w:rPr>
            </w:pPr>
            <w:r>
              <w:rPr>
                <w:rFonts w:hint="eastAsia" w:ascii="宋体" w:hAnsi="宋体"/>
                <w:color w:val="000000"/>
                <w:szCs w:val="21"/>
              </w:rPr>
              <w:t>推进扶贫脱贫和社会救助信息公开</w:t>
            </w:r>
          </w:p>
        </w:tc>
        <w:tc>
          <w:tcPr>
            <w:tcW w:w="7267" w:type="dxa"/>
            <w:vAlign w:val="center"/>
          </w:tcPr>
          <w:p>
            <w:pPr>
              <w:pStyle w:val="4"/>
              <w:spacing w:line="260" w:lineRule="exact"/>
              <w:jc w:val="both"/>
              <w:rPr>
                <w:color w:val="000000"/>
                <w:sz w:val="21"/>
                <w:szCs w:val="21"/>
              </w:rPr>
            </w:pPr>
            <w:r>
              <w:rPr>
                <w:rFonts w:hint="eastAsia"/>
                <w:color w:val="000000"/>
                <w:sz w:val="21"/>
                <w:szCs w:val="21"/>
              </w:rPr>
              <w:t>围绕实施精准扶贫、精准脱贫，着力公开扶贫政策、扶贫对象、帮扶措施、扶贫成效、贫困退出、扶贫资金项目安排等信息。</w:t>
            </w:r>
          </w:p>
        </w:tc>
        <w:tc>
          <w:tcPr>
            <w:tcW w:w="2520" w:type="dxa"/>
            <w:vMerge w:val="restart"/>
            <w:vAlign w:val="center"/>
          </w:tcPr>
          <w:p>
            <w:pPr>
              <w:pStyle w:val="4"/>
              <w:jc w:val="both"/>
              <w:rPr>
                <w:rFonts w:hint="eastAsia"/>
                <w:color w:val="000000"/>
                <w:sz w:val="21"/>
                <w:szCs w:val="21"/>
              </w:rPr>
            </w:pPr>
            <w:r>
              <w:rPr>
                <w:rFonts w:hint="eastAsia" w:cs="FZFSK--GBK1-0"/>
                <w:color w:val="000000"/>
                <w:sz w:val="21"/>
                <w:szCs w:val="21"/>
                <w:lang w:eastAsia="zh-CN"/>
              </w:rPr>
              <w:t>县</w:t>
            </w:r>
            <w:r>
              <w:rPr>
                <w:rFonts w:hint="eastAsia" w:cs="FZFSK--GBK1-0"/>
                <w:color w:val="000000"/>
                <w:sz w:val="21"/>
                <w:szCs w:val="21"/>
              </w:rPr>
              <w:t>财政局、民政局、扶贫办按照职责分工分别牵头落实</w:t>
            </w:r>
          </w:p>
        </w:tc>
        <w:tc>
          <w:tcPr>
            <w:tcW w:w="1575" w:type="dxa"/>
            <w:vMerge w:val="restart"/>
            <w:vAlign w:val="center"/>
          </w:tcPr>
          <w:p>
            <w:pPr>
              <w:pStyle w:val="4"/>
              <w:jc w:val="center"/>
              <w:rPr>
                <w:rFonts w:hint="eastAsia"/>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43</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2016"/>
              </w:tabs>
              <w:spacing w:line="260" w:lineRule="exact"/>
              <w:rPr>
                <w:rFonts w:ascii="宋体" w:hAnsi="宋体" w:cs="FZFSK--GBK1-0"/>
                <w:color w:val="000000"/>
                <w:spacing w:val="-6"/>
                <w:szCs w:val="21"/>
              </w:rPr>
            </w:pPr>
            <w:r>
              <w:rPr>
                <w:rFonts w:hint="eastAsia" w:ascii="宋体" w:hAnsi="宋体" w:cs="FZFSK--GBK1-0"/>
                <w:color w:val="000000"/>
                <w:spacing w:val="-6"/>
                <w:szCs w:val="21"/>
              </w:rPr>
              <w:t>要公开统筹整合使用的涉农资金来源、用途和项目建设等情况；要公示建档立卡贫困人口和脱贫人口名单、扶贫项目实施情况。</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44</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1928"/>
              </w:tabs>
              <w:spacing w:line="240" w:lineRule="exact"/>
              <w:rPr>
                <w:rFonts w:ascii="宋体" w:hAnsi="宋体" w:cs="FZFSK--GBK1-0"/>
                <w:color w:val="000000"/>
                <w:szCs w:val="21"/>
              </w:rPr>
            </w:pPr>
            <w:r>
              <w:rPr>
                <w:rFonts w:hint="eastAsia" w:ascii="宋体" w:hAnsi="宋体" w:cs="FZFSK--GBK1-0"/>
                <w:color w:val="000000"/>
                <w:szCs w:val="21"/>
              </w:rPr>
              <w:t>加大社会扶贫信息公开力度，增强社会扶贫公信力和影响力，高度重视困难群众救助信息公开，进一步做好城乡低保、特困人员救助供养、医疗救助、临时救助等信息公开工作。</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45</w:t>
            </w:r>
          </w:p>
        </w:tc>
        <w:tc>
          <w:tcPr>
            <w:tcW w:w="878" w:type="dxa"/>
            <w:vMerge w:val="continue"/>
            <w:vAlign w:val="center"/>
          </w:tcPr>
          <w:p>
            <w:pPr>
              <w:pStyle w:val="4"/>
              <w:jc w:val="both"/>
              <w:rPr>
                <w:color w:val="000000"/>
                <w:sz w:val="21"/>
                <w:szCs w:val="21"/>
              </w:rPr>
            </w:pPr>
          </w:p>
        </w:tc>
        <w:tc>
          <w:tcPr>
            <w:tcW w:w="1410" w:type="dxa"/>
            <w:vMerge w:val="restart"/>
            <w:vAlign w:val="center"/>
          </w:tcPr>
          <w:p>
            <w:pPr>
              <w:rPr>
                <w:rFonts w:ascii="宋体" w:hAnsi="宋体"/>
                <w:color w:val="000000"/>
                <w:szCs w:val="21"/>
              </w:rPr>
            </w:pPr>
            <w:r>
              <w:rPr>
                <w:rFonts w:hint="eastAsia"/>
                <w:color w:val="000000"/>
                <w:szCs w:val="21"/>
              </w:rPr>
              <w:t>推进环境保护信息公开</w:t>
            </w:r>
          </w:p>
        </w:tc>
        <w:tc>
          <w:tcPr>
            <w:tcW w:w="7267" w:type="dxa"/>
            <w:vAlign w:val="center"/>
          </w:tcPr>
          <w:p>
            <w:pPr>
              <w:tabs>
                <w:tab w:val="left" w:pos="1490"/>
              </w:tabs>
              <w:autoSpaceDE w:val="0"/>
              <w:autoSpaceDN w:val="0"/>
              <w:adjustRightInd w:val="0"/>
              <w:spacing w:line="240" w:lineRule="exact"/>
              <w:rPr>
                <w:rFonts w:ascii="宋体" w:hAnsi="宋体" w:cs="FZFSK--GBK1-0"/>
                <w:color w:val="000000"/>
                <w:kern w:val="0"/>
                <w:szCs w:val="21"/>
              </w:rPr>
            </w:pPr>
            <w:r>
              <w:rPr>
                <w:rFonts w:hint="eastAsia" w:ascii="宋体" w:hAnsi="宋体" w:cs="FZFSK--GBK1-0"/>
                <w:color w:val="000000"/>
                <w:kern w:val="0"/>
                <w:szCs w:val="21"/>
              </w:rPr>
              <w:t>及时公开环境政策措施、环境治理进展等信息，特别是要加大重污染天气等治理措施、进展、成效方面的信息公开力度，主动回应社会关注的热点问题。</w:t>
            </w:r>
          </w:p>
        </w:tc>
        <w:tc>
          <w:tcPr>
            <w:tcW w:w="2520" w:type="dxa"/>
            <w:vMerge w:val="restart"/>
            <w:vAlign w:val="center"/>
          </w:tcPr>
          <w:p>
            <w:pPr>
              <w:pStyle w:val="4"/>
              <w:jc w:val="both"/>
              <w:rPr>
                <w:rFonts w:hint="eastAsia"/>
                <w:color w:val="000000"/>
                <w:sz w:val="21"/>
                <w:szCs w:val="21"/>
              </w:rPr>
            </w:pPr>
            <w:r>
              <w:rPr>
                <w:rFonts w:hint="eastAsia" w:cs="FZFSK--GBK1-0"/>
                <w:color w:val="000000"/>
                <w:sz w:val="21"/>
                <w:szCs w:val="21"/>
                <w:lang w:eastAsia="zh-CN"/>
              </w:rPr>
              <w:t>县</w:t>
            </w:r>
            <w:r>
              <w:rPr>
                <w:rFonts w:hint="eastAsia" w:cs="FZFSK--GBK1-0"/>
                <w:color w:val="000000"/>
                <w:sz w:val="21"/>
                <w:szCs w:val="21"/>
              </w:rPr>
              <w:t>环保局牵头落实</w:t>
            </w: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46</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1352"/>
              </w:tabs>
              <w:autoSpaceDE w:val="0"/>
              <w:autoSpaceDN w:val="0"/>
              <w:adjustRightInd w:val="0"/>
              <w:spacing w:line="260" w:lineRule="exact"/>
              <w:rPr>
                <w:rFonts w:ascii="宋体" w:hAnsi="宋体" w:cs="FZFSK--GBK1-0"/>
                <w:color w:val="000000"/>
                <w:kern w:val="0"/>
                <w:szCs w:val="21"/>
              </w:rPr>
            </w:pPr>
            <w:r>
              <w:rPr>
                <w:rFonts w:hint="eastAsia" w:ascii="宋体" w:hAnsi="宋体" w:cs="FZFSK--GBK1-0"/>
                <w:color w:val="000000"/>
                <w:kern w:val="0"/>
                <w:szCs w:val="21"/>
              </w:rPr>
              <w:t>待国家城市水环境质量排名办法发布后开展城市水环境质量排名工作，每年公布水质最好和最差的</w:t>
            </w:r>
            <w:r>
              <w:rPr>
                <w:rFonts w:hint="eastAsia" w:ascii="宋体" w:hAnsi="宋体" w:cs="FZFSK--GBK1-0"/>
                <w:color w:val="000000"/>
                <w:kern w:val="0"/>
                <w:szCs w:val="21"/>
                <w:lang w:eastAsia="zh-CN"/>
              </w:rPr>
              <w:t>乡镇（街道）</w:t>
            </w:r>
            <w:r>
              <w:rPr>
                <w:rFonts w:hint="eastAsia" w:ascii="宋体" w:hAnsi="宋体" w:cs="FZFSK--GBK1-0"/>
                <w:color w:val="000000"/>
                <w:kern w:val="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47</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1828"/>
              </w:tabs>
              <w:autoSpaceDE w:val="0"/>
              <w:autoSpaceDN w:val="0"/>
              <w:adjustRightInd w:val="0"/>
              <w:spacing w:line="240" w:lineRule="exact"/>
              <w:rPr>
                <w:rFonts w:ascii="宋体" w:hAnsi="宋体" w:cs="FZFSK--GBK1-0"/>
                <w:color w:val="000000"/>
                <w:kern w:val="0"/>
                <w:szCs w:val="21"/>
              </w:rPr>
            </w:pPr>
            <w:r>
              <w:rPr>
                <w:rFonts w:hint="eastAsia" w:ascii="宋体" w:hAnsi="宋体" w:cs="FZFSK--GBK1-0"/>
                <w:color w:val="000000"/>
                <w:kern w:val="0"/>
                <w:szCs w:val="21"/>
              </w:rPr>
              <w:t>持续推进</w:t>
            </w:r>
            <w:r>
              <w:rPr>
                <w:rFonts w:hint="eastAsia" w:ascii="宋体" w:hAnsi="宋体" w:cs="FZFSK--GBK1-0"/>
                <w:color w:val="000000"/>
                <w:kern w:val="0"/>
                <w:szCs w:val="21"/>
                <w:lang w:eastAsia="zh-CN"/>
              </w:rPr>
              <w:t>我县</w:t>
            </w:r>
            <w:r>
              <w:rPr>
                <w:rFonts w:hint="eastAsia" w:ascii="宋体" w:hAnsi="宋体" w:cs="FZFSK--GBK1-0"/>
                <w:color w:val="000000"/>
                <w:kern w:val="0"/>
                <w:szCs w:val="21"/>
              </w:rPr>
              <w:t>集中式饮用水水源地水质监测信息公开。</w:t>
            </w:r>
            <w:r>
              <w:rPr>
                <w:rFonts w:hint="eastAsia" w:ascii="宋体" w:hAnsi="宋体" w:cs="FZFSK--GBK1-0"/>
                <w:color w:val="000000"/>
                <w:kern w:val="0"/>
                <w:szCs w:val="21"/>
                <w:lang w:eastAsia="zh-CN"/>
              </w:rPr>
              <w:t>县</w:t>
            </w:r>
            <w:r>
              <w:rPr>
                <w:rFonts w:hint="eastAsia" w:ascii="宋体" w:hAnsi="宋体" w:cs="FZFSK--GBK1-0"/>
                <w:color w:val="000000"/>
                <w:kern w:val="0"/>
                <w:szCs w:val="21"/>
              </w:rPr>
              <w:t>环保</w:t>
            </w:r>
            <w:r>
              <w:rPr>
                <w:rFonts w:hint="eastAsia" w:ascii="宋体" w:hAnsi="宋体" w:cs="FZFSK--GBK1-0"/>
                <w:color w:val="000000"/>
                <w:kern w:val="0"/>
                <w:szCs w:val="21"/>
                <w:lang w:eastAsia="zh-CN"/>
              </w:rPr>
              <w:t>局</w:t>
            </w:r>
            <w:r>
              <w:rPr>
                <w:rFonts w:hint="eastAsia" w:ascii="宋体" w:hAnsi="宋体" w:cs="FZFSK--GBK1-0"/>
                <w:color w:val="000000"/>
                <w:kern w:val="0"/>
                <w:szCs w:val="21"/>
              </w:rPr>
              <w:t>于每年3月底前确定并公开本行政区域内重点排污单位名录，指导、督查重点排污单位通过其网站等便于人民群众知晓的公开平台公开信息。</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3" w:type="dxa"/>
            <w:vAlign w:val="center"/>
          </w:tcPr>
          <w:p>
            <w:pPr>
              <w:pStyle w:val="2"/>
              <w:jc w:val="center"/>
              <w:rPr>
                <w:rFonts w:hint="eastAsia" w:ascii="宋体" w:hAnsi="宋体" w:eastAsia="宋体"/>
                <w:color w:val="000000"/>
                <w:sz w:val="21"/>
                <w:szCs w:val="21"/>
                <w:lang w:eastAsia="zh-CN"/>
              </w:rPr>
            </w:pPr>
            <w:r>
              <w:rPr>
                <w:rFonts w:hint="eastAsia" w:ascii="宋体" w:hAnsi="宋体"/>
                <w:color w:val="000000"/>
                <w:sz w:val="21"/>
                <w:szCs w:val="21"/>
                <w:lang w:val="en-US" w:eastAsia="zh-CN"/>
              </w:rPr>
              <w:t>48</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1590"/>
              </w:tabs>
              <w:autoSpaceDE w:val="0"/>
              <w:autoSpaceDN w:val="0"/>
              <w:adjustRightInd w:val="0"/>
              <w:spacing w:line="260" w:lineRule="exact"/>
              <w:rPr>
                <w:rFonts w:ascii="宋体" w:hAnsi="宋体" w:cs="FZFSK--GBK1-0"/>
                <w:color w:val="000000"/>
                <w:kern w:val="0"/>
                <w:szCs w:val="21"/>
              </w:rPr>
            </w:pPr>
            <w:r>
              <w:rPr>
                <w:rFonts w:hint="eastAsia" w:ascii="宋体" w:hAnsi="宋体" w:cs="FZFSK--GBK1-0"/>
                <w:color w:val="000000"/>
                <w:kern w:val="0"/>
                <w:szCs w:val="21"/>
              </w:rPr>
              <w:t>公开全面推进“河长制”工作实施方案、管理保护目标以及我</w:t>
            </w:r>
            <w:r>
              <w:rPr>
                <w:rFonts w:hint="eastAsia" w:ascii="宋体" w:hAnsi="宋体" w:cs="FZFSK--GBK1-0"/>
                <w:color w:val="000000"/>
                <w:kern w:val="0"/>
                <w:szCs w:val="21"/>
                <w:lang w:eastAsia="zh-CN"/>
              </w:rPr>
              <w:t>县</w:t>
            </w:r>
            <w:r>
              <w:rPr>
                <w:rFonts w:hint="eastAsia" w:ascii="宋体" w:hAnsi="宋体" w:cs="FZFSK--GBK1-0"/>
                <w:color w:val="000000"/>
                <w:kern w:val="0"/>
                <w:szCs w:val="21"/>
              </w:rPr>
              <w:t>江河湖泊保护情况。</w:t>
            </w:r>
          </w:p>
        </w:tc>
        <w:tc>
          <w:tcPr>
            <w:tcW w:w="2520" w:type="dxa"/>
            <w:vAlign w:val="center"/>
          </w:tcPr>
          <w:p>
            <w:pPr>
              <w:autoSpaceDE w:val="0"/>
              <w:autoSpaceDN w:val="0"/>
              <w:adjustRightInd w:val="0"/>
              <w:spacing w:line="240" w:lineRule="exact"/>
              <w:rPr>
                <w:rFonts w:ascii="宋体" w:hAnsi="宋体" w:cs="FZFSK--GBK1-0"/>
                <w:color w:val="000000"/>
                <w:kern w:val="0"/>
                <w:szCs w:val="21"/>
              </w:rPr>
            </w:pPr>
            <w:r>
              <w:rPr>
                <w:rFonts w:hint="eastAsia" w:ascii="宋体" w:hAnsi="宋体" w:cs="FZFSK--GBK1-0"/>
                <w:color w:val="000000"/>
                <w:kern w:val="0"/>
                <w:szCs w:val="21"/>
                <w:lang w:eastAsia="zh-CN"/>
              </w:rPr>
              <w:t>县</w:t>
            </w:r>
            <w:r>
              <w:rPr>
                <w:rFonts w:hint="eastAsia" w:ascii="宋体" w:hAnsi="宋体" w:cs="FZFSK--GBK1-0"/>
                <w:color w:val="000000"/>
                <w:kern w:val="0"/>
                <w:szCs w:val="21"/>
              </w:rPr>
              <w:t>水利局、环保局牵头落实</w:t>
            </w: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49</w:t>
            </w:r>
          </w:p>
        </w:tc>
        <w:tc>
          <w:tcPr>
            <w:tcW w:w="878" w:type="dxa"/>
            <w:vMerge w:val="continue"/>
            <w:vAlign w:val="center"/>
          </w:tcPr>
          <w:p>
            <w:pPr>
              <w:pStyle w:val="4"/>
              <w:jc w:val="both"/>
              <w:rPr>
                <w:color w:val="000000"/>
                <w:sz w:val="21"/>
                <w:szCs w:val="21"/>
              </w:rPr>
            </w:pPr>
          </w:p>
        </w:tc>
        <w:tc>
          <w:tcPr>
            <w:tcW w:w="1410" w:type="dxa"/>
            <w:vMerge w:val="restart"/>
            <w:vAlign w:val="center"/>
          </w:tcPr>
          <w:p>
            <w:pPr>
              <w:pStyle w:val="4"/>
              <w:jc w:val="both"/>
              <w:rPr>
                <w:color w:val="000000"/>
                <w:sz w:val="21"/>
                <w:szCs w:val="21"/>
              </w:rPr>
            </w:pPr>
            <w:r>
              <w:rPr>
                <w:color w:val="000000"/>
                <w:sz w:val="21"/>
                <w:szCs w:val="21"/>
              </w:rPr>
              <w:t>推进教育卫生计生领域信息公开</w:t>
            </w:r>
          </w:p>
        </w:tc>
        <w:tc>
          <w:tcPr>
            <w:tcW w:w="7267" w:type="dxa"/>
            <w:vAlign w:val="center"/>
          </w:tcPr>
          <w:p>
            <w:pPr>
              <w:pStyle w:val="4"/>
              <w:spacing w:line="260" w:lineRule="exact"/>
              <w:jc w:val="both"/>
              <w:rPr>
                <w:color w:val="000000"/>
                <w:sz w:val="21"/>
                <w:szCs w:val="21"/>
              </w:rPr>
            </w:pPr>
            <w:r>
              <w:rPr>
                <w:color w:val="000000"/>
                <w:sz w:val="21"/>
                <w:szCs w:val="21"/>
              </w:rPr>
              <w:t>进一步推进教育监管信息公开，加大国家教育督导评估监测报告发布力度</w:t>
            </w:r>
            <w:r>
              <w:rPr>
                <w:rFonts w:hint="eastAsia"/>
                <w:color w:val="000000"/>
                <w:sz w:val="21"/>
                <w:szCs w:val="21"/>
              </w:rPr>
              <w:t>。</w:t>
            </w:r>
          </w:p>
        </w:tc>
        <w:tc>
          <w:tcPr>
            <w:tcW w:w="2520" w:type="dxa"/>
            <w:vMerge w:val="restart"/>
            <w:vAlign w:val="center"/>
          </w:tcPr>
          <w:p>
            <w:pPr>
              <w:autoSpaceDE w:val="0"/>
              <w:autoSpaceDN w:val="0"/>
              <w:adjustRightInd w:val="0"/>
              <w:rPr>
                <w:rFonts w:ascii="宋体" w:hAnsi="宋体" w:cs="FZFSK--GBK1-0"/>
                <w:color w:val="000000"/>
                <w:kern w:val="0"/>
                <w:szCs w:val="21"/>
              </w:rPr>
            </w:pPr>
            <w:r>
              <w:rPr>
                <w:rFonts w:hint="eastAsia" w:ascii="宋体" w:hAnsi="宋体"/>
                <w:color w:val="000000"/>
                <w:szCs w:val="21"/>
                <w:lang w:eastAsia="zh-CN"/>
              </w:rPr>
              <w:t>县</w:t>
            </w:r>
            <w:r>
              <w:rPr>
                <w:rFonts w:ascii="宋体" w:hAnsi="宋体"/>
                <w:color w:val="000000"/>
                <w:szCs w:val="21"/>
              </w:rPr>
              <w:t>教育</w:t>
            </w:r>
            <w:r>
              <w:rPr>
                <w:rFonts w:hint="eastAsia" w:ascii="宋体" w:hAnsi="宋体"/>
                <w:color w:val="000000"/>
                <w:szCs w:val="21"/>
              </w:rPr>
              <w:t>局</w:t>
            </w:r>
            <w:r>
              <w:rPr>
                <w:rFonts w:ascii="宋体" w:hAnsi="宋体"/>
                <w:color w:val="000000"/>
                <w:szCs w:val="21"/>
              </w:rPr>
              <w:t>牵头落实</w:t>
            </w:r>
          </w:p>
        </w:tc>
        <w:tc>
          <w:tcPr>
            <w:tcW w:w="1575" w:type="dxa"/>
            <w:vMerge w:val="restart"/>
            <w:vAlign w:val="center"/>
          </w:tcPr>
          <w:p>
            <w:pPr>
              <w:pStyle w:val="4"/>
              <w:jc w:val="center"/>
              <w:rPr>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50</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widowControl/>
              <w:tabs>
                <w:tab w:val="left" w:pos="2016"/>
              </w:tabs>
              <w:spacing w:line="260" w:lineRule="exact"/>
              <w:rPr>
                <w:rFonts w:ascii="宋体" w:hAnsi="宋体" w:cs="FZFSK--GBK1-0"/>
                <w:color w:val="000000"/>
                <w:szCs w:val="21"/>
              </w:rPr>
            </w:pPr>
            <w:r>
              <w:rPr>
                <w:rFonts w:ascii="宋体" w:hAnsi="宋体"/>
                <w:color w:val="000000"/>
                <w:szCs w:val="21"/>
              </w:rPr>
              <w:t>做好全面改善义务教育薄弱地区、薄弱学校、薄弱环节基本办学条件工作进展和实施成效等公开工作。有序公开全面改善贫困地区义务教育薄弱学校基本办学条件、农村义务教育学生营养改善计划、县域义务教育均衡发展督导评估认定、加快沿边地区和直过少数民族聚居地区教育发展等重点工作进展情况</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51</w:t>
            </w:r>
          </w:p>
        </w:tc>
        <w:tc>
          <w:tcPr>
            <w:tcW w:w="878" w:type="dxa"/>
            <w:vMerge w:val="restart"/>
            <w:vAlign w:val="center"/>
          </w:tcPr>
          <w:p>
            <w:pPr>
              <w:pStyle w:val="4"/>
              <w:jc w:val="both"/>
              <w:rPr>
                <w:color w:val="000000"/>
                <w:sz w:val="21"/>
                <w:szCs w:val="21"/>
              </w:rPr>
            </w:pPr>
            <w:r>
              <w:rPr>
                <w:color w:val="000000"/>
                <w:sz w:val="21"/>
                <w:szCs w:val="21"/>
              </w:rPr>
              <w:t>以政务公开助力惠民生</w:t>
            </w:r>
          </w:p>
        </w:tc>
        <w:tc>
          <w:tcPr>
            <w:tcW w:w="1410" w:type="dxa"/>
            <w:vMerge w:val="restart"/>
            <w:vAlign w:val="center"/>
          </w:tcPr>
          <w:p>
            <w:pPr>
              <w:pStyle w:val="4"/>
              <w:jc w:val="both"/>
              <w:rPr>
                <w:color w:val="000000"/>
                <w:sz w:val="21"/>
                <w:szCs w:val="21"/>
              </w:rPr>
            </w:pPr>
            <w:r>
              <w:rPr>
                <w:color w:val="000000"/>
                <w:sz w:val="21"/>
                <w:szCs w:val="21"/>
              </w:rPr>
              <w:t>推进教育卫生计生领域信息公开</w:t>
            </w:r>
          </w:p>
        </w:tc>
        <w:tc>
          <w:tcPr>
            <w:tcW w:w="7267" w:type="dxa"/>
            <w:vAlign w:val="center"/>
          </w:tcPr>
          <w:p>
            <w:pPr>
              <w:widowControl/>
              <w:tabs>
                <w:tab w:val="left" w:pos="2279"/>
              </w:tabs>
              <w:spacing w:line="260" w:lineRule="exact"/>
              <w:rPr>
                <w:rFonts w:ascii="宋体" w:hAnsi="宋体" w:cs="FZFSK--GBK1-0"/>
                <w:color w:val="000000"/>
                <w:szCs w:val="21"/>
              </w:rPr>
            </w:pPr>
            <w:r>
              <w:rPr>
                <w:rFonts w:ascii="宋体" w:hAnsi="宋体"/>
                <w:color w:val="000000"/>
                <w:szCs w:val="21"/>
              </w:rPr>
              <w:t>推进义务教育招生入学政策公开，公开义务教育招生范围、招生条件、学校情况、招生结果等信息</w:t>
            </w:r>
            <w:r>
              <w:rPr>
                <w:rFonts w:hint="eastAsia" w:ascii="宋体" w:hAnsi="宋体"/>
                <w:color w:val="000000"/>
                <w:szCs w:val="21"/>
              </w:rPr>
              <w:t>。</w:t>
            </w:r>
          </w:p>
        </w:tc>
        <w:tc>
          <w:tcPr>
            <w:tcW w:w="2520" w:type="dxa"/>
            <w:vMerge w:val="restart"/>
            <w:vAlign w:val="center"/>
          </w:tcPr>
          <w:p>
            <w:pPr>
              <w:autoSpaceDE w:val="0"/>
              <w:autoSpaceDN w:val="0"/>
              <w:adjustRightInd w:val="0"/>
              <w:rPr>
                <w:rFonts w:ascii="宋体" w:hAnsi="宋体" w:cs="FZFSK--GBK1-0"/>
                <w:color w:val="000000"/>
                <w:kern w:val="0"/>
                <w:szCs w:val="21"/>
              </w:rPr>
            </w:pPr>
            <w:r>
              <w:rPr>
                <w:rFonts w:hint="eastAsia" w:ascii="宋体" w:hAnsi="宋体"/>
                <w:color w:val="000000"/>
                <w:szCs w:val="21"/>
                <w:lang w:eastAsia="zh-CN"/>
              </w:rPr>
              <w:t>县</w:t>
            </w:r>
            <w:r>
              <w:rPr>
                <w:rFonts w:ascii="宋体" w:hAnsi="宋体"/>
                <w:color w:val="000000"/>
                <w:szCs w:val="21"/>
              </w:rPr>
              <w:t>教育</w:t>
            </w:r>
            <w:r>
              <w:rPr>
                <w:rFonts w:hint="eastAsia" w:ascii="宋体" w:hAnsi="宋体"/>
                <w:color w:val="000000"/>
                <w:szCs w:val="21"/>
              </w:rPr>
              <w:t>局</w:t>
            </w:r>
            <w:r>
              <w:rPr>
                <w:rFonts w:ascii="宋体" w:hAnsi="宋体"/>
                <w:color w:val="000000"/>
                <w:szCs w:val="21"/>
              </w:rPr>
              <w:t>牵头落实</w:t>
            </w:r>
          </w:p>
        </w:tc>
        <w:tc>
          <w:tcPr>
            <w:tcW w:w="1575" w:type="dxa"/>
            <w:vMerge w:val="restart"/>
            <w:vAlign w:val="center"/>
          </w:tcPr>
          <w:p>
            <w:pPr>
              <w:pStyle w:val="4"/>
              <w:jc w:val="center"/>
              <w:rPr>
                <w:rFonts w:hint="eastAsia"/>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52</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widowControl/>
              <w:tabs>
                <w:tab w:val="left" w:pos="2442"/>
              </w:tabs>
              <w:spacing w:line="260" w:lineRule="exact"/>
              <w:rPr>
                <w:rFonts w:ascii="宋体" w:hAnsi="宋体" w:cs="FZFSK--GBK1-0"/>
                <w:color w:val="000000"/>
                <w:kern w:val="0"/>
                <w:szCs w:val="21"/>
              </w:rPr>
            </w:pPr>
            <w:r>
              <w:rPr>
                <w:rFonts w:ascii="宋体" w:hAnsi="宋体"/>
                <w:color w:val="000000"/>
                <w:szCs w:val="21"/>
              </w:rPr>
              <w:t>公布进城务工人员随迁子女参加中考、高考的报考条件</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53</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widowControl/>
              <w:spacing w:line="260" w:lineRule="exact"/>
              <w:rPr>
                <w:rFonts w:ascii="宋体" w:hAnsi="宋体" w:cs="FZFSK--GBK1-0"/>
                <w:color w:val="000000"/>
                <w:kern w:val="0"/>
                <w:szCs w:val="21"/>
              </w:rPr>
            </w:pPr>
            <w:r>
              <w:rPr>
                <w:rFonts w:ascii="宋体" w:hAnsi="宋体"/>
                <w:color w:val="000000"/>
                <w:szCs w:val="21"/>
              </w:rPr>
              <w:t>针对部分适龄儿童或少年延缓入学、休学或自行实施义务教育等特殊需求，做好政策解读工作</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54</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widowControl/>
              <w:tabs>
                <w:tab w:val="left" w:pos="4570"/>
              </w:tabs>
              <w:spacing w:line="260" w:lineRule="exact"/>
              <w:rPr>
                <w:rFonts w:ascii="宋体" w:hAnsi="宋体" w:cs="FZFSK--GBK1-0"/>
                <w:color w:val="000000"/>
                <w:kern w:val="0"/>
                <w:szCs w:val="21"/>
              </w:rPr>
            </w:pPr>
            <w:r>
              <w:rPr>
                <w:rFonts w:ascii="宋体" w:hAnsi="宋体"/>
                <w:color w:val="000000"/>
                <w:szCs w:val="21"/>
              </w:rPr>
              <w:t>推动</w:t>
            </w:r>
            <w:r>
              <w:rPr>
                <w:rFonts w:hint="eastAsia" w:ascii="宋体" w:hAnsi="宋体"/>
                <w:color w:val="000000"/>
                <w:szCs w:val="21"/>
                <w:lang w:eastAsia="zh-CN"/>
              </w:rPr>
              <w:t>学</w:t>
            </w:r>
            <w:r>
              <w:rPr>
                <w:rFonts w:ascii="宋体" w:hAnsi="宋体"/>
                <w:color w:val="000000"/>
                <w:szCs w:val="21"/>
              </w:rPr>
              <w:t>校财务信息公开，主动公开预决算信息，高校收费项目、依据、标准与投诉方式，资产与财务管理制度，仪器设备、图书、药品等物资设备采购和重大基建工程的招投标以及学生奖助学金、学费减免、助学贷款与勤工俭学的申请、发放情况和管理规定，公务出国情况等</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55</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widowControl/>
              <w:spacing w:line="260" w:lineRule="exact"/>
              <w:rPr>
                <w:rFonts w:ascii="宋体" w:hAnsi="宋体" w:cs="FZFSK--GBK1-0"/>
                <w:color w:val="000000"/>
                <w:kern w:val="0"/>
                <w:szCs w:val="21"/>
              </w:rPr>
            </w:pPr>
            <w:r>
              <w:rPr>
                <w:rFonts w:ascii="宋体" w:hAnsi="宋体"/>
                <w:color w:val="000000"/>
                <w:szCs w:val="21"/>
              </w:rPr>
              <w:t>继续做好推进义务教育划片工作程序、内容、结果，进城务工人员随迁子女入学办法、入学流程、证件要求和办理方式公开，接受社会监督</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56</w:t>
            </w:r>
          </w:p>
        </w:tc>
        <w:tc>
          <w:tcPr>
            <w:tcW w:w="878" w:type="dxa"/>
            <w:vMerge w:val="continue"/>
            <w:vAlign w:val="center"/>
          </w:tcPr>
          <w:p>
            <w:pPr>
              <w:pStyle w:val="4"/>
              <w:jc w:val="both"/>
              <w:rPr>
                <w:color w:val="000000"/>
                <w:sz w:val="21"/>
                <w:szCs w:val="21"/>
              </w:rPr>
            </w:pPr>
          </w:p>
        </w:tc>
        <w:tc>
          <w:tcPr>
            <w:tcW w:w="1410" w:type="dxa"/>
            <w:vMerge w:val="restart"/>
            <w:vAlign w:val="center"/>
          </w:tcPr>
          <w:p>
            <w:pPr>
              <w:pStyle w:val="4"/>
              <w:jc w:val="both"/>
              <w:rPr>
                <w:color w:val="000000"/>
                <w:sz w:val="21"/>
                <w:szCs w:val="21"/>
              </w:rPr>
            </w:pPr>
            <w:r>
              <w:rPr>
                <w:color w:val="000000"/>
                <w:sz w:val="21"/>
                <w:szCs w:val="21"/>
              </w:rPr>
              <w:t>推进教育卫生计生领域信息公开</w:t>
            </w:r>
          </w:p>
        </w:tc>
        <w:tc>
          <w:tcPr>
            <w:tcW w:w="7267" w:type="dxa"/>
            <w:vAlign w:val="center"/>
          </w:tcPr>
          <w:p>
            <w:pPr>
              <w:pStyle w:val="4"/>
              <w:spacing w:line="260" w:lineRule="exact"/>
              <w:jc w:val="both"/>
              <w:rPr>
                <w:color w:val="000000"/>
                <w:sz w:val="21"/>
                <w:szCs w:val="21"/>
              </w:rPr>
            </w:pPr>
            <w:r>
              <w:rPr>
                <w:color w:val="000000"/>
                <w:sz w:val="21"/>
                <w:szCs w:val="21"/>
              </w:rPr>
              <w:t>推行卫生计生重大民生决策事项民意调查制度。建立医德医风建设、违规违纪处理结果公开机制，提升群众就医感受</w:t>
            </w:r>
            <w:r>
              <w:rPr>
                <w:rFonts w:hint="eastAsia"/>
                <w:color w:val="000000"/>
                <w:sz w:val="21"/>
                <w:szCs w:val="21"/>
              </w:rPr>
              <w:t>。</w:t>
            </w:r>
          </w:p>
        </w:tc>
        <w:tc>
          <w:tcPr>
            <w:tcW w:w="2520" w:type="dxa"/>
            <w:vMerge w:val="restart"/>
            <w:vAlign w:val="center"/>
          </w:tcPr>
          <w:p>
            <w:pPr>
              <w:pStyle w:val="4"/>
              <w:jc w:val="both"/>
              <w:rPr>
                <w:rFonts w:hint="eastAsia"/>
                <w:color w:val="000000"/>
                <w:sz w:val="21"/>
                <w:szCs w:val="21"/>
              </w:rPr>
            </w:pPr>
            <w:r>
              <w:rPr>
                <w:rFonts w:hint="eastAsia"/>
                <w:color w:val="000000"/>
                <w:sz w:val="21"/>
                <w:szCs w:val="21"/>
                <w:lang w:eastAsia="zh-CN"/>
              </w:rPr>
              <w:t>县卫计局</w:t>
            </w:r>
            <w:r>
              <w:rPr>
                <w:color w:val="000000"/>
                <w:sz w:val="21"/>
                <w:szCs w:val="21"/>
              </w:rPr>
              <w:t>牵头落实</w:t>
            </w:r>
          </w:p>
        </w:tc>
        <w:tc>
          <w:tcPr>
            <w:tcW w:w="1575" w:type="dxa"/>
            <w:vAlign w:val="center"/>
          </w:tcPr>
          <w:p>
            <w:pPr>
              <w:pStyle w:val="4"/>
              <w:spacing w:line="240" w:lineRule="exact"/>
              <w:jc w:val="both"/>
              <w:rPr>
                <w:color w:val="000000"/>
                <w:sz w:val="21"/>
                <w:szCs w:val="21"/>
              </w:rPr>
            </w:pPr>
            <w:r>
              <w:rPr>
                <w:rFonts w:hint="eastAsia"/>
                <w:color w:val="000000"/>
                <w:sz w:val="21"/>
                <w:szCs w:val="21"/>
              </w:rPr>
              <w:t>2017年11月</w:t>
            </w:r>
            <w:r>
              <w:rPr>
                <w:rFonts w:hint="eastAsia"/>
                <w:color w:val="000000"/>
                <w:sz w:val="21"/>
                <w:szCs w:val="21"/>
                <w:lang w:eastAsia="zh-CN"/>
              </w:rPr>
              <w:t>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03" w:type="dxa"/>
            <w:vAlign w:val="center"/>
          </w:tcPr>
          <w:p>
            <w:pPr>
              <w:pStyle w:val="4"/>
              <w:jc w:val="center"/>
              <w:rPr>
                <w:rFonts w:hint="eastAsia" w:eastAsia="宋体" w:cs="Times New Roman"/>
                <w:color w:val="000000"/>
                <w:sz w:val="21"/>
                <w:szCs w:val="21"/>
                <w:lang w:val="en-US" w:eastAsia="zh-CN"/>
              </w:rPr>
            </w:pPr>
            <w:r>
              <w:rPr>
                <w:rFonts w:hint="eastAsia" w:cs="Times New Roman"/>
                <w:color w:val="000000"/>
                <w:sz w:val="21"/>
                <w:szCs w:val="21"/>
                <w:lang w:val="en-US" w:eastAsia="zh-CN"/>
              </w:rPr>
              <w:t>57</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widowControl/>
              <w:tabs>
                <w:tab w:val="left" w:pos="2016"/>
              </w:tabs>
              <w:spacing w:line="260" w:lineRule="exact"/>
              <w:rPr>
                <w:rFonts w:ascii="宋体" w:hAnsi="宋体" w:cs="FZFSK--GBK1-0"/>
                <w:color w:val="000000"/>
                <w:szCs w:val="21"/>
              </w:rPr>
            </w:pPr>
            <w:r>
              <w:rPr>
                <w:rFonts w:ascii="宋体" w:hAnsi="宋体"/>
                <w:color w:val="000000"/>
                <w:szCs w:val="21"/>
              </w:rPr>
              <w:t>做好院务公开和改善医疗服务行动计划落实情况公开工作，指导区域内医疗机构公开常规医疗服务价格、常用药品和主要医用耗材价格信息</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Align w:val="center"/>
          </w:tcPr>
          <w:p>
            <w:pPr>
              <w:pStyle w:val="2"/>
              <w:spacing w:line="240" w:lineRule="exact"/>
              <w:jc w:val="both"/>
              <w:rPr>
                <w:rFonts w:cs="FZFSK--GBK1-0"/>
                <w:color w:val="000000"/>
                <w:sz w:val="21"/>
                <w:szCs w:val="21"/>
              </w:rPr>
            </w:pPr>
            <w:r>
              <w:rPr>
                <w:rFonts w:hint="eastAsia" w:cs="FZFSK--GBK1-0"/>
                <w:color w:val="000000"/>
                <w:sz w:val="21"/>
                <w:szCs w:val="21"/>
              </w:rPr>
              <w:t>按月度、季度公布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58</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widowControl/>
              <w:tabs>
                <w:tab w:val="left" w:pos="2279"/>
              </w:tabs>
              <w:spacing w:line="260" w:lineRule="exact"/>
              <w:rPr>
                <w:rFonts w:ascii="宋体" w:hAnsi="宋体" w:cs="FZFSK--GBK1-0"/>
                <w:color w:val="000000"/>
                <w:szCs w:val="21"/>
              </w:rPr>
            </w:pPr>
            <w:r>
              <w:rPr>
                <w:rFonts w:ascii="宋体" w:hAnsi="宋体"/>
                <w:color w:val="000000"/>
                <w:szCs w:val="21"/>
              </w:rPr>
              <w:t>根据职责权限公开法定传染病疫情及防控信息，每月定期或不定期向社会发布法定传染病疫情信息</w:t>
            </w:r>
            <w:r>
              <w:rPr>
                <w:rFonts w:hint="eastAsia" w:ascii="宋体" w:hAnsi="宋体"/>
                <w:color w:val="000000"/>
                <w:szCs w:val="21"/>
              </w:rPr>
              <w:t>，</w:t>
            </w:r>
            <w:r>
              <w:rPr>
                <w:rFonts w:ascii="宋体" w:hAnsi="宋体"/>
                <w:color w:val="000000"/>
                <w:szCs w:val="21"/>
              </w:rPr>
              <w:t>做好传染病防控信息发布</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Align w:val="center"/>
          </w:tcPr>
          <w:p>
            <w:pPr>
              <w:pStyle w:val="2"/>
              <w:spacing w:line="240" w:lineRule="exact"/>
              <w:jc w:val="both"/>
              <w:rPr>
                <w:color w:val="000000"/>
                <w:sz w:val="21"/>
                <w:szCs w:val="21"/>
              </w:rPr>
            </w:pPr>
            <w:r>
              <w:rPr>
                <w:rFonts w:hint="eastAsia"/>
                <w:color w:val="000000"/>
                <w:sz w:val="21"/>
                <w:szCs w:val="21"/>
              </w:rPr>
              <w:t>2017年11月</w:t>
            </w:r>
            <w:r>
              <w:rPr>
                <w:rFonts w:hint="eastAsia"/>
                <w:color w:val="000000"/>
                <w:sz w:val="21"/>
                <w:szCs w:val="21"/>
                <w:lang w:eastAsia="zh-CN"/>
              </w:rPr>
              <w:t>中旬</w:t>
            </w:r>
            <w:r>
              <w:rPr>
                <w:rFonts w:hint="eastAsia"/>
                <w:color w:val="000000"/>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59</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widowControl/>
              <w:tabs>
                <w:tab w:val="left" w:pos="4270"/>
              </w:tabs>
              <w:spacing w:line="260" w:lineRule="exact"/>
              <w:rPr>
                <w:rFonts w:ascii="宋体" w:hAnsi="宋体" w:cs="FZFSK--GBK1-0"/>
                <w:color w:val="000000"/>
                <w:kern w:val="0"/>
                <w:szCs w:val="21"/>
              </w:rPr>
            </w:pPr>
            <w:r>
              <w:rPr>
                <w:rFonts w:ascii="宋体" w:hAnsi="宋体"/>
                <w:color w:val="000000"/>
                <w:szCs w:val="21"/>
              </w:rPr>
              <w:t>创新医疗机构院务公开形式，加大医疗微信公众号等平台建设，推行网上在线挂号、收费，缓解患者挂号、收费排队等问题</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restart"/>
            <w:vAlign w:val="center"/>
          </w:tcPr>
          <w:p>
            <w:pPr>
              <w:pStyle w:val="4"/>
              <w:jc w:val="center"/>
              <w:rPr>
                <w:rFonts w:hint="eastAsia"/>
                <w:color w:val="000000"/>
                <w:sz w:val="21"/>
                <w:szCs w:val="21"/>
              </w:rPr>
            </w:pPr>
            <w:r>
              <w:rPr>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60</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widowControl/>
              <w:tabs>
                <w:tab w:val="left" w:pos="2054"/>
              </w:tabs>
              <w:spacing w:line="260" w:lineRule="exact"/>
              <w:rPr>
                <w:rFonts w:ascii="宋体" w:hAnsi="宋体" w:cs="FZFSK--GBK1-0"/>
                <w:color w:val="000000"/>
                <w:spacing w:val="-4"/>
                <w:kern w:val="0"/>
                <w:szCs w:val="21"/>
              </w:rPr>
            </w:pPr>
            <w:r>
              <w:rPr>
                <w:rFonts w:ascii="宋体" w:hAnsi="宋体"/>
                <w:color w:val="000000"/>
                <w:spacing w:val="-4"/>
                <w:szCs w:val="21"/>
              </w:rPr>
              <w:t>加大养老服务信息公开力度</w:t>
            </w:r>
            <w:r>
              <w:rPr>
                <w:rFonts w:hint="eastAsia" w:ascii="宋体" w:hAnsi="宋体"/>
                <w:color w:val="000000"/>
                <w:spacing w:val="-4"/>
                <w:szCs w:val="21"/>
              </w:rPr>
              <w:t>，</w:t>
            </w:r>
            <w:r>
              <w:rPr>
                <w:rFonts w:ascii="宋体" w:hAnsi="宋体"/>
                <w:color w:val="000000"/>
                <w:spacing w:val="-4"/>
                <w:szCs w:val="21"/>
              </w:rPr>
              <w:t>及时发布养老服务实事项目进展情况、老年人口状况和老龄事业发展情况，做好养老服务补贴政策调整等信息公开工作</w:t>
            </w:r>
            <w:r>
              <w:rPr>
                <w:rFonts w:hint="eastAsia" w:ascii="宋体" w:hAnsi="宋体"/>
                <w:color w:val="000000"/>
                <w:spacing w:val="-4"/>
                <w:szCs w:val="21"/>
              </w:rPr>
              <w:t>。</w:t>
            </w:r>
          </w:p>
        </w:tc>
        <w:tc>
          <w:tcPr>
            <w:tcW w:w="2520" w:type="dxa"/>
            <w:vAlign w:val="center"/>
          </w:tcPr>
          <w:p>
            <w:pPr>
              <w:autoSpaceDE w:val="0"/>
              <w:autoSpaceDN w:val="0"/>
              <w:adjustRightInd w:val="0"/>
              <w:rPr>
                <w:rFonts w:ascii="宋体" w:hAnsi="宋体" w:cs="FZFSK--GBK1-0"/>
                <w:color w:val="000000"/>
                <w:kern w:val="0"/>
                <w:szCs w:val="21"/>
              </w:rPr>
            </w:pPr>
            <w:r>
              <w:rPr>
                <w:rFonts w:hint="eastAsia" w:ascii="宋体" w:hAnsi="宋体"/>
                <w:color w:val="000000"/>
                <w:szCs w:val="21"/>
                <w:lang w:eastAsia="zh-CN"/>
              </w:rPr>
              <w:t>县</w:t>
            </w:r>
            <w:r>
              <w:rPr>
                <w:rFonts w:ascii="宋体" w:hAnsi="宋体"/>
                <w:color w:val="000000"/>
                <w:szCs w:val="21"/>
              </w:rPr>
              <w:t>民政</w:t>
            </w:r>
            <w:r>
              <w:rPr>
                <w:rFonts w:hint="eastAsia" w:ascii="宋体" w:hAnsi="宋体"/>
                <w:color w:val="000000"/>
                <w:szCs w:val="21"/>
              </w:rPr>
              <w:t>局</w:t>
            </w:r>
            <w:r>
              <w:rPr>
                <w:rFonts w:ascii="宋体" w:hAnsi="宋体"/>
                <w:color w:val="000000"/>
                <w:szCs w:val="21"/>
              </w:rPr>
              <w:t>牵头落实</w:t>
            </w: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61</w:t>
            </w:r>
          </w:p>
        </w:tc>
        <w:tc>
          <w:tcPr>
            <w:tcW w:w="878" w:type="dxa"/>
            <w:vMerge w:val="continue"/>
            <w:vAlign w:val="center"/>
          </w:tcPr>
          <w:p>
            <w:pPr>
              <w:pStyle w:val="4"/>
              <w:jc w:val="both"/>
              <w:rPr>
                <w:color w:val="000000"/>
                <w:sz w:val="21"/>
                <w:szCs w:val="21"/>
              </w:rPr>
            </w:pPr>
          </w:p>
        </w:tc>
        <w:tc>
          <w:tcPr>
            <w:tcW w:w="1410" w:type="dxa"/>
            <w:vMerge w:val="restart"/>
            <w:vAlign w:val="center"/>
          </w:tcPr>
          <w:p>
            <w:pPr>
              <w:pStyle w:val="4"/>
              <w:jc w:val="both"/>
              <w:rPr>
                <w:color w:val="000000"/>
                <w:sz w:val="21"/>
                <w:szCs w:val="21"/>
              </w:rPr>
            </w:pPr>
            <w:r>
              <w:rPr>
                <w:color w:val="000000"/>
                <w:sz w:val="21"/>
                <w:szCs w:val="21"/>
              </w:rPr>
              <w:t>推进食品药品安全领域信息公开</w:t>
            </w:r>
          </w:p>
        </w:tc>
        <w:tc>
          <w:tcPr>
            <w:tcW w:w="7267" w:type="dxa"/>
            <w:vAlign w:val="center"/>
          </w:tcPr>
          <w:p>
            <w:pPr>
              <w:widowControl/>
              <w:tabs>
                <w:tab w:val="left" w:pos="2079"/>
              </w:tabs>
              <w:spacing w:line="260" w:lineRule="exact"/>
              <w:rPr>
                <w:rFonts w:ascii="宋体" w:hAnsi="宋体"/>
                <w:color w:val="000000"/>
                <w:szCs w:val="21"/>
              </w:rPr>
            </w:pPr>
            <w:r>
              <w:rPr>
                <w:rFonts w:ascii="宋体" w:hAnsi="宋体"/>
                <w:color w:val="000000"/>
                <w:szCs w:val="21"/>
              </w:rPr>
              <w:t>做好食品安全地方标准和食品安全企业标准的有关文本公开，继续加强食品安全标准的宣传贯彻</w:t>
            </w:r>
            <w:r>
              <w:rPr>
                <w:rFonts w:hint="eastAsia" w:ascii="宋体" w:hAnsi="宋体"/>
                <w:color w:val="000000"/>
                <w:szCs w:val="21"/>
              </w:rPr>
              <w:t>。</w:t>
            </w:r>
          </w:p>
        </w:tc>
        <w:tc>
          <w:tcPr>
            <w:tcW w:w="2520" w:type="dxa"/>
            <w:vMerge w:val="restart"/>
            <w:vAlign w:val="center"/>
          </w:tcPr>
          <w:p>
            <w:pPr>
              <w:pStyle w:val="4"/>
              <w:jc w:val="both"/>
              <w:rPr>
                <w:rFonts w:hint="eastAsia"/>
                <w:color w:val="000000"/>
                <w:sz w:val="21"/>
                <w:szCs w:val="21"/>
              </w:rPr>
            </w:pPr>
            <w:r>
              <w:rPr>
                <w:rFonts w:hint="eastAsia" w:ascii="宋体" w:hAnsi="宋体"/>
                <w:color w:val="000000"/>
                <w:sz w:val="21"/>
                <w:szCs w:val="21"/>
                <w:lang w:eastAsia="zh-CN"/>
              </w:rPr>
              <w:t>县市场监督管理局</w:t>
            </w:r>
            <w:r>
              <w:rPr>
                <w:rFonts w:ascii="宋体" w:hAnsi="宋体"/>
                <w:color w:val="000000"/>
                <w:sz w:val="21"/>
                <w:szCs w:val="21"/>
              </w:rPr>
              <w:t>牵头落实</w:t>
            </w:r>
          </w:p>
        </w:tc>
        <w:tc>
          <w:tcPr>
            <w:tcW w:w="1575" w:type="dxa"/>
            <w:vMerge w:val="restart"/>
            <w:vAlign w:val="center"/>
          </w:tcPr>
          <w:p>
            <w:pPr>
              <w:pStyle w:val="4"/>
              <w:jc w:val="center"/>
              <w:rPr>
                <w:rFonts w:hint="eastAsia"/>
                <w:color w:val="000000"/>
                <w:sz w:val="21"/>
                <w:szCs w:val="21"/>
              </w:rPr>
            </w:pPr>
            <w:r>
              <w:rPr>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62</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widowControl/>
              <w:tabs>
                <w:tab w:val="left" w:pos="1828"/>
              </w:tabs>
              <w:spacing w:line="260" w:lineRule="exact"/>
              <w:rPr>
                <w:rFonts w:ascii="宋体" w:hAnsi="宋体"/>
                <w:color w:val="000000"/>
                <w:szCs w:val="21"/>
              </w:rPr>
            </w:pPr>
            <w:r>
              <w:rPr>
                <w:rFonts w:ascii="宋体" w:hAnsi="宋体"/>
                <w:color w:val="000000"/>
                <w:szCs w:val="21"/>
              </w:rPr>
              <w:t>加强食品药品监管部门网站行政处罚案件信息公开专栏建设与内容保障</w:t>
            </w:r>
            <w:r>
              <w:rPr>
                <w:rFonts w:hint="eastAsia" w:ascii="宋体" w:hAnsi="宋体"/>
                <w:color w:val="000000"/>
                <w:szCs w:val="21"/>
              </w:rPr>
              <w:t>，</w:t>
            </w:r>
            <w:r>
              <w:rPr>
                <w:rFonts w:ascii="宋体" w:hAnsi="宋体"/>
                <w:color w:val="000000"/>
                <w:szCs w:val="21"/>
              </w:rPr>
              <w:t>采取“曝光台”“黑名单”等形式加大违法违纪曝光力度，实时公开有关行政处罚案件处理情况信息</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63</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Cs w:val="21"/>
              </w:rPr>
            </w:pPr>
          </w:p>
        </w:tc>
        <w:tc>
          <w:tcPr>
            <w:tcW w:w="7267" w:type="dxa"/>
            <w:vAlign w:val="center"/>
          </w:tcPr>
          <w:p>
            <w:pPr>
              <w:pStyle w:val="4"/>
              <w:spacing w:line="260" w:lineRule="exact"/>
              <w:jc w:val="both"/>
              <w:rPr>
                <w:color w:val="000000"/>
                <w:sz w:val="21"/>
                <w:szCs w:val="21"/>
              </w:rPr>
            </w:pPr>
            <w:r>
              <w:rPr>
                <w:color w:val="000000"/>
                <w:sz w:val="21"/>
                <w:szCs w:val="21"/>
              </w:rPr>
              <w:t>加大食品药品监管和食品药品安全违法行为处罚信息公开</w:t>
            </w:r>
            <w:r>
              <w:rPr>
                <w:rFonts w:hint="eastAsia"/>
                <w:color w:val="000000"/>
                <w:sz w:val="21"/>
                <w:szCs w:val="21"/>
              </w:rPr>
              <w:t>。</w:t>
            </w:r>
          </w:p>
        </w:tc>
        <w:tc>
          <w:tcPr>
            <w:tcW w:w="2520" w:type="dxa"/>
            <w:vMerge w:val="continue"/>
            <w:vAlign w:val="center"/>
          </w:tcPr>
          <w:p>
            <w:pPr>
              <w:pStyle w:val="4"/>
              <w:jc w:val="both"/>
              <w:rPr>
                <w:rFonts w:hint="eastAsia"/>
                <w:color w:val="000000"/>
                <w:sz w:val="21"/>
                <w:szCs w:val="21"/>
              </w:rPr>
            </w:pPr>
          </w:p>
        </w:tc>
        <w:tc>
          <w:tcPr>
            <w:tcW w:w="1575" w:type="dxa"/>
            <w:vAlign w:val="center"/>
          </w:tcPr>
          <w:p>
            <w:pPr>
              <w:pStyle w:val="4"/>
              <w:jc w:val="center"/>
              <w:rPr>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64</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widowControl/>
              <w:tabs>
                <w:tab w:val="left" w:pos="2016"/>
              </w:tabs>
              <w:spacing w:line="260" w:lineRule="exact"/>
              <w:rPr>
                <w:rFonts w:ascii="宋体" w:hAnsi="宋体" w:cs="FZFSK--GBK1-0"/>
                <w:color w:val="000000"/>
                <w:spacing w:val="-6"/>
                <w:szCs w:val="21"/>
              </w:rPr>
            </w:pPr>
            <w:r>
              <w:rPr>
                <w:rFonts w:ascii="宋体" w:hAnsi="宋体"/>
                <w:color w:val="000000"/>
                <w:spacing w:val="-6"/>
                <w:szCs w:val="21"/>
                <w:lang w:bidi="ar-SA"/>
              </w:rPr>
              <mc:AlternateContent>
                <mc:Choice Requires="wps">
                  <w:drawing>
                    <wp:anchor distT="0" distB="0" distL="114300" distR="114300" simplePos="0" relativeHeight="251668480" behindDoc="0" locked="0" layoutInCell="1" allowOverlap="1">
                      <wp:simplePos x="0" y="0"/>
                      <wp:positionH relativeFrom="column">
                        <wp:posOffset>-2733675</wp:posOffset>
                      </wp:positionH>
                      <wp:positionV relativeFrom="paragraph">
                        <wp:posOffset>-66040</wp:posOffset>
                      </wp:positionV>
                      <wp:extent cx="466725" cy="891540"/>
                      <wp:effectExtent l="4445" t="4445" r="5080" b="18415"/>
                      <wp:wrapNone/>
                      <wp:docPr id="10" name="文本框 7"/>
                      <wp:cNvGraphicFramePr/>
                      <a:graphic xmlns:a="http://schemas.openxmlformats.org/drawingml/2006/main">
                        <a:graphicData uri="http://schemas.microsoft.com/office/word/2010/wordprocessingShape">
                          <wps:wsp>
                            <wps:cNvSpPr txBox="1"/>
                            <wps:spPr>
                              <a:xfrm>
                                <a:off x="0" y="0"/>
                                <a:ext cx="466725" cy="8915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80" w:lineRule="exact"/>
                                  </w:pPr>
                                </w:p>
                                <w:p/>
                              </w:txbxContent>
                            </wps:txbx>
                            <wps:bodyPr vert="eaVert" upright="1"/>
                          </wps:wsp>
                        </a:graphicData>
                      </a:graphic>
                    </wp:anchor>
                  </w:drawing>
                </mc:Choice>
                <mc:Fallback>
                  <w:pict>
                    <v:shape id="文本框 7" o:spid="_x0000_s1026" o:spt="202" type="#_x0000_t202" style="position:absolute;left:0pt;margin-left:-215.25pt;margin-top:-5.2pt;height:70.2pt;width:36.75pt;z-index:251668480;mso-width-relative:page;mso-height-relative:page;" fillcolor="#FFFFFF" filled="t" stroked="t" coordsize="21600,21600" o:gfxdata="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Auvmn2AAAAA0BAAAPAAAAAAAAAAEAIAAA&#10;ADgAAABkcnMvZG93bnJldi54bWxQSwECFAAUAAAACACHTuJAK8ZQRPYBAAD2AwAADgAAAAAAAAAB&#10;ACAAAAA9AQAAZHJzL2Uyb0RvYy54bWxQSwUGAAAAAAYABgBZAQAApQUAAAAA&#10;">
                      <v:fill on="t" focussize="0,0"/>
                      <v:stroke color="#FFFFFF" joinstyle="miter"/>
                      <v:imagedata o:title=""/>
                      <o:lock v:ext="edit" aspectratio="f"/>
                      <v:textbox style="layout-flow:vertical-ideographic;">
                        <w:txbxContent>
                          <w:p>
                            <w:pPr>
                              <w:spacing w:line="480" w:lineRule="exact"/>
                            </w:pPr>
                          </w:p>
                          <w:p/>
                        </w:txbxContent>
                      </v:textbox>
                    </v:shape>
                  </w:pict>
                </mc:Fallback>
              </mc:AlternateContent>
            </w:r>
            <w:r>
              <w:rPr>
                <w:rFonts w:ascii="宋体" w:hAnsi="宋体"/>
                <w:color w:val="000000"/>
                <w:spacing w:val="-6"/>
                <w:szCs w:val="21"/>
              </w:rPr>
              <w:t>定期公布食品药品抽检信息总体情况、发现的主要问题和核查处置情况。重点公开食品药品抽检数量、对抽检食品药品的具体购置费用或无偿提供情况</w:t>
            </w:r>
            <w:r>
              <w:rPr>
                <w:rFonts w:hint="eastAsia" w:ascii="宋体" w:hAnsi="宋体"/>
                <w:color w:val="000000"/>
                <w:spacing w:val="-6"/>
                <w:szCs w:val="21"/>
              </w:rPr>
              <w:t>。</w:t>
            </w:r>
          </w:p>
        </w:tc>
        <w:tc>
          <w:tcPr>
            <w:tcW w:w="2520" w:type="dxa"/>
            <w:vMerge w:val="continue"/>
            <w:vAlign w:val="center"/>
          </w:tcPr>
          <w:p>
            <w:pPr>
              <w:pStyle w:val="4"/>
              <w:jc w:val="both"/>
              <w:rPr>
                <w:rFonts w:hint="eastAsia"/>
                <w:color w:val="000000"/>
                <w:sz w:val="21"/>
                <w:szCs w:val="21"/>
              </w:rPr>
            </w:pPr>
          </w:p>
        </w:tc>
        <w:tc>
          <w:tcPr>
            <w:tcW w:w="1575" w:type="dxa"/>
            <w:vAlign w:val="center"/>
          </w:tcPr>
          <w:p>
            <w:pPr>
              <w:pStyle w:val="2"/>
              <w:spacing w:line="240" w:lineRule="exact"/>
              <w:jc w:val="both"/>
              <w:rPr>
                <w:rFonts w:cs="FZFSK--GBK1-0"/>
                <w:color w:val="000000"/>
                <w:sz w:val="21"/>
                <w:szCs w:val="21"/>
              </w:rPr>
            </w:pPr>
            <w:r>
              <w:rPr>
                <w:rFonts w:hint="eastAsia" w:cs="FZFSK--GBK1-0"/>
                <w:color w:val="000000"/>
                <w:sz w:val="21"/>
                <w:szCs w:val="21"/>
              </w:rPr>
              <w:t>按月度、季度公布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65</w:t>
            </w:r>
          </w:p>
        </w:tc>
        <w:tc>
          <w:tcPr>
            <w:tcW w:w="878" w:type="dxa"/>
            <w:vMerge w:val="restart"/>
            <w:vAlign w:val="center"/>
          </w:tcPr>
          <w:p>
            <w:pPr>
              <w:pStyle w:val="4"/>
              <w:spacing w:line="240" w:lineRule="exact"/>
              <w:jc w:val="both"/>
              <w:rPr>
                <w:color w:val="000000"/>
                <w:sz w:val="21"/>
                <w:szCs w:val="21"/>
              </w:rPr>
            </w:pPr>
            <w:r>
              <w:rPr>
                <w:color w:val="000000"/>
                <w:sz w:val="21"/>
                <w:szCs w:val="21"/>
              </w:rPr>
              <w:t>以政务公开助力惠民生</w:t>
            </w:r>
          </w:p>
        </w:tc>
        <w:tc>
          <w:tcPr>
            <w:tcW w:w="1410" w:type="dxa"/>
            <w:vMerge w:val="restart"/>
            <w:vAlign w:val="center"/>
          </w:tcPr>
          <w:p>
            <w:pPr>
              <w:pStyle w:val="4"/>
              <w:spacing w:line="240" w:lineRule="exact"/>
              <w:jc w:val="both"/>
              <w:rPr>
                <w:color w:val="000000"/>
                <w:sz w:val="21"/>
                <w:szCs w:val="21"/>
              </w:rPr>
            </w:pPr>
            <w:r>
              <w:rPr>
                <w:color w:val="000000"/>
                <w:sz w:val="21"/>
                <w:szCs w:val="21"/>
              </w:rPr>
              <w:t>推进食品药品安全领域信息公开</w:t>
            </w:r>
          </w:p>
        </w:tc>
        <w:tc>
          <w:tcPr>
            <w:tcW w:w="7267" w:type="dxa"/>
            <w:vAlign w:val="center"/>
          </w:tcPr>
          <w:p>
            <w:pPr>
              <w:widowControl/>
              <w:tabs>
                <w:tab w:val="left" w:pos="2392"/>
              </w:tabs>
              <w:spacing w:line="260" w:lineRule="exact"/>
              <w:rPr>
                <w:rFonts w:ascii="宋体" w:hAnsi="宋体" w:cs="FZFSK--GBK1-0"/>
                <w:color w:val="000000"/>
                <w:szCs w:val="21"/>
              </w:rPr>
            </w:pPr>
            <w:r>
              <w:rPr>
                <w:rFonts w:ascii="宋体" w:hAnsi="宋体"/>
                <w:color w:val="000000"/>
                <w:szCs w:val="21"/>
                <w:lang w:bidi="ar-SA"/>
              </w:rPr>
              <mc:AlternateContent>
                <mc:Choice Requires="wps">
                  <w:drawing>
                    <wp:anchor distT="0" distB="0" distL="114300" distR="114300" simplePos="0" relativeHeight="251665408" behindDoc="0" locked="0" layoutInCell="1" allowOverlap="1">
                      <wp:simplePos x="0" y="0"/>
                      <wp:positionH relativeFrom="column">
                        <wp:posOffset>-2733675</wp:posOffset>
                      </wp:positionH>
                      <wp:positionV relativeFrom="paragraph">
                        <wp:posOffset>-86995</wp:posOffset>
                      </wp:positionV>
                      <wp:extent cx="466725" cy="891540"/>
                      <wp:effectExtent l="4445" t="4445" r="5080" b="18415"/>
                      <wp:wrapNone/>
                      <wp:docPr id="11" name="文本框 8"/>
                      <wp:cNvGraphicFramePr/>
                      <a:graphic xmlns:a="http://schemas.openxmlformats.org/drawingml/2006/main">
                        <a:graphicData uri="http://schemas.microsoft.com/office/word/2010/wordprocessingShape">
                          <wps:wsp>
                            <wps:cNvSpPr txBox="1"/>
                            <wps:spPr>
                              <a:xfrm>
                                <a:off x="0" y="0"/>
                                <a:ext cx="466725" cy="8915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80" w:lineRule="exact"/>
                                  </w:pPr>
                                </w:p>
                                <w:p/>
                              </w:txbxContent>
                            </wps:txbx>
                            <wps:bodyPr vert="eaVert" upright="1"/>
                          </wps:wsp>
                        </a:graphicData>
                      </a:graphic>
                    </wp:anchor>
                  </w:drawing>
                </mc:Choice>
                <mc:Fallback>
                  <w:pict>
                    <v:shape id="文本框 8" o:spid="_x0000_s1026" o:spt="202" type="#_x0000_t202" style="position:absolute;left:0pt;margin-left:-215.25pt;margin-top:-6.85pt;height:70.2pt;width:36.75pt;z-index:251665408;mso-width-relative:page;mso-height-relative:page;" fillcolor="#FFFFFF" filled="t" stroked="t" coordsize="21600,21600" o:gfxdata="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HDNNaNkAAAANAQAADwAAAAAAAAABACAA&#10;AAA4AAAAZHJzL2Rvd25yZXYueG1sUEsBAhQAFAAAAAgAh07iQLbfcRb2AQAA9gMAAA4AAAAAAAAA&#10;AQAgAAAAPgEAAGRycy9lMm9Eb2MueG1sUEsFBgAAAAAGAAYAWQEAAKYFAAAAAA==&#10;">
                      <v:fill on="t" focussize="0,0"/>
                      <v:stroke color="#FFFFFF" joinstyle="miter"/>
                      <v:imagedata o:title=""/>
                      <o:lock v:ext="edit" aspectratio="f"/>
                      <v:textbox style="layout-flow:vertical-ideographic;">
                        <w:txbxContent>
                          <w:p>
                            <w:pPr>
                              <w:spacing w:line="480" w:lineRule="exact"/>
                            </w:pPr>
                          </w:p>
                          <w:p/>
                        </w:txbxContent>
                      </v:textbox>
                    </v:shape>
                  </w:pict>
                </mc:Fallback>
              </mc:AlternateContent>
            </w:r>
            <w:r>
              <w:rPr>
                <w:rFonts w:ascii="宋体" w:hAnsi="宋体"/>
                <w:color w:val="000000"/>
                <w:szCs w:val="21"/>
              </w:rPr>
              <w:t>加强新媒体发布平台建设，强化食品安全定期常态性抽检信息公开机制，增强公众获取抽检结果、了解食品知识的便利性</w:t>
            </w:r>
            <w:r>
              <w:rPr>
                <w:rFonts w:hint="eastAsia" w:ascii="宋体" w:hAnsi="宋体"/>
                <w:color w:val="000000"/>
                <w:szCs w:val="21"/>
              </w:rPr>
              <w:t>。</w:t>
            </w:r>
          </w:p>
        </w:tc>
        <w:tc>
          <w:tcPr>
            <w:tcW w:w="2520" w:type="dxa"/>
            <w:vMerge w:val="restart"/>
            <w:vAlign w:val="center"/>
          </w:tcPr>
          <w:p>
            <w:pPr>
              <w:pStyle w:val="4"/>
              <w:jc w:val="both"/>
              <w:rPr>
                <w:rFonts w:hint="eastAsia"/>
                <w:color w:val="000000"/>
                <w:sz w:val="21"/>
                <w:szCs w:val="21"/>
              </w:rPr>
            </w:pPr>
            <w:r>
              <w:rPr>
                <w:rFonts w:hint="eastAsia" w:ascii="宋体" w:hAnsi="宋体"/>
                <w:color w:val="000000"/>
                <w:sz w:val="21"/>
                <w:szCs w:val="21"/>
                <w:lang w:eastAsia="zh-CN"/>
              </w:rPr>
              <w:t>县市场监督管理局</w:t>
            </w:r>
            <w:r>
              <w:rPr>
                <w:color w:val="000000"/>
                <w:sz w:val="21"/>
                <w:szCs w:val="21"/>
              </w:rPr>
              <w:t>牵头落实</w:t>
            </w:r>
          </w:p>
        </w:tc>
        <w:tc>
          <w:tcPr>
            <w:tcW w:w="1575" w:type="dxa"/>
            <w:vAlign w:val="center"/>
          </w:tcPr>
          <w:p>
            <w:pPr>
              <w:pStyle w:val="4"/>
              <w:spacing w:line="240" w:lineRule="exact"/>
              <w:jc w:val="both"/>
              <w:rPr>
                <w:rFonts w:hint="eastAsia"/>
                <w:color w:val="000000"/>
                <w:sz w:val="21"/>
                <w:szCs w:val="21"/>
              </w:rPr>
            </w:pPr>
            <w:r>
              <w:rPr>
                <w:rFonts w:hint="eastAsia" w:cs="FZFSK--GBK1-0"/>
                <w:color w:val="000000"/>
                <w:sz w:val="21"/>
                <w:szCs w:val="21"/>
              </w:rPr>
              <w:t>按月度、季度公布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66</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widowControl/>
              <w:tabs>
                <w:tab w:val="left" w:pos="2442"/>
              </w:tabs>
              <w:spacing w:line="260" w:lineRule="exact"/>
              <w:rPr>
                <w:rFonts w:ascii="宋体" w:hAnsi="宋体"/>
                <w:color w:val="000000"/>
                <w:spacing w:val="-6"/>
                <w:kern w:val="0"/>
                <w:szCs w:val="21"/>
              </w:rPr>
            </w:pPr>
            <w:r>
              <w:rPr>
                <w:rFonts w:ascii="宋体" w:hAnsi="宋体"/>
                <w:color w:val="000000"/>
                <w:spacing w:val="-6"/>
                <w:szCs w:val="21"/>
              </w:rPr>
              <w:t>进一步做好药品有关产品召回、停产整顿、收回或撤销证书等信息公开工作</w:t>
            </w:r>
            <w:r>
              <w:rPr>
                <w:rFonts w:hint="eastAsia" w:ascii="宋体" w:hAnsi="宋体"/>
                <w:color w:val="000000"/>
                <w:spacing w:val="-6"/>
                <w:szCs w:val="21"/>
              </w:rPr>
              <w:t>。</w:t>
            </w:r>
          </w:p>
        </w:tc>
        <w:tc>
          <w:tcPr>
            <w:tcW w:w="2520" w:type="dxa"/>
            <w:vMerge w:val="continue"/>
            <w:vAlign w:val="center"/>
          </w:tcPr>
          <w:p>
            <w:pPr>
              <w:pStyle w:val="4"/>
              <w:jc w:val="both"/>
              <w:rPr>
                <w:rFonts w:hint="eastAsia"/>
                <w:color w:val="000000"/>
                <w:sz w:val="21"/>
                <w:szCs w:val="21"/>
              </w:rPr>
            </w:pPr>
          </w:p>
        </w:tc>
        <w:tc>
          <w:tcPr>
            <w:tcW w:w="1575" w:type="dxa"/>
            <w:vMerge w:val="restart"/>
            <w:vAlign w:val="center"/>
          </w:tcPr>
          <w:p>
            <w:pPr>
              <w:pStyle w:val="4"/>
              <w:jc w:val="center"/>
              <w:rPr>
                <w:rFonts w:hint="eastAsia"/>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67</w:t>
            </w:r>
          </w:p>
        </w:tc>
        <w:tc>
          <w:tcPr>
            <w:tcW w:w="878" w:type="dxa"/>
            <w:vMerge w:val="restart"/>
            <w:vAlign w:val="center"/>
          </w:tcPr>
          <w:p>
            <w:pPr>
              <w:pStyle w:val="4"/>
              <w:jc w:val="both"/>
              <w:rPr>
                <w:color w:val="000000"/>
                <w:sz w:val="21"/>
                <w:szCs w:val="21"/>
              </w:rPr>
            </w:pPr>
            <w:r>
              <w:rPr>
                <w:color w:val="000000"/>
                <w:sz w:val="21"/>
                <w:szCs w:val="21"/>
              </w:rPr>
              <w:t>以政务公开助力防风险</w:t>
            </w:r>
          </w:p>
        </w:tc>
        <w:tc>
          <w:tcPr>
            <w:tcW w:w="1410" w:type="dxa"/>
            <w:vMerge w:val="restart"/>
            <w:vAlign w:val="center"/>
          </w:tcPr>
          <w:p>
            <w:pPr>
              <w:pStyle w:val="4"/>
              <w:jc w:val="both"/>
              <w:rPr>
                <w:color w:val="000000"/>
                <w:sz w:val="21"/>
                <w:szCs w:val="21"/>
              </w:rPr>
            </w:pPr>
            <w:r>
              <w:rPr>
                <w:color w:val="000000"/>
                <w:sz w:val="21"/>
                <w:szCs w:val="21"/>
              </w:rPr>
              <w:t>围绕防范金融风险推进公开</w:t>
            </w:r>
          </w:p>
        </w:tc>
        <w:tc>
          <w:tcPr>
            <w:tcW w:w="7267" w:type="dxa"/>
            <w:vAlign w:val="center"/>
          </w:tcPr>
          <w:p>
            <w:pPr>
              <w:widowControl/>
              <w:tabs>
                <w:tab w:val="left" w:pos="2079"/>
              </w:tabs>
              <w:spacing w:line="260" w:lineRule="exact"/>
              <w:rPr>
                <w:rFonts w:ascii="宋体" w:hAnsi="宋体"/>
                <w:color w:val="000000"/>
                <w:szCs w:val="21"/>
              </w:rPr>
            </w:pPr>
            <w:r>
              <w:rPr>
                <w:rFonts w:ascii="宋体" w:hAnsi="宋体"/>
                <w:color w:val="000000"/>
                <w:szCs w:val="21"/>
              </w:rPr>
              <w:t>制定金融领域特别是金融市场有关政策时，在征求意见、对外发布等环节要高度重视政策解读和舆论引导，做到同步联动</w:t>
            </w:r>
            <w:r>
              <w:rPr>
                <w:rFonts w:hint="eastAsia" w:ascii="宋体" w:hAnsi="宋体"/>
                <w:color w:val="000000"/>
                <w:szCs w:val="21"/>
              </w:rPr>
              <w:t>。</w:t>
            </w:r>
          </w:p>
        </w:tc>
        <w:tc>
          <w:tcPr>
            <w:tcW w:w="2520" w:type="dxa"/>
            <w:vMerge w:val="restart"/>
            <w:vAlign w:val="center"/>
          </w:tcPr>
          <w:p>
            <w:pPr>
              <w:autoSpaceDE w:val="0"/>
              <w:autoSpaceDN w:val="0"/>
              <w:adjustRightInd w:val="0"/>
              <w:rPr>
                <w:rFonts w:hint="eastAsia" w:ascii="宋体" w:hAnsi="宋体" w:cs="FZFSK--GBK1-0"/>
                <w:color w:val="000000"/>
                <w:kern w:val="0"/>
                <w:szCs w:val="21"/>
              </w:rPr>
            </w:pPr>
            <w:r>
              <w:rPr>
                <w:rFonts w:hint="eastAsia"/>
                <w:lang w:eastAsia="zh-CN"/>
              </w:rPr>
              <w:t>县财政局</w:t>
            </w:r>
            <w:r>
              <w:rPr>
                <w:rFonts w:hint="eastAsia"/>
              </w:rPr>
              <w:t>、</w:t>
            </w:r>
            <w:r>
              <w:t>公安</w:t>
            </w:r>
            <w:r>
              <w:rPr>
                <w:rFonts w:hint="eastAsia"/>
              </w:rPr>
              <w:t>局</w:t>
            </w:r>
            <w:r>
              <w:t>、</w:t>
            </w:r>
            <w:r>
              <w:rPr>
                <w:rFonts w:hint="eastAsia"/>
                <w:lang w:eastAsia="zh-CN"/>
              </w:rPr>
              <w:t>文旅广体局、</w:t>
            </w:r>
            <w:r>
              <w:t>人民银行</w:t>
            </w:r>
            <w:r>
              <w:rPr>
                <w:rFonts w:hint="eastAsia"/>
                <w:lang w:eastAsia="zh-CN"/>
              </w:rPr>
              <w:t>华宁县</w:t>
            </w:r>
            <w:r>
              <w:t>支行等部门按照职责分工分别牵头</w:t>
            </w:r>
            <w:r>
              <w:rPr>
                <w:rFonts w:hint="eastAsia"/>
                <w:lang w:eastAsia="zh-CN"/>
              </w:rPr>
              <w:t>落</w:t>
            </w:r>
            <w:r>
              <w:t>实</w:t>
            </w: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68</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widowControl/>
              <w:tabs>
                <w:tab w:val="left" w:pos="1828"/>
              </w:tabs>
              <w:spacing w:line="260" w:lineRule="exact"/>
              <w:rPr>
                <w:rFonts w:ascii="宋体" w:hAnsi="宋体"/>
                <w:color w:val="000000"/>
                <w:szCs w:val="21"/>
              </w:rPr>
            </w:pPr>
            <w:r>
              <w:rPr>
                <w:rFonts w:ascii="宋体" w:hAnsi="宋体"/>
                <w:color w:val="000000"/>
                <w:szCs w:val="21"/>
              </w:rPr>
              <w:t>密切关注政府债务、银行信贷、企业投资负债、资本市场运行、互联网金融、人民币汇率等方面的国内外舆情，针对误读、曲解</w:t>
            </w:r>
            <w:r>
              <w:rPr>
                <w:rFonts w:hint="eastAsia" w:ascii="宋体" w:hAnsi="宋体"/>
                <w:color w:val="000000"/>
                <w:szCs w:val="21"/>
              </w:rPr>
              <w:t>、</w:t>
            </w:r>
            <w:r>
              <w:rPr>
                <w:rFonts w:ascii="宋体" w:hAnsi="宋体"/>
                <w:color w:val="000000"/>
                <w:szCs w:val="21"/>
              </w:rPr>
              <w:t>不实等情况，注重发挥主要新闻媒体的作用，多用事实和数据说话，及时开展有理有据的回应，防止风险预期自我实现</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69</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widowControl/>
              <w:spacing w:line="260" w:lineRule="exact"/>
              <w:rPr>
                <w:rFonts w:ascii="宋体" w:hAnsi="宋体"/>
                <w:color w:val="000000"/>
                <w:spacing w:val="-6"/>
                <w:szCs w:val="21"/>
              </w:rPr>
            </w:pPr>
            <w:r>
              <w:rPr>
                <w:rFonts w:ascii="宋体" w:hAnsi="宋体"/>
                <w:color w:val="000000"/>
                <w:spacing w:val="-6"/>
                <w:szCs w:val="21"/>
              </w:rPr>
              <w:t>及时发布资本市场违法违规案件查处情况和稽查执法工作动态，及时公开行政处罚决定、市场禁入决定和行政许可决定，不断提高执法公信力和透明度</w:t>
            </w:r>
            <w:r>
              <w:rPr>
                <w:rFonts w:hint="eastAsia" w:ascii="宋体" w:hAnsi="宋体"/>
                <w:color w:val="000000"/>
                <w:spacing w:val="-6"/>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70</w:t>
            </w:r>
          </w:p>
        </w:tc>
        <w:tc>
          <w:tcPr>
            <w:tcW w:w="878" w:type="dxa"/>
            <w:vMerge w:val="continue"/>
            <w:vAlign w:val="center"/>
          </w:tcPr>
          <w:p>
            <w:pPr>
              <w:pStyle w:val="4"/>
              <w:jc w:val="both"/>
              <w:rPr>
                <w:color w:val="000000"/>
                <w:sz w:val="21"/>
                <w:szCs w:val="21"/>
              </w:rPr>
            </w:pPr>
          </w:p>
        </w:tc>
        <w:tc>
          <w:tcPr>
            <w:tcW w:w="1410" w:type="dxa"/>
            <w:vMerge w:val="restart"/>
            <w:vAlign w:val="center"/>
          </w:tcPr>
          <w:p>
            <w:pPr>
              <w:tabs>
                <w:tab w:val="left" w:pos="1127"/>
              </w:tabs>
              <w:rPr>
                <w:rFonts w:ascii="宋体" w:hAnsi="宋体"/>
                <w:color w:val="000000"/>
                <w:szCs w:val="21"/>
              </w:rPr>
            </w:pPr>
            <w:r>
              <w:rPr>
                <w:rFonts w:ascii="宋体" w:hAnsi="宋体"/>
                <w:color w:val="000000"/>
                <w:szCs w:val="21"/>
              </w:rPr>
              <w:t>围绕促进房地产市场平稳健康发展推进公开</w:t>
            </w:r>
          </w:p>
        </w:tc>
        <w:tc>
          <w:tcPr>
            <w:tcW w:w="7267" w:type="dxa"/>
            <w:vAlign w:val="center"/>
          </w:tcPr>
          <w:p>
            <w:pPr>
              <w:pStyle w:val="4"/>
              <w:tabs>
                <w:tab w:val="left" w:pos="1114"/>
              </w:tabs>
              <w:spacing w:line="260" w:lineRule="exact"/>
              <w:jc w:val="both"/>
              <w:rPr>
                <w:color w:val="000000"/>
                <w:sz w:val="21"/>
                <w:szCs w:val="21"/>
              </w:rPr>
            </w:pPr>
            <w:r>
              <w:rPr>
                <w:color w:val="000000"/>
                <w:sz w:val="21"/>
                <w:szCs w:val="21"/>
              </w:rPr>
              <w:t>加快建立统一规范、准确及时的房地产市场信息定期发布机制，做好差别化信贷、因地制宜合理安排住宅用地等房地产政策的解读工作，正确引导社会舆论，稳定市场预期和信心</w:t>
            </w:r>
            <w:r>
              <w:rPr>
                <w:rFonts w:hint="eastAsia"/>
                <w:color w:val="000000"/>
                <w:sz w:val="21"/>
                <w:szCs w:val="21"/>
              </w:rPr>
              <w:t>。</w:t>
            </w:r>
          </w:p>
        </w:tc>
        <w:tc>
          <w:tcPr>
            <w:tcW w:w="2520" w:type="dxa"/>
            <w:vMerge w:val="restart"/>
            <w:vAlign w:val="center"/>
          </w:tcPr>
          <w:p>
            <w:pPr>
              <w:autoSpaceDE w:val="0"/>
              <w:autoSpaceDN w:val="0"/>
              <w:adjustRightInd w:val="0"/>
              <w:rPr>
                <w:rFonts w:ascii="宋体" w:hAnsi="宋体" w:cs="FZFSK--GBK1-0"/>
                <w:color w:val="000000"/>
                <w:kern w:val="0"/>
                <w:szCs w:val="21"/>
              </w:rPr>
            </w:pPr>
            <w:r>
              <w:rPr>
                <w:rFonts w:hint="eastAsia" w:ascii="宋体" w:hAnsi="宋体"/>
                <w:color w:val="000000"/>
                <w:szCs w:val="21"/>
                <w:lang w:eastAsia="zh-CN"/>
              </w:rPr>
              <w:t>县</w:t>
            </w:r>
            <w:r>
              <w:rPr>
                <w:rFonts w:ascii="宋体" w:hAnsi="宋体"/>
                <w:color w:val="000000"/>
                <w:szCs w:val="21"/>
              </w:rPr>
              <w:t>住建</w:t>
            </w:r>
            <w:r>
              <w:rPr>
                <w:rFonts w:hint="eastAsia" w:ascii="宋体" w:hAnsi="宋体"/>
                <w:color w:val="000000"/>
                <w:szCs w:val="21"/>
              </w:rPr>
              <w:t>局</w:t>
            </w:r>
            <w:r>
              <w:rPr>
                <w:rFonts w:ascii="宋体" w:hAnsi="宋体"/>
                <w:color w:val="000000"/>
                <w:szCs w:val="21"/>
              </w:rPr>
              <w:t>、国土资源</w:t>
            </w:r>
            <w:r>
              <w:rPr>
                <w:rFonts w:hint="eastAsia" w:ascii="宋体" w:hAnsi="宋体"/>
                <w:color w:val="000000"/>
                <w:szCs w:val="21"/>
              </w:rPr>
              <w:t>局</w:t>
            </w:r>
            <w:r>
              <w:rPr>
                <w:rFonts w:ascii="宋体" w:hAnsi="宋体"/>
                <w:color w:val="000000"/>
                <w:szCs w:val="21"/>
              </w:rPr>
              <w:t>、财政</w:t>
            </w:r>
            <w:r>
              <w:rPr>
                <w:rFonts w:hint="eastAsia" w:ascii="宋体" w:hAnsi="宋体"/>
                <w:color w:val="000000"/>
                <w:szCs w:val="21"/>
              </w:rPr>
              <w:t>局</w:t>
            </w:r>
            <w:r>
              <w:rPr>
                <w:rFonts w:ascii="宋体" w:hAnsi="宋体"/>
                <w:color w:val="000000"/>
                <w:szCs w:val="21"/>
              </w:rPr>
              <w:t>按照职责分工分别牵头落实</w:t>
            </w:r>
          </w:p>
        </w:tc>
        <w:tc>
          <w:tcPr>
            <w:tcW w:w="1575" w:type="dxa"/>
            <w:vAlign w:val="center"/>
          </w:tcPr>
          <w:p>
            <w:pPr>
              <w:pStyle w:val="4"/>
              <w:jc w:val="both"/>
              <w:rPr>
                <w:rFonts w:hint="eastAsia"/>
                <w:color w:val="000000"/>
                <w:sz w:val="21"/>
                <w:szCs w:val="21"/>
              </w:rPr>
            </w:pPr>
            <w:r>
              <w:rPr>
                <w:rFonts w:hint="eastAsia"/>
                <w:color w:val="000000"/>
                <w:sz w:val="21"/>
                <w:szCs w:val="21"/>
              </w:rPr>
              <w:t>按月度、季度公布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71</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pStyle w:val="4"/>
              <w:spacing w:line="260" w:lineRule="exact"/>
              <w:jc w:val="both"/>
              <w:rPr>
                <w:color w:val="000000"/>
                <w:sz w:val="21"/>
                <w:szCs w:val="21"/>
              </w:rPr>
            </w:pPr>
            <w:r>
              <w:rPr>
                <w:color w:val="000000"/>
                <w:sz w:val="21"/>
                <w:szCs w:val="21"/>
              </w:rPr>
              <w:t>加强房地产市场监管信息公开，严格规范房地产开发和中介市场秩序</w:t>
            </w:r>
            <w:r>
              <w:rPr>
                <w:rFonts w:hint="eastAsia"/>
                <w:color w:val="000000"/>
                <w:sz w:val="21"/>
                <w:szCs w:val="21"/>
              </w:rPr>
              <w:t>，</w:t>
            </w:r>
            <w:r>
              <w:rPr>
                <w:color w:val="000000"/>
                <w:sz w:val="21"/>
                <w:szCs w:val="21"/>
              </w:rPr>
              <w:t>防止虚假宣传、恶意炒作等加剧市场波动</w:t>
            </w:r>
            <w:r>
              <w:rPr>
                <w:rFonts w:hint="eastAsia"/>
                <w:color w:val="000000"/>
                <w:sz w:val="21"/>
                <w:szCs w:val="21"/>
              </w:rPr>
              <w:t>。</w:t>
            </w:r>
          </w:p>
        </w:tc>
        <w:tc>
          <w:tcPr>
            <w:tcW w:w="2520" w:type="dxa"/>
            <w:vMerge w:val="continue"/>
            <w:vAlign w:val="center"/>
          </w:tcPr>
          <w:p>
            <w:pPr>
              <w:pStyle w:val="4"/>
              <w:jc w:val="both"/>
              <w:rPr>
                <w:rFonts w:hint="eastAsia"/>
                <w:color w:val="000000"/>
                <w:sz w:val="21"/>
                <w:szCs w:val="21"/>
              </w:rPr>
            </w:pPr>
          </w:p>
        </w:tc>
        <w:tc>
          <w:tcPr>
            <w:tcW w:w="1575" w:type="dxa"/>
            <w:vMerge w:val="restart"/>
            <w:vAlign w:val="center"/>
          </w:tcPr>
          <w:p>
            <w:pPr>
              <w:pStyle w:val="4"/>
              <w:jc w:val="center"/>
              <w:rPr>
                <w:rFonts w:hint="eastAsia"/>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72</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pStyle w:val="4"/>
              <w:spacing w:line="260" w:lineRule="exact"/>
              <w:jc w:val="both"/>
              <w:rPr>
                <w:color w:val="000000"/>
                <w:sz w:val="21"/>
                <w:szCs w:val="21"/>
              </w:rPr>
            </w:pPr>
            <w:r>
              <w:rPr>
                <w:color w:val="000000"/>
                <w:sz w:val="21"/>
                <w:szCs w:val="21"/>
              </w:rPr>
              <w:t>深化棚户区改造及配套基础设施建设、农村危房改造有关政策措施执行情况的公开工作。进一步做好保障性安居工程任务完成情况</w:t>
            </w:r>
            <w:r>
              <w:rPr>
                <w:rFonts w:hint="eastAsia"/>
                <w:color w:val="000000"/>
                <w:sz w:val="21"/>
                <w:szCs w:val="21"/>
              </w:rPr>
              <w:t>等</w:t>
            </w:r>
            <w:r>
              <w:rPr>
                <w:color w:val="000000"/>
                <w:sz w:val="21"/>
                <w:szCs w:val="21"/>
              </w:rPr>
              <w:t>方面的公开</w:t>
            </w:r>
            <w:r>
              <w:rPr>
                <w:rFonts w:hint="eastAsia"/>
                <w:color w:val="000000"/>
                <w:sz w:val="21"/>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73</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pStyle w:val="4"/>
              <w:tabs>
                <w:tab w:val="left" w:pos="4646"/>
              </w:tabs>
              <w:spacing w:line="260" w:lineRule="exact"/>
              <w:jc w:val="both"/>
              <w:rPr>
                <w:color w:val="000000"/>
                <w:spacing w:val="-6"/>
                <w:sz w:val="21"/>
                <w:szCs w:val="21"/>
              </w:rPr>
            </w:pPr>
            <w:r>
              <w:rPr>
                <w:rFonts w:hint="eastAsia"/>
                <w:color w:val="000000"/>
                <w:spacing w:val="-6"/>
                <w:sz w:val="21"/>
                <w:szCs w:val="21"/>
                <w:lang w:eastAsia="zh-CN"/>
              </w:rPr>
              <w:t>及时</w:t>
            </w:r>
            <w:r>
              <w:rPr>
                <w:color w:val="000000"/>
                <w:spacing w:val="-6"/>
                <w:sz w:val="21"/>
                <w:szCs w:val="21"/>
              </w:rPr>
              <w:t>公开城镇保障性安居工程项目清单，实行台账管理并动态更新</w:t>
            </w:r>
            <w:r>
              <w:rPr>
                <w:rFonts w:hint="eastAsia"/>
                <w:color w:val="000000"/>
                <w:spacing w:val="-6"/>
                <w:sz w:val="21"/>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74</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pStyle w:val="4"/>
              <w:spacing w:line="260" w:lineRule="exact"/>
              <w:jc w:val="both"/>
              <w:rPr>
                <w:color w:val="000000"/>
                <w:sz w:val="21"/>
                <w:szCs w:val="21"/>
              </w:rPr>
            </w:pPr>
            <w:r>
              <w:rPr>
                <w:color w:val="000000"/>
                <w:sz w:val="21"/>
                <w:szCs w:val="21"/>
              </w:rPr>
              <w:t>做好农村危房改造对象身份确认以及农村危房改造对象家庭户数、资金支出等情况公开工作</w:t>
            </w:r>
            <w:r>
              <w:rPr>
                <w:rFonts w:hint="eastAsia"/>
                <w:color w:val="000000"/>
                <w:sz w:val="21"/>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75</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pStyle w:val="4"/>
              <w:tabs>
                <w:tab w:val="left" w:pos="3544"/>
              </w:tabs>
              <w:spacing w:line="260" w:lineRule="exact"/>
              <w:jc w:val="both"/>
              <w:rPr>
                <w:color w:val="000000"/>
                <w:sz w:val="21"/>
                <w:szCs w:val="21"/>
              </w:rPr>
            </w:pPr>
            <w:r>
              <w:rPr>
                <w:color w:val="000000"/>
                <w:sz w:val="21"/>
                <w:szCs w:val="21"/>
              </w:rPr>
              <w:t>全方位公开有关农村危房改造工作任务分解、补助对象范围与补助标准、建设标准、资金筹集与管理、工作流程等内容</w:t>
            </w:r>
            <w:r>
              <w:rPr>
                <w:rFonts w:hint="eastAsia"/>
                <w:color w:val="000000"/>
                <w:sz w:val="21"/>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76</w:t>
            </w:r>
          </w:p>
        </w:tc>
        <w:tc>
          <w:tcPr>
            <w:tcW w:w="878" w:type="dxa"/>
            <w:vMerge w:val="continue"/>
            <w:vAlign w:val="center"/>
          </w:tcPr>
          <w:p>
            <w:pPr>
              <w:pStyle w:val="2"/>
              <w:jc w:val="both"/>
              <w:rPr>
                <w:color w:val="000000"/>
                <w:sz w:val="21"/>
                <w:szCs w:val="21"/>
              </w:rPr>
            </w:pPr>
          </w:p>
        </w:tc>
        <w:tc>
          <w:tcPr>
            <w:tcW w:w="1410" w:type="dxa"/>
            <w:vMerge w:val="continue"/>
            <w:vAlign w:val="center"/>
          </w:tcPr>
          <w:p>
            <w:pPr>
              <w:rPr>
                <w:rFonts w:ascii="宋体" w:hAnsi="宋体"/>
                <w:color w:val="000000"/>
                <w:szCs w:val="21"/>
              </w:rPr>
            </w:pPr>
          </w:p>
        </w:tc>
        <w:tc>
          <w:tcPr>
            <w:tcW w:w="7267" w:type="dxa"/>
            <w:vAlign w:val="center"/>
          </w:tcPr>
          <w:p>
            <w:pPr>
              <w:pStyle w:val="4"/>
              <w:spacing w:line="260" w:lineRule="exact"/>
              <w:jc w:val="both"/>
              <w:rPr>
                <w:color w:val="000000"/>
                <w:sz w:val="21"/>
                <w:szCs w:val="21"/>
              </w:rPr>
            </w:pPr>
            <w:r>
              <w:rPr>
                <w:color w:val="000000"/>
                <w:sz w:val="21"/>
                <w:szCs w:val="21"/>
              </w:rPr>
              <w:t>定期公开住房公积金年度报告</w:t>
            </w:r>
            <w:r>
              <w:rPr>
                <w:rFonts w:hint="eastAsia"/>
                <w:color w:val="000000"/>
                <w:sz w:val="21"/>
                <w:szCs w:val="21"/>
              </w:rPr>
              <w:t>。</w:t>
            </w:r>
          </w:p>
        </w:tc>
        <w:tc>
          <w:tcPr>
            <w:tcW w:w="2520" w:type="dxa"/>
            <w:vMerge w:val="continue"/>
            <w:vAlign w:val="center"/>
          </w:tcPr>
          <w:p>
            <w:pPr>
              <w:pStyle w:val="4"/>
              <w:jc w:val="both"/>
              <w:rPr>
                <w:rFonts w:hint="eastAsia"/>
                <w:color w:val="000000"/>
                <w:sz w:val="21"/>
                <w:szCs w:val="21"/>
              </w:rPr>
            </w:pPr>
          </w:p>
        </w:tc>
        <w:tc>
          <w:tcPr>
            <w:tcW w:w="1575" w:type="dxa"/>
            <w:vAlign w:val="center"/>
          </w:tcPr>
          <w:p>
            <w:pPr>
              <w:pStyle w:val="4"/>
              <w:jc w:val="center"/>
              <w:rPr>
                <w:rFonts w:hint="eastAsia"/>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77</w:t>
            </w:r>
          </w:p>
        </w:tc>
        <w:tc>
          <w:tcPr>
            <w:tcW w:w="878" w:type="dxa"/>
            <w:vMerge w:val="continue"/>
            <w:vAlign w:val="center"/>
          </w:tcPr>
          <w:p>
            <w:pPr>
              <w:pStyle w:val="2"/>
              <w:jc w:val="both"/>
              <w:rPr>
                <w:color w:val="000000"/>
                <w:sz w:val="21"/>
                <w:szCs w:val="21"/>
              </w:rPr>
            </w:pPr>
          </w:p>
        </w:tc>
        <w:tc>
          <w:tcPr>
            <w:tcW w:w="1410" w:type="dxa"/>
            <w:vMerge w:val="continue"/>
            <w:vAlign w:val="center"/>
          </w:tcPr>
          <w:p>
            <w:pPr>
              <w:rPr>
                <w:rFonts w:ascii="宋体" w:hAnsi="宋体"/>
                <w:color w:val="000000"/>
                <w:szCs w:val="21"/>
              </w:rPr>
            </w:pPr>
          </w:p>
        </w:tc>
        <w:tc>
          <w:tcPr>
            <w:tcW w:w="7267" w:type="dxa"/>
            <w:vAlign w:val="center"/>
          </w:tcPr>
          <w:p>
            <w:pPr>
              <w:pStyle w:val="2"/>
              <w:widowControl/>
              <w:tabs>
                <w:tab w:val="left" w:pos="1590"/>
              </w:tabs>
              <w:snapToGrid/>
              <w:spacing w:line="260" w:lineRule="exact"/>
              <w:jc w:val="both"/>
              <w:rPr>
                <w:color w:val="000000"/>
                <w:sz w:val="21"/>
                <w:szCs w:val="21"/>
              </w:rPr>
            </w:pPr>
            <w:r>
              <w:rPr>
                <w:color w:val="000000"/>
                <w:sz w:val="21"/>
                <w:szCs w:val="21"/>
              </w:rPr>
              <w:t>指导、督促各地及时规范发布土地供应计划、出让公告、成交公示和供应结果信息，按季度公布房地产用地供应数据、城市地价动态监测数据等</w:t>
            </w:r>
            <w:r>
              <w:rPr>
                <w:rFonts w:hint="eastAsia"/>
                <w:color w:val="000000"/>
                <w:sz w:val="21"/>
                <w:szCs w:val="21"/>
              </w:rPr>
              <w:t>。</w:t>
            </w:r>
          </w:p>
        </w:tc>
        <w:tc>
          <w:tcPr>
            <w:tcW w:w="2520" w:type="dxa"/>
            <w:vMerge w:val="continue"/>
            <w:vAlign w:val="center"/>
          </w:tcPr>
          <w:p>
            <w:pPr>
              <w:pStyle w:val="4"/>
              <w:jc w:val="both"/>
              <w:rPr>
                <w:rFonts w:hint="eastAsia"/>
                <w:color w:val="000000"/>
                <w:sz w:val="21"/>
                <w:szCs w:val="21"/>
              </w:rPr>
            </w:pPr>
          </w:p>
        </w:tc>
        <w:tc>
          <w:tcPr>
            <w:tcW w:w="1575" w:type="dxa"/>
            <w:vAlign w:val="center"/>
          </w:tcPr>
          <w:p>
            <w:pPr>
              <w:pStyle w:val="4"/>
              <w:spacing w:line="240" w:lineRule="exact"/>
              <w:jc w:val="both"/>
              <w:rPr>
                <w:color w:val="000000"/>
                <w:sz w:val="21"/>
                <w:szCs w:val="21"/>
              </w:rPr>
            </w:pPr>
            <w:r>
              <w:rPr>
                <w:rFonts w:hint="eastAsia"/>
                <w:color w:val="000000"/>
                <w:sz w:val="21"/>
                <w:szCs w:val="21"/>
              </w:rPr>
              <w:t>每季度第一周内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78</w:t>
            </w:r>
          </w:p>
        </w:tc>
        <w:tc>
          <w:tcPr>
            <w:tcW w:w="878" w:type="dxa"/>
            <w:vMerge w:val="continue"/>
            <w:vAlign w:val="center"/>
          </w:tcPr>
          <w:p>
            <w:pPr>
              <w:pStyle w:val="4"/>
              <w:jc w:val="both"/>
              <w:rPr>
                <w:color w:val="000000"/>
                <w:sz w:val="21"/>
                <w:szCs w:val="21"/>
              </w:rPr>
            </w:pPr>
          </w:p>
        </w:tc>
        <w:tc>
          <w:tcPr>
            <w:tcW w:w="1410" w:type="dxa"/>
            <w:vAlign w:val="center"/>
          </w:tcPr>
          <w:p>
            <w:pPr>
              <w:pStyle w:val="4"/>
              <w:spacing w:line="240" w:lineRule="exact"/>
              <w:jc w:val="both"/>
              <w:rPr>
                <w:color w:val="000000"/>
                <w:spacing w:val="-12"/>
                <w:sz w:val="21"/>
                <w:szCs w:val="21"/>
              </w:rPr>
            </w:pPr>
            <w:r>
              <w:rPr>
                <w:color w:val="000000"/>
                <w:spacing w:val="-12"/>
                <w:sz w:val="21"/>
                <w:szCs w:val="21"/>
              </w:rPr>
              <w:t>围绕促进房地产市场平稳健康发展推进公开</w:t>
            </w:r>
          </w:p>
        </w:tc>
        <w:tc>
          <w:tcPr>
            <w:tcW w:w="7267" w:type="dxa"/>
            <w:vAlign w:val="center"/>
          </w:tcPr>
          <w:p>
            <w:pPr>
              <w:tabs>
                <w:tab w:val="left" w:pos="2016"/>
              </w:tabs>
              <w:spacing w:line="240" w:lineRule="exact"/>
              <w:rPr>
                <w:rFonts w:hint="eastAsia" w:ascii="宋体" w:hAnsi="宋体"/>
                <w:color w:val="000000"/>
                <w:szCs w:val="21"/>
              </w:rPr>
            </w:pPr>
            <w:r>
              <w:rPr>
                <w:rFonts w:hint="eastAsia" w:ascii="宋体" w:hAnsi="宋体"/>
                <w:color w:val="000000"/>
                <w:szCs w:val="21"/>
                <w:lang w:eastAsia="zh-CN"/>
              </w:rPr>
              <w:t>开设</w:t>
            </w:r>
            <w:r>
              <w:rPr>
                <w:rFonts w:hint="eastAsia" w:ascii="宋体" w:hAnsi="宋体"/>
                <w:color w:val="000000"/>
                <w:szCs w:val="21"/>
              </w:rPr>
              <w:t>征地信息公开专题专栏，统一发布征地信息</w:t>
            </w:r>
          </w:p>
        </w:tc>
        <w:tc>
          <w:tcPr>
            <w:tcW w:w="2520" w:type="dxa"/>
            <w:vAlign w:val="center"/>
          </w:tcPr>
          <w:p>
            <w:pPr>
              <w:rPr>
                <w:rFonts w:hint="eastAsia" w:ascii="宋体" w:hAnsi="宋体"/>
                <w:color w:val="000000"/>
                <w:szCs w:val="21"/>
              </w:rPr>
            </w:pPr>
            <w:r>
              <w:rPr>
                <w:rFonts w:hint="eastAsia" w:ascii="宋体" w:hAnsi="宋体"/>
                <w:color w:val="000000"/>
                <w:szCs w:val="21"/>
                <w:lang w:eastAsia="zh-CN"/>
              </w:rPr>
              <w:t>县</w:t>
            </w:r>
            <w:r>
              <w:rPr>
                <w:rFonts w:hint="eastAsia" w:ascii="宋体" w:hAnsi="宋体"/>
                <w:color w:val="000000"/>
                <w:szCs w:val="21"/>
              </w:rPr>
              <w:t>国土资源局</w:t>
            </w:r>
            <w:r>
              <w:rPr>
                <w:rFonts w:hint="eastAsia" w:ascii="宋体" w:hAnsi="宋体"/>
                <w:color w:val="000000"/>
                <w:szCs w:val="21"/>
                <w:lang w:eastAsia="zh-CN"/>
              </w:rPr>
              <w:t>牵头落实</w:t>
            </w:r>
          </w:p>
        </w:tc>
        <w:tc>
          <w:tcPr>
            <w:tcW w:w="1575" w:type="dxa"/>
            <w:vAlign w:val="center"/>
          </w:tcPr>
          <w:p>
            <w:pPr>
              <w:rPr>
                <w:rFonts w:hint="eastAsia" w:ascii="宋体" w:hAnsi="宋体" w:cs="FZFSK--GBK1-0"/>
                <w:color w:val="000000"/>
                <w:szCs w:val="21"/>
              </w:rPr>
            </w:pPr>
            <w:r>
              <w:rPr>
                <w:rFonts w:hint="eastAsia" w:ascii="宋体" w:hAnsi="宋体" w:cs="FZFSK--GBK1-0"/>
                <w:color w:val="000000"/>
                <w:szCs w:val="21"/>
              </w:rPr>
              <w:t>2017年</w:t>
            </w:r>
            <w:r>
              <w:rPr>
                <w:rFonts w:hint="eastAsia" w:ascii="宋体" w:hAnsi="宋体" w:cs="FZFSK--GBK1-0"/>
                <w:color w:val="000000"/>
                <w:szCs w:val="21"/>
                <w:lang w:val="en-US" w:eastAsia="zh-CN"/>
              </w:rPr>
              <w:t>7</w:t>
            </w:r>
            <w:r>
              <w:rPr>
                <w:rFonts w:hint="eastAsia" w:ascii="宋体" w:hAnsi="宋体" w:cs="FZFSK--GBK1-0"/>
                <w:color w:val="000000"/>
                <w:szCs w:val="21"/>
              </w:rPr>
              <w:t>月</w:t>
            </w:r>
            <w:r>
              <w:rPr>
                <w:rFonts w:hint="eastAsia" w:ascii="宋体" w:hAnsi="宋体" w:cs="FZFSK--GBK1-0"/>
                <w:color w:val="000000"/>
                <w:szCs w:val="21"/>
                <w:lang w:eastAsia="zh-CN"/>
              </w:rPr>
              <w:t>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79</w:t>
            </w:r>
          </w:p>
        </w:tc>
        <w:tc>
          <w:tcPr>
            <w:tcW w:w="878" w:type="dxa"/>
            <w:vMerge w:val="restart"/>
            <w:vAlign w:val="center"/>
          </w:tcPr>
          <w:p>
            <w:pPr>
              <w:pStyle w:val="4"/>
              <w:jc w:val="both"/>
              <w:rPr>
                <w:color w:val="000000"/>
                <w:sz w:val="21"/>
                <w:szCs w:val="21"/>
              </w:rPr>
            </w:pPr>
            <w:r>
              <w:rPr>
                <w:color w:val="000000"/>
                <w:sz w:val="21"/>
                <w:szCs w:val="21"/>
              </w:rPr>
              <w:t>以政务公开助力防风险</w:t>
            </w:r>
          </w:p>
        </w:tc>
        <w:tc>
          <w:tcPr>
            <w:tcW w:w="1410" w:type="dxa"/>
            <w:vMerge w:val="restart"/>
            <w:vAlign w:val="center"/>
          </w:tcPr>
          <w:p>
            <w:pPr>
              <w:rPr>
                <w:rFonts w:ascii="宋体" w:hAnsi="宋体"/>
                <w:color w:val="000000"/>
                <w:szCs w:val="21"/>
              </w:rPr>
            </w:pPr>
            <w:r>
              <w:rPr>
                <w:color w:val="000000"/>
                <w:szCs w:val="21"/>
              </w:rPr>
              <w:t>围绕防范遏制重特大生产安全事故推进公开</w:t>
            </w:r>
          </w:p>
        </w:tc>
        <w:tc>
          <w:tcPr>
            <w:tcW w:w="7267" w:type="dxa"/>
            <w:vAlign w:val="center"/>
          </w:tcPr>
          <w:p>
            <w:pPr>
              <w:tabs>
                <w:tab w:val="left" w:pos="2016"/>
              </w:tabs>
              <w:spacing w:line="240" w:lineRule="exact"/>
              <w:rPr>
                <w:rFonts w:ascii="宋体" w:hAnsi="宋体" w:cs="FZFSK--GBK1-0"/>
                <w:color w:val="000000"/>
                <w:szCs w:val="21"/>
              </w:rPr>
            </w:pPr>
            <w:r>
              <w:rPr>
                <w:rFonts w:ascii="宋体" w:hAnsi="宋体"/>
                <w:color w:val="000000"/>
                <w:szCs w:val="21"/>
              </w:rPr>
              <w:t>及时发布重特大事故预警信息和安全提示，做好重大安全隐患排查信息公开工作</w:t>
            </w:r>
            <w:r>
              <w:rPr>
                <w:rFonts w:hint="eastAsia" w:ascii="宋体" w:hAnsi="宋体"/>
                <w:color w:val="000000"/>
                <w:szCs w:val="21"/>
              </w:rPr>
              <w:t>。</w:t>
            </w:r>
          </w:p>
        </w:tc>
        <w:tc>
          <w:tcPr>
            <w:tcW w:w="2520" w:type="dxa"/>
            <w:vMerge w:val="restart"/>
            <w:vAlign w:val="center"/>
          </w:tcPr>
          <w:p>
            <w:pPr>
              <w:rPr>
                <w:rFonts w:hint="eastAsia" w:ascii="宋体" w:hAnsi="宋体"/>
                <w:color w:val="000000"/>
                <w:szCs w:val="21"/>
              </w:rPr>
            </w:pPr>
            <w:r>
              <w:rPr>
                <w:rFonts w:hint="eastAsia"/>
                <w:lang w:eastAsia="zh-CN"/>
              </w:rPr>
              <w:t>县</w:t>
            </w:r>
            <w:r>
              <w:t>安监局牵头落实</w:t>
            </w:r>
          </w:p>
        </w:tc>
        <w:tc>
          <w:tcPr>
            <w:tcW w:w="1575" w:type="dxa"/>
            <w:vMerge w:val="restart"/>
            <w:vAlign w:val="center"/>
          </w:tcPr>
          <w:p>
            <w:pPr>
              <w:pStyle w:val="4"/>
              <w:jc w:val="center"/>
              <w:rPr>
                <w:rFonts w:hint="eastAsia"/>
                <w:color w:val="000000"/>
                <w:sz w:val="21"/>
                <w:szCs w:val="21"/>
              </w:rPr>
            </w:pPr>
            <w:r>
              <w:rPr>
                <w:color w:val="000000"/>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80</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2279"/>
              </w:tabs>
              <w:spacing w:line="240" w:lineRule="exact"/>
              <w:rPr>
                <w:rFonts w:ascii="宋体" w:hAnsi="宋体" w:cs="FZFSK--GBK1-0"/>
                <w:color w:val="000000"/>
                <w:szCs w:val="21"/>
              </w:rPr>
            </w:pPr>
            <w:r>
              <w:rPr>
                <w:rFonts w:ascii="宋体" w:hAnsi="宋体"/>
                <w:color w:val="000000"/>
                <w:szCs w:val="21"/>
              </w:rPr>
              <w:t>加大安全生产监管监察信息公开力度，公开常规检查执法、暗查暗访、突击检查、随机抽查等执法信息</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81</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4671"/>
              </w:tabs>
              <w:autoSpaceDE w:val="0"/>
              <w:autoSpaceDN w:val="0"/>
              <w:adjustRightInd w:val="0"/>
              <w:spacing w:line="240" w:lineRule="exact"/>
              <w:rPr>
                <w:rFonts w:ascii="宋体" w:hAnsi="宋体" w:cs="FZFSK--GBK1-0"/>
                <w:color w:val="000000"/>
                <w:kern w:val="0"/>
                <w:szCs w:val="21"/>
              </w:rPr>
            </w:pPr>
            <w:r>
              <w:rPr>
                <w:rFonts w:ascii="宋体" w:hAnsi="宋体"/>
                <w:color w:val="000000"/>
                <w:szCs w:val="21"/>
              </w:rPr>
              <w:t>落实好安全生产不良记录“黑名单”制度，并向社会公布</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82</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3857"/>
              </w:tabs>
              <w:autoSpaceDE w:val="0"/>
              <w:autoSpaceDN w:val="0"/>
              <w:adjustRightInd w:val="0"/>
              <w:spacing w:line="240" w:lineRule="exact"/>
              <w:rPr>
                <w:rFonts w:ascii="宋体" w:hAnsi="宋体" w:cs="FZFSK--GBK1-0"/>
                <w:color w:val="000000"/>
                <w:kern w:val="0"/>
                <w:szCs w:val="21"/>
              </w:rPr>
            </w:pPr>
            <w:r>
              <w:rPr>
                <w:rFonts w:ascii="宋体" w:hAnsi="宋体"/>
                <w:color w:val="000000"/>
                <w:szCs w:val="21"/>
              </w:rPr>
              <w:t>完善安全生产大检查长效机制建设，在企业内部或面向社会公开企业生产状况、危险源分布、监测监控数据、事故隐患治理、安全管理现状、安全生产检查结果、职业危害预防、事故调查处理结果等所有安全生产有关信息。主动接受企业职工、社会公众和媒体的批评监督，使企业增强遵守安全生产法律法规的自我约束性</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83</w:t>
            </w:r>
          </w:p>
        </w:tc>
        <w:tc>
          <w:tcPr>
            <w:tcW w:w="878" w:type="dxa"/>
            <w:vMerge w:val="restart"/>
            <w:vAlign w:val="center"/>
          </w:tcPr>
          <w:p>
            <w:pPr>
              <w:pStyle w:val="4"/>
              <w:jc w:val="center"/>
              <w:rPr>
                <w:color w:val="000000"/>
                <w:sz w:val="21"/>
                <w:szCs w:val="21"/>
              </w:rPr>
            </w:pPr>
            <w:r>
              <w:rPr>
                <w:color w:val="000000"/>
                <w:sz w:val="21"/>
                <w:szCs w:val="21"/>
              </w:rPr>
              <w:t>增强政务公开实效</w:t>
            </w:r>
          </w:p>
        </w:tc>
        <w:tc>
          <w:tcPr>
            <w:tcW w:w="1410" w:type="dxa"/>
            <w:vMerge w:val="restart"/>
            <w:vAlign w:val="center"/>
          </w:tcPr>
          <w:p>
            <w:pPr>
              <w:tabs>
                <w:tab w:val="left" w:pos="1290"/>
              </w:tabs>
              <w:rPr>
                <w:rFonts w:ascii="宋体" w:hAnsi="宋体"/>
                <w:color w:val="000000"/>
                <w:szCs w:val="21"/>
              </w:rPr>
            </w:pPr>
            <w:r>
              <w:rPr>
                <w:rFonts w:ascii="宋体" w:hAnsi="宋体"/>
                <w:color w:val="000000"/>
                <w:szCs w:val="21"/>
              </w:rPr>
              <w:t>全面落实决策执行管理服务结果“五公开”工作机制</w:t>
            </w:r>
          </w:p>
        </w:tc>
        <w:tc>
          <w:tcPr>
            <w:tcW w:w="7267" w:type="dxa"/>
            <w:vAlign w:val="center"/>
          </w:tcPr>
          <w:p>
            <w:pPr>
              <w:pStyle w:val="4"/>
              <w:spacing w:line="220" w:lineRule="exact"/>
              <w:jc w:val="both"/>
              <w:rPr>
                <w:color w:val="000000"/>
                <w:sz w:val="21"/>
                <w:szCs w:val="21"/>
              </w:rPr>
            </w:pPr>
            <w:r>
              <w:rPr>
                <w:color w:val="000000"/>
                <w:sz w:val="21"/>
                <w:szCs w:val="21"/>
              </w:rPr>
              <w:t>强力推进重点领域信息集中公开。根据年度重点工作部署，</w:t>
            </w:r>
            <w:r>
              <w:rPr>
                <w:rFonts w:hint="eastAsia"/>
                <w:color w:val="000000"/>
                <w:sz w:val="21"/>
                <w:szCs w:val="21"/>
                <w:lang w:eastAsia="zh-CN"/>
              </w:rPr>
              <w:t>发改局</w:t>
            </w:r>
            <w:r>
              <w:rPr>
                <w:color w:val="000000"/>
                <w:sz w:val="21"/>
                <w:szCs w:val="21"/>
              </w:rPr>
              <w:t>、教育</w:t>
            </w:r>
            <w:r>
              <w:rPr>
                <w:rFonts w:hint="eastAsia"/>
                <w:color w:val="000000"/>
                <w:sz w:val="21"/>
                <w:szCs w:val="21"/>
                <w:lang w:eastAsia="zh-CN"/>
              </w:rPr>
              <w:t>局</w:t>
            </w:r>
            <w:r>
              <w:rPr>
                <w:rFonts w:hint="eastAsia"/>
                <w:color w:val="000000"/>
                <w:sz w:val="21"/>
                <w:szCs w:val="21"/>
              </w:rPr>
              <w:t>、</w:t>
            </w:r>
            <w:r>
              <w:rPr>
                <w:rFonts w:hint="eastAsia"/>
                <w:color w:val="000000"/>
                <w:sz w:val="21"/>
                <w:szCs w:val="21"/>
                <w:lang w:eastAsia="zh-CN"/>
              </w:rPr>
              <w:t>工信局</w:t>
            </w:r>
            <w:r>
              <w:rPr>
                <w:color w:val="000000"/>
                <w:sz w:val="21"/>
                <w:szCs w:val="21"/>
              </w:rPr>
              <w:t>、公安</w:t>
            </w:r>
            <w:r>
              <w:rPr>
                <w:rFonts w:hint="eastAsia"/>
                <w:color w:val="000000"/>
                <w:sz w:val="21"/>
                <w:szCs w:val="21"/>
                <w:lang w:eastAsia="zh-CN"/>
              </w:rPr>
              <w:t>局</w:t>
            </w:r>
            <w:r>
              <w:rPr>
                <w:color w:val="000000"/>
                <w:sz w:val="21"/>
                <w:szCs w:val="21"/>
              </w:rPr>
              <w:t>、民政</w:t>
            </w:r>
            <w:r>
              <w:rPr>
                <w:rFonts w:hint="eastAsia"/>
                <w:color w:val="000000"/>
                <w:sz w:val="21"/>
                <w:szCs w:val="21"/>
                <w:lang w:eastAsia="zh-CN"/>
              </w:rPr>
              <w:t>局</w:t>
            </w:r>
            <w:r>
              <w:rPr>
                <w:color w:val="000000"/>
                <w:sz w:val="21"/>
                <w:szCs w:val="21"/>
              </w:rPr>
              <w:t>、财政</w:t>
            </w:r>
            <w:r>
              <w:rPr>
                <w:rFonts w:hint="eastAsia"/>
                <w:color w:val="000000"/>
                <w:sz w:val="21"/>
                <w:szCs w:val="21"/>
                <w:lang w:eastAsia="zh-CN"/>
              </w:rPr>
              <w:t>局</w:t>
            </w:r>
            <w:r>
              <w:rPr>
                <w:rFonts w:hint="eastAsia"/>
                <w:color w:val="000000"/>
                <w:sz w:val="21"/>
                <w:szCs w:val="21"/>
              </w:rPr>
              <w:t>、</w:t>
            </w:r>
            <w:r>
              <w:rPr>
                <w:color w:val="000000"/>
                <w:sz w:val="21"/>
                <w:szCs w:val="21"/>
              </w:rPr>
              <w:t>人社</w:t>
            </w:r>
            <w:r>
              <w:rPr>
                <w:rFonts w:hint="eastAsia"/>
                <w:color w:val="000000"/>
                <w:sz w:val="21"/>
                <w:szCs w:val="21"/>
                <w:lang w:eastAsia="zh-CN"/>
              </w:rPr>
              <w:t>局</w:t>
            </w:r>
            <w:r>
              <w:rPr>
                <w:color w:val="000000"/>
                <w:sz w:val="21"/>
                <w:szCs w:val="21"/>
              </w:rPr>
              <w:t>、国土资源</w:t>
            </w:r>
            <w:r>
              <w:rPr>
                <w:rFonts w:hint="eastAsia"/>
                <w:color w:val="000000"/>
                <w:sz w:val="21"/>
                <w:szCs w:val="21"/>
                <w:lang w:eastAsia="zh-CN"/>
              </w:rPr>
              <w:t>局</w:t>
            </w:r>
            <w:r>
              <w:rPr>
                <w:color w:val="000000"/>
                <w:sz w:val="21"/>
                <w:szCs w:val="21"/>
              </w:rPr>
              <w:t>、环保</w:t>
            </w:r>
            <w:r>
              <w:rPr>
                <w:rFonts w:hint="eastAsia"/>
                <w:color w:val="000000"/>
                <w:sz w:val="21"/>
                <w:szCs w:val="21"/>
                <w:lang w:eastAsia="zh-CN"/>
              </w:rPr>
              <w:t>局</w:t>
            </w:r>
            <w:r>
              <w:rPr>
                <w:color w:val="000000"/>
                <w:sz w:val="21"/>
                <w:szCs w:val="21"/>
              </w:rPr>
              <w:t>、住建</w:t>
            </w:r>
            <w:r>
              <w:rPr>
                <w:rFonts w:hint="eastAsia"/>
                <w:color w:val="000000"/>
                <w:sz w:val="21"/>
                <w:szCs w:val="21"/>
                <w:lang w:eastAsia="zh-CN"/>
              </w:rPr>
              <w:t>局</w:t>
            </w:r>
            <w:r>
              <w:rPr>
                <w:color w:val="000000"/>
                <w:sz w:val="21"/>
                <w:szCs w:val="21"/>
              </w:rPr>
              <w:t>、交通运输</w:t>
            </w:r>
            <w:r>
              <w:rPr>
                <w:rFonts w:hint="eastAsia"/>
                <w:color w:val="000000"/>
                <w:sz w:val="21"/>
                <w:szCs w:val="21"/>
                <w:lang w:eastAsia="zh-CN"/>
              </w:rPr>
              <w:t>局</w:t>
            </w:r>
            <w:r>
              <w:rPr>
                <w:color w:val="000000"/>
                <w:sz w:val="21"/>
                <w:szCs w:val="21"/>
              </w:rPr>
              <w:t>、农业</w:t>
            </w:r>
            <w:r>
              <w:rPr>
                <w:rFonts w:hint="eastAsia"/>
                <w:color w:val="000000"/>
                <w:sz w:val="21"/>
                <w:szCs w:val="21"/>
                <w:lang w:eastAsia="zh-CN"/>
              </w:rPr>
              <w:t>局</w:t>
            </w:r>
            <w:r>
              <w:rPr>
                <w:color w:val="000000"/>
                <w:sz w:val="21"/>
                <w:szCs w:val="21"/>
              </w:rPr>
              <w:t>、卫</w:t>
            </w:r>
            <w:r>
              <w:rPr>
                <w:rFonts w:hint="eastAsia"/>
                <w:color w:val="000000"/>
                <w:sz w:val="21"/>
                <w:szCs w:val="21"/>
                <w:lang w:eastAsia="zh-CN"/>
              </w:rPr>
              <w:t>计局</w:t>
            </w:r>
            <w:r>
              <w:rPr>
                <w:color w:val="000000"/>
                <w:sz w:val="21"/>
                <w:szCs w:val="21"/>
              </w:rPr>
              <w:t>、审计</w:t>
            </w:r>
            <w:r>
              <w:rPr>
                <w:rFonts w:hint="eastAsia"/>
                <w:color w:val="000000"/>
                <w:sz w:val="21"/>
                <w:szCs w:val="21"/>
                <w:lang w:eastAsia="zh-CN"/>
              </w:rPr>
              <w:t>局</w:t>
            </w:r>
            <w:r>
              <w:rPr>
                <w:color w:val="000000"/>
                <w:sz w:val="21"/>
                <w:szCs w:val="21"/>
              </w:rPr>
              <w:t>、</w:t>
            </w:r>
            <w:r>
              <w:rPr>
                <w:rFonts w:hint="eastAsia"/>
                <w:color w:val="000000"/>
                <w:sz w:val="21"/>
                <w:szCs w:val="21"/>
                <w:lang w:eastAsia="zh-CN"/>
              </w:rPr>
              <w:t>文旅广体局</w:t>
            </w:r>
            <w:r>
              <w:rPr>
                <w:color w:val="000000"/>
                <w:sz w:val="21"/>
                <w:szCs w:val="21"/>
              </w:rPr>
              <w:t>、</w:t>
            </w:r>
            <w:r>
              <w:rPr>
                <w:rFonts w:hint="eastAsia"/>
                <w:color w:val="000000"/>
                <w:sz w:val="21"/>
                <w:szCs w:val="21"/>
                <w:lang w:eastAsia="zh-CN"/>
              </w:rPr>
              <w:t>市场监管局</w:t>
            </w:r>
            <w:r>
              <w:rPr>
                <w:color w:val="000000"/>
                <w:sz w:val="21"/>
                <w:szCs w:val="21"/>
              </w:rPr>
              <w:t>、安监</w:t>
            </w:r>
            <w:r>
              <w:rPr>
                <w:rFonts w:hint="eastAsia"/>
                <w:color w:val="000000"/>
                <w:sz w:val="21"/>
                <w:szCs w:val="21"/>
                <w:lang w:eastAsia="zh-CN"/>
              </w:rPr>
              <w:t>局</w:t>
            </w:r>
            <w:r>
              <w:rPr>
                <w:color w:val="000000"/>
                <w:sz w:val="21"/>
                <w:szCs w:val="21"/>
              </w:rPr>
              <w:t>等部门要在</w:t>
            </w:r>
            <w:r>
              <w:rPr>
                <w:rFonts w:hint="eastAsia"/>
                <w:color w:val="000000"/>
                <w:sz w:val="21"/>
                <w:szCs w:val="21"/>
                <w:lang w:eastAsia="zh-CN"/>
              </w:rPr>
              <w:t>“华宁县人民政府”</w:t>
            </w:r>
            <w:r>
              <w:rPr>
                <w:color w:val="000000"/>
                <w:sz w:val="21"/>
                <w:szCs w:val="21"/>
              </w:rPr>
              <w:t>网站开设</w:t>
            </w:r>
            <w:r>
              <w:rPr>
                <w:rFonts w:hint="eastAsia"/>
                <w:color w:val="000000"/>
                <w:sz w:val="21"/>
                <w:szCs w:val="21"/>
                <w:lang w:eastAsia="zh-CN"/>
              </w:rPr>
              <w:t>的</w:t>
            </w:r>
            <w:r>
              <w:rPr>
                <w:color w:val="000000"/>
                <w:sz w:val="21"/>
                <w:szCs w:val="21"/>
              </w:rPr>
              <w:t>重点领域信息公开专栏，集中公开牵头的重点领域信息</w:t>
            </w:r>
            <w:r>
              <w:rPr>
                <w:rFonts w:hint="eastAsia"/>
                <w:color w:val="000000"/>
                <w:sz w:val="21"/>
                <w:szCs w:val="21"/>
              </w:rPr>
              <w:t>。</w:t>
            </w:r>
          </w:p>
        </w:tc>
        <w:tc>
          <w:tcPr>
            <w:tcW w:w="2520" w:type="dxa"/>
            <w:vMerge w:val="restart"/>
            <w:vAlign w:val="center"/>
          </w:tcPr>
          <w:p>
            <w:pPr>
              <w:pStyle w:val="4"/>
              <w:jc w:val="both"/>
              <w:rPr>
                <w:rFonts w:hint="eastAsia"/>
                <w:color w:val="000000"/>
                <w:sz w:val="21"/>
                <w:szCs w:val="21"/>
              </w:rPr>
            </w:pPr>
            <w:r>
              <w:rPr>
                <w:rFonts w:hint="eastAsia"/>
                <w:color w:val="000000"/>
                <w:sz w:val="21"/>
                <w:szCs w:val="21"/>
                <w:lang w:eastAsia="zh-CN"/>
              </w:rPr>
              <w:t>各乡镇（街道）、县属各部门</w:t>
            </w:r>
            <w:r>
              <w:rPr>
                <w:color w:val="000000"/>
                <w:sz w:val="21"/>
                <w:szCs w:val="21"/>
              </w:rPr>
              <w:t>负责落实</w:t>
            </w:r>
          </w:p>
        </w:tc>
        <w:tc>
          <w:tcPr>
            <w:tcW w:w="1575" w:type="dxa"/>
            <w:vAlign w:val="center"/>
          </w:tcPr>
          <w:p>
            <w:pPr>
              <w:pStyle w:val="4"/>
              <w:jc w:val="center"/>
              <w:rPr>
                <w:rFonts w:hint="eastAsia"/>
                <w:color w:val="000000"/>
                <w:sz w:val="21"/>
                <w:szCs w:val="21"/>
              </w:rPr>
            </w:pPr>
            <w:r>
              <w:rPr>
                <w:rFonts w:hint="eastAsia"/>
                <w:color w:val="000000"/>
                <w:sz w:val="21"/>
                <w:szCs w:val="21"/>
              </w:rPr>
              <w:t>2017年6月</w:t>
            </w:r>
            <w:r>
              <w:rPr>
                <w:rFonts w:hint="eastAsia"/>
                <w:color w:val="000000"/>
                <w:sz w:val="21"/>
                <w:szCs w:val="21"/>
                <w:lang w:eastAsia="zh-CN"/>
              </w:rPr>
              <w:t>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84</w:t>
            </w:r>
          </w:p>
        </w:tc>
        <w:tc>
          <w:tcPr>
            <w:tcW w:w="878" w:type="dxa"/>
            <w:vMerge w:val="continue"/>
            <w:vAlign w:val="center"/>
          </w:tcPr>
          <w:p>
            <w:pPr>
              <w:pStyle w:val="4"/>
              <w:jc w:val="center"/>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2016"/>
              </w:tabs>
              <w:spacing w:line="240" w:lineRule="exact"/>
              <w:rPr>
                <w:rFonts w:ascii="宋体" w:hAnsi="宋体" w:cs="FZFSK--GBK1-0"/>
                <w:color w:val="000000"/>
                <w:szCs w:val="21"/>
              </w:rPr>
            </w:pPr>
            <w:r>
              <w:rPr>
                <w:rFonts w:ascii="宋体" w:hAnsi="宋体"/>
                <w:color w:val="000000"/>
                <w:szCs w:val="21"/>
              </w:rPr>
              <w:t>严格落实《关于全面推进政务公开工作的意见》及其实施细则的相关要求，年内完成“五公开”纳入办文办会程序、建立公开内容动态扩展机制等工作，参照国家</w:t>
            </w:r>
            <w:r>
              <w:rPr>
                <w:rFonts w:hint="eastAsia" w:ascii="宋体" w:hAnsi="宋体"/>
                <w:color w:val="000000"/>
                <w:szCs w:val="21"/>
              </w:rPr>
              <w:t>、省</w:t>
            </w:r>
            <w:r>
              <w:rPr>
                <w:rFonts w:hint="eastAsia" w:ascii="宋体" w:hAnsi="宋体"/>
                <w:color w:val="000000"/>
                <w:szCs w:val="21"/>
                <w:lang w:eastAsia="zh-CN"/>
              </w:rPr>
              <w:t>、市</w:t>
            </w:r>
            <w:r>
              <w:rPr>
                <w:rFonts w:ascii="宋体" w:hAnsi="宋体"/>
                <w:color w:val="000000"/>
                <w:szCs w:val="21"/>
              </w:rPr>
              <w:t>和我</w:t>
            </w:r>
            <w:r>
              <w:rPr>
                <w:rFonts w:hint="eastAsia" w:ascii="宋体" w:hAnsi="宋体"/>
                <w:color w:val="000000"/>
                <w:szCs w:val="21"/>
                <w:lang w:eastAsia="zh-CN"/>
              </w:rPr>
              <w:t>县</w:t>
            </w:r>
            <w:r>
              <w:rPr>
                <w:rFonts w:ascii="宋体" w:hAnsi="宋体"/>
                <w:color w:val="000000"/>
                <w:szCs w:val="21"/>
              </w:rPr>
              <w:t>主动公开基本目录，制定</w:t>
            </w:r>
            <w:r>
              <w:rPr>
                <w:rFonts w:hint="eastAsia" w:ascii="宋体" w:hAnsi="宋体"/>
                <w:color w:val="000000"/>
                <w:szCs w:val="21"/>
                <w:lang w:eastAsia="zh-CN"/>
              </w:rPr>
              <w:t>县属各部门</w:t>
            </w:r>
            <w:r>
              <w:rPr>
                <w:rFonts w:ascii="宋体" w:hAnsi="宋体"/>
                <w:color w:val="000000"/>
                <w:szCs w:val="21"/>
              </w:rPr>
              <w:t>主动公开基本目录，稳步有序拓展公开范围</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restart"/>
            <w:vAlign w:val="center"/>
          </w:tcPr>
          <w:p>
            <w:pPr>
              <w:pStyle w:val="4"/>
              <w:jc w:val="center"/>
              <w:rPr>
                <w:rFonts w:hint="eastAsia"/>
                <w:color w:val="000000"/>
                <w:sz w:val="21"/>
                <w:szCs w:val="21"/>
              </w:rPr>
            </w:pPr>
            <w:r>
              <w:rPr>
                <w:rFonts w:hint="eastAsia" w:cs="FZFSK--GBK1-0"/>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85</w:t>
            </w:r>
          </w:p>
        </w:tc>
        <w:tc>
          <w:tcPr>
            <w:tcW w:w="878" w:type="dxa"/>
            <w:vMerge w:val="continue"/>
            <w:vAlign w:val="center"/>
          </w:tcPr>
          <w:p>
            <w:pPr>
              <w:pStyle w:val="4"/>
              <w:jc w:val="center"/>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2279"/>
              </w:tabs>
              <w:spacing w:line="240" w:lineRule="exact"/>
              <w:rPr>
                <w:rFonts w:ascii="宋体" w:hAnsi="宋体" w:cs="FZFSK--GBK1-0"/>
                <w:color w:val="000000"/>
                <w:szCs w:val="21"/>
              </w:rPr>
            </w:pPr>
            <w:r>
              <w:rPr>
                <w:rFonts w:ascii="宋体" w:hAnsi="宋体"/>
                <w:color w:val="000000"/>
                <w:szCs w:val="21"/>
              </w:rPr>
              <w:t>按照国</w:t>
            </w:r>
            <w:r>
              <w:rPr>
                <w:rFonts w:hint="eastAsia" w:ascii="宋体" w:hAnsi="宋体"/>
                <w:color w:val="000000"/>
                <w:szCs w:val="21"/>
              </w:rPr>
              <w:t>务院、</w:t>
            </w:r>
            <w:r>
              <w:rPr>
                <w:rFonts w:ascii="宋体" w:hAnsi="宋体"/>
                <w:color w:val="000000"/>
                <w:szCs w:val="21"/>
              </w:rPr>
              <w:t>省</w:t>
            </w:r>
            <w:r>
              <w:rPr>
                <w:rFonts w:hint="eastAsia" w:ascii="宋体" w:hAnsi="宋体"/>
                <w:color w:val="000000"/>
                <w:szCs w:val="21"/>
              </w:rPr>
              <w:t>政府及</w:t>
            </w:r>
            <w:r>
              <w:rPr>
                <w:rFonts w:hint="eastAsia" w:ascii="宋体" w:hAnsi="宋体"/>
                <w:color w:val="000000"/>
                <w:szCs w:val="21"/>
                <w:lang w:eastAsia="zh-CN"/>
              </w:rPr>
              <w:t>市政府</w:t>
            </w:r>
            <w:r>
              <w:rPr>
                <w:rFonts w:ascii="宋体" w:hAnsi="宋体"/>
                <w:color w:val="000000"/>
                <w:szCs w:val="21"/>
              </w:rPr>
              <w:t>统一部署，组织开展基层政务公开标准化规范化试点</w:t>
            </w:r>
            <w:r>
              <w:rPr>
                <w:rFonts w:hint="eastAsia" w:ascii="宋体" w:hAnsi="宋体"/>
                <w:color w:val="000000"/>
                <w:szCs w:val="21"/>
              </w:rPr>
              <w:t>，</w:t>
            </w:r>
            <w:r>
              <w:rPr>
                <w:rFonts w:ascii="宋体" w:hAnsi="宋体"/>
                <w:color w:val="000000"/>
                <w:szCs w:val="21"/>
              </w:rPr>
              <w:t>选好试点单位，做细试点方案，确保取得实效</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86</w:t>
            </w:r>
          </w:p>
        </w:tc>
        <w:tc>
          <w:tcPr>
            <w:tcW w:w="878" w:type="dxa"/>
            <w:vMerge w:val="continue"/>
            <w:vAlign w:val="center"/>
          </w:tcPr>
          <w:p>
            <w:pPr>
              <w:pStyle w:val="4"/>
              <w:jc w:val="center"/>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4383"/>
              </w:tabs>
              <w:autoSpaceDE w:val="0"/>
              <w:autoSpaceDN w:val="0"/>
              <w:adjustRightInd w:val="0"/>
              <w:spacing w:line="240" w:lineRule="exact"/>
              <w:rPr>
                <w:rFonts w:ascii="宋体" w:hAnsi="宋体" w:cs="FZFSK--GBK1-0"/>
                <w:color w:val="000000"/>
                <w:kern w:val="0"/>
                <w:szCs w:val="21"/>
              </w:rPr>
            </w:pPr>
            <w:r>
              <w:rPr>
                <w:rFonts w:ascii="宋体" w:hAnsi="宋体"/>
                <w:color w:val="000000"/>
                <w:szCs w:val="21"/>
              </w:rPr>
              <w:t>将公开要求落实到会议办理程序，对是否邀请有关方面人员列席会议、是否公开及公开方式的意见要随会议方案一同报批</w:t>
            </w:r>
            <w:r>
              <w:rPr>
                <w:rFonts w:hint="eastAsia" w:ascii="宋体" w:hAnsi="宋体"/>
                <w:color w:val="000000"/>
                <w:szCs w:val="21"/>
              </w:rPr>
              <w:t>；</w:t>
            </w:r>
            <w:r>
              <w:rPr>
                <w:rFonts w:ascii="宋体" w:hAnsi="宋体"/>
                <w:color w:val="000000"/>
                <w:szCs w:val="21"/>
              </w:rPr>
              <w:t>建立健全利益相关方、公众代表、专家、媒体等列席政府和部门有关会议制度</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restart"/>
            <w:vAlign w:val="center"/>
          </w:tcPr>
          <w:p>
            <w:pPr>
              <w:pStyle w:val="4"/>
              <w:jc w:val="center"/>
              <w:rPr>
                <w:rFonts w:hint="eastAsia"/>
                <w:color w:val="000000"/>
                <w:spacing w:val="-10"/>
                <w:sz w:val="21"/>
                <w:szCs w:val="21"/>
              </w:rPr>
            </w:pPr>
            <w:r>
              <w:rPr>
                <w:rFonts w:hint="eastAsia"/>
                <w:color w:val="000000"/>
                <w:spacing w:val="-10"/>
                <w:sz w:val="21"/>
                <w:szCs w:val="21"/>
              </w:rPr>
              <w:t>2017年11月</w:t>
            </w:r>
            <w:r>
              <w:rPr>
                <w:rFonts w:hint="eastAsia"/>
                <w:color w:val="000000"/>
                <w:spacing w:val="-10"/>
                <w:sz w:val="21"/>
                <w:szCs w:val="21"/>
                <w:lang w:eastAsia="zh-CN"/>
              </w:rPr>
              <w:t>中旬</w:t>
            </w:r>
            <w:r>
              <w:rPr>
                <w:rFonts w:hint="eastAsia"/>
                <w:color w:val="000000"/>
                <w:spacing w:val="-10"/>
                <w:sz w:val="21"/>
                <w:szCs w:val="21"/>
              </w:rPr>
              <w:t>将落实情况报</w:t>
            </w:r>
            <w:r>
              <w:rPr>
                <w:rFonts w:hint="eastAsia"/>
                <w:color w:val="000000"/>
                <w:spacing w:val="-10"/>
                <w:sz w:val="21"/>
                <w:szCs w:val="21"/>
                <w:lang w:eastAsia="zh-CN"/>
              </w:rPr>
              <w:t>县</w:t>
            </w:r>
            <w:r>
              <w:rPr>
                <w:rFonts w:hint="eastAsia"/>
                <w:color w:val="000000"/>
                <w:spacing w:val="-10"/>
                <w:sz w:val="21"/>
                <w:szCs w:val="21"/>
              </w:rPr>
              <w:t>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87</w:t>
            </w:r>
          </w:p>
        </w:tc>
        <w:tc>
          <w:tcPr>
            <w:tcW w:w="878" w:type="dxa"/>
            <w:vMerge w:val="continue"/>
            <w:vAlign w:val="center"/>
          </w:tcPr>
          <w:p>
            <w:pPr>
              <w:pStyle w:val="4"/>
              <w:jc w:val="center"/>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autoSpaceDE w:val="0"/>
              <w:autoSpaceDN w:val="0"/>
              <w:adjustRightInd w:val="0"/>
              <w:spacing w:line="240" w:lineRule="exact"/>
              <w:rPr>
                <w:rFonts w:ascii="宋体" w:hAnsi="宋体" w:cs="FZFSK--GBK1-0"/>
                <w:color w:val="000000"/>
                <w:kern w:val="0"/>
                <w:szCs w:val="21"/>
              </w:rPr>
            </w:pPr>
            <w:r>
              <w:rPr>
                <w:rFonts w:ascii="宋体" w:hAnsi="宋体"/>
                <w:color w:val="000000"/>
                <w:szCs w:val="21"/>
              </w:rPr>
              <w:t>对涉及公众利益、需要社会广泛知晓的电视电话会议，除涉及国家秘密的外，均应积极通过网络、新媒体直播等向社会公开</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88</w:t>
            </w:r>
          </w:p>
        </w:tc>
        <w:tc>
          <w:tcPr>
            <w:tcW w:w="878" w:type="dxa"/>
            <w:vMerge w:val="continue"/>
            <w:vAlign w:val="center"/>
          </w:tcPr>
          <w:p>
            <w:pPr>
              <w:pStyle w:val="4"/>
              <w:jc w:val="center"/>
              <w:rPr>
                <w:color w:val="000000"/>
                <w:sz w:val="21"/>
                <w:szCs w:val="21"/>
              </w:rPr>
            </w:pPr>
          </w:p>
        </w:tc>
        <w:tc>
          <w:tcPr>
            <w:tcW w:w="1410" w:type="dxa"/>
            <w:vMerge w:val="restart"/>
            <w:vAlign w:val="center"/>
          </w:tcPr>
          <w:p>
            <w:pPr>
              <w:rPr>
                <w:rFonts w:ascii="宋体" w:hAnsi="宋体"/>
                <w:color w:val="000000"/>
                <w:szCs w:val="21"/>
              </w:rPr>
            </w:pPr>
            <w:r>
              <w:rPr>
                <w:rFonts w:ascii="宋体" w:hAnsi="宋体"/>
                <w:color w:val="000000"/>
                <w:szCs w:val="21"/>
              </w:rPr>
              <w:t>进一步健全解读回应机制</w:t>
            </w:r>
          </w:p>
        </w:tc>
        <w:tc>
          <w:tcPr>
            <w:tcW w:w="7267" w:type="dxa"/>
            <w:vAlign w:val="center"/>
          </w:tcPr>
          <w:p>
            <w:pPr>
              <w:pStyle w:val="4"/>
              <w:spacing w:line="240" w:lineRule="exact"/>
              <w:jc w:val="both"/>
              <w:rPr>
                <w:color w:val="000000"/>
                <w:sz w:val="21"/>
                <w:szCs w:val="21"/>
              </w:rPr>
            </w:pPr>
            <w:r>
              <w:rPr>
                <w:color w:val="000000"/>
                <w:sz w:val="21"/>
                <w:szCs w:val="21"/>
              </w:rPr>
              <w:t>加强对规范性文件解读的监督检查，统一发布规范性文件及解读材料</w:t>
            </w:r>
            <w:r>
              <w:rPr>
                <w:rFonts w:hint="eastAsia"/>
                <w:color w:val="000000"/>
                <w:sz w:val="21"/>
                <w:szCs w:val="21"/>
              </w:rPr>
              <w:t>，</w:t>
            </w:r>
            <w:r>
              <w:rPr>
                <w:color w:val="000000"/>
                <w:sz w:val="21"/>
                <w:szCs w:val="21"/>
              </w:rPr>
              <w:t>将规范性文件解读工作作为依法行政考评内容</w:t>
            </w:r>
            <w:r>
              <w:rPr>
                <w:rFonts w:hint="eastAsia"/>
                <w:color w:val="000000"/>
                <w:sz w:val="21"/>
                <w:szCs w:val="21"/>
              </w:rPr>
              <w:t>。</w:t>
            </w:r>
          </w:p>
        </w:tc>
        <w:tc>
          <w:tcPr>
            <w:tcW w:w="2520" w:type="dxa"/>
            <w:vAlign w:val="center"/>
          </w:tcPr>
          <w:p>
            <w:pPr>
              <w:autoSpaceDE w:val="0"/>
              <w:autoSpaceDN w:val="0"/>
              <w:adjustRightInd w:val="0"/>
              <w:rPr>
                <w:rFonts w:ascii="宋体" w:hAnsi="宋体" w:cs="FZFSK--GBK1-0"/>
                <w:color w:val="000000"/>
                <w:kern w:val="0"/>
                <w:szCs w:val="21"/>
              </w:rPr>
            </w:pPr>
            <w:r>
              <w:rPr>
                <w:rFonts w:hint="eastAsia" w:ascii="宋体" w:hAnsi="宋体" w:cs="FZFSK--GBK1-0"/>
                <w:color w:val="000000"/>
                <w:kern w:val="0"/>
                <w:szCs w:val="21"/>
                <w:lang w:eastAsia="zh-CN"/>
              </w:rPr>
              <w:t>县政府</w:t>
            </w:r>
            <w:r>
              <w:rPr>
                <w:rFonts w:hint="eastAsia" w:ascii="宋体" w:hAnsi="宋体" w:cs="FZFSK--GBK1-0"/>
                <w:color w:val="000000"/>
                <w:kern w:val="0"/>
                <w:szCs w:val="21"/>
              </w:rPr>
              <w:t>法制办牵头</w:t>
            </w:r>
          </w:p>
        </w:tc>
        <w:tc>
          <w:tcPr>
            <w:tcW w:w="1575" w:type="dxa"/>
            <w:vMerge w:val="restart"/>
            <w:vAlign w:val="center"/>
          </w:tcPr>
          <w:p>
            <w:pPr>
              <w:pStyle w:val="4"/>
              <w:jc w:val="center"/>
              <w:rPr>
                <w:rFonts w:hint="eastAsia"/>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89</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widowControl/>
              <w:tabs>
                <w:tab w:val="left" w:pos="2016"/>
              </w:tabs>
              <w:spacing w:line="200" w:lineRule="exact"/>
              <w:jc w:val="both"/>
              <w:rPr>
                <w:rFonts w:ascii="宋体" w:hAnsi="宋体"/>
                <w:color w:val="000000"/>
                <w:szCs w:val="21"/>
                <w:lang w:val="en-US" w:eastAsia="zh-CN"/>
              </w:rPr>
            </w:pPr>
          </w:p>
          <w:p>
            <w:pPr>
              <w:widowControl/>
              <w:tabs>
                <w:tab w:val="left" w:pos="2016"/>
              </w:tabs>
              <w:spacing w:line="200" w:lineRule="exact"/>
              <w:jc w:val="both"/>
              <w:rPr>
                <w:rFonts w:ascii="宋体" w:hAnsi="宋体" w:cs="FZFSK--GBK1-0"/>
                <w:color w:val="000000"/>
                <w:szCs w:val="21"/>
              </w:rPr>
            </w:pPr>
            <w:r>
              <w:rPr>
                <w:rFonts w:ascii="宋体" w:hAnsi="宋体"/>
                <w:color w:val="000000"/>
                <w:szCs w:val="21"/>
                <w:lang w:val="en-US" w:eastAsia="zh-CN"/>
              </w:rPr>
              <mc:AlternateContent>
                <mc:Choice Requires="wps">
                  <w:drawing>
                    <wp:anchor distT="0" distB="0" distL="114300" distR="114300" simplePos="0" relativeHeight="251669504" behindDoc="0" locked="0" layoutInCell="1" allowOverlap="1">
                      <wp:simplePos x="0" y="0"/>
                      <wp:positionH relativeFrom="column">
                        <wp:posOffset>-2800350</wp:posOffset>
                      </wp:positionH>
                      <wp:positionV relativeFrom="paragraph">
                        <wp:posOffset>299720</wp:posOffset>
                      </wp:positionV>
                      <wp:extent cx="533400" cy="891540"/>
                      <wp:effectExtent l="4445" t="4445" r="14605" b="18415"/>
                      <wp:wrapNone/>
                      <wp:docPr id="1" name="文本框 9"/>
                      <wp:cNvGraphicFramePr/>
                      <a:graphic xmlns:a="http://schemas.openxmlformats.org/drawingml/2006/main">
                        <a:graphicData uri="http://schemas.microsoft.com/office/word/2010/wordprocessingShape">
                          <wps:wsp>
                            <wps:cNvSpPr txBox="1"/>
                            <wps:spPr>
                              <a:xfrm>
                                <a:off x="0" y="0"/>
                                <a:ext cx="533400" cy="8915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80" w:lineRule="exact"/>
                                  </w:pPr>
                                </w:p>
                                <w:p/>
                              </w:txbxContent>
                            </wps:txbx>
                            <wps:bodyPr vert="eaVert" upright="1"/>
                          </wps:wsp>
                        </a:graphicData>
                      </a:graphic>
                    </wp:anchor>
                  </w:drawing>
                </mc:Choice>
                <mc:Fallback>
                  <w:pict>
                    <v:shape id="文本框 9" o:spid="_x0000_s1026" o:spt="202" type="#_x0000_t202" style="position:absolute;left:0pt;margin-left:-220.5pt;margin-top:23.6pt;height:70.2pt;width:42pt;z-index:251669504;mso-width-relative:page;mso-height-relative:page;" fillcolor="#FFFFFF" filled="t" stroked="t" coordsize="21600,21600" o:gfxdata="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qwFUk2AAAAAwBAAAPAAAAAAAAAAEAIAAA&#10;ADgAAABkcnMvZG93bnJldi54bWxQSwECFAAUAAAACACHTuJAreJH7/YBAAD1AwAADgAAAAAAAAAB&#10;ACAAAAA9AQAAZHJzL2Uyb0RvYy54bWxQSwUGAAAAAAYABgBZAQAApQUAAAAA&#10;">
                      <v:fill on="t" focussize="0,0"/>
                      <v:stroke color="#FFFFFF" joinstyle="miter"/>
                      <v:imagedata o:title=""/>
                      <o:lock v:ext="edit" aspectratio="f"/>
                      <v:textbox style="layout-flow:vertical-ideographic;">
                        <w:txbxContent>
                          <w:p>
                            <w:pPr>
                              <w:spacing w:line="480" w:lineRule="exact"/>
                            </w:pPr>
                          </w:p>
                          <w:p/>
                        </w:txbxContent>
                      </v:textbox>
                    </v:shape>
                  </w:pict>
                </mc:Fallback>
              </mc:AlternateContent>
            </w:r>
            <w:r>
              <w:rPr>
                <w:rFonts w:ascii="宋体" w:hAnsi="宋体"/>
                <w:color w:val="000000"/>
                <w:szCs w:val="21"/>
                <w:lang w:val="en-US" w:eastAsia="zh-CN"/>
              </w:rPr>
              <w:t>建立行政机关主要负责人定期带头宣讲政策机制，建立健全例行新闻发布制度，把新闻发布会和政策吹风会作为政策解读的重要渠道。发改、教育、卫</w:t>
            </w:r>
            <w:r>
              <w:rPr>
                <w:rFonts w:hint="eastAsia" w:ascii="宋体" w:hAnsi="宋体"/>
                <w:color w:val="000000"/>
                <w:szCs w:val="21"/>
                <w:lang w:val="en-US" w:eastAsia="zh-CN"/>
              </w:rPr>
              <w:t>计</w:t>
            </w:r>
            <w:r>
              <w:rPr>
                <w:rFonts w:ascii="宋体" w:hAnsi="宋体"/>
                <w:color w:val="000000"/>
                <w:szCs w:val="21"/>
                <w:lang w:val="en-US" w:eastAsia="zh-CN"/>
              </w:rPr>
              <w:t>、</w:t>
            </w:r>
            <w:r>
              <w:rPr>
                <w:rFonts w:hint="eastAsia" w:ascii="宋体" w:hAnsi="宋体"/>
                <w:color w:val="000000"/>
                <w:szCs w:val="21"/>
                <w:lang w:val="en-US" w:eastAsia="zh-CN"/>
              </w:rPr>
              <w:t>市场监管</w:t>
            </w:r>
            <w:r>
              <w:rPr>
                <w:rFonts w:ascii="宋体" w:hAnsi="宋体"/>
                <w:color w:val="000000"/>
                <w:szCs w:val="21"/>
                <w:lang w:val="en-US" w:eastAsia="zh-CN"/>
              </w:rPr>
              <w:t xml:space="preserve">、环保、国土资源、住建等与宏观经济和民生关系密切，以及社会关注事项较多的职能部门（详见云政办发〔2016〕106 号），进一步加大新闻发布频次，原则上每季度至少举办 </w:t>
            </w:r>
            <w:r>
              <w:rPr>
                <w:rFonts w:hint="eastAsia" w:ascii="宋体" w:hAnsi="宋体"/>
                <w:color w:val="000000"/>
                <w:szCs w:val="21"/>
                <w:lang w:val="en-US" w:eastAsia="zh-CN"/>
              </w:rPr>
              <w:t>1</w:t>
            </w:r>
            <w:r>
              <w:rPr>
                <w:rFonts w:ascii="宋体" w:hAnsi="宋体"/>
                <w:color w:val="000000"/>
                <w:szCs w:val="21"/>
                <w:lang w:val="en-US" w:eastAsia="zh-CN"/>
              </w:rPr>
              <w:t>次新闻发布会</w:t>
            </w:r>
            <w:r>
              <w:rPr>
                <w:rFonts w:hint="eastAsia" w:ascii="宋体" w:hAnsi="宋体"/>
                <w:color w:val="000000"/>
                <w:szCs w:val="21"/>
                <w:lang w:val="en-US" w:eastAsia="zh-CN"/>
              </w:rPr>
              <w:t>。</w:t>
            </w:r>
          </w:p>
        </w:tc>
        <w:tc>
          <w:tcPr>
            <w:tcW w:w="2520" w:type="dxa"/>
            <w:vAlign w:val="center"/>
          </w:tcPr>
          <w:p>
            <w:pPr>
              <w:rPr>
                <w:rFonts w:ascii="宋体" w:hAnsi="宋体"/>
                <w:color w:val="000000"/>
                <w:szCs w:val="21"/>
              </w:rPr>
            </w:pPr>
            <w:r>
              <w:rPr>
                <w:rFonts w:hint="eastAsia" w:ascii="宋体" w:hAnsi="宋体"/>
                <w:color w:val="000000"/>
                <w:szCs w:val="21"/>
                <w:lang w:eastAsia="zh-CN"/>
              </w:rPr>
              <w:t>县委宣传部</w:t>
            </w:r>
            <w:r>
              <w:rPr>
                <w:rFonts w:ascii="宋体" w:hAnsi="宋体"/>
                <w:color w:val="000000"/>
                <w:szCs w:val="21"/>
              </w:rPr>
              <w:t>牵头</w:t>
            </w:r>
            <w:r>
              <w:rPr>
                <w:rFonts w:hint="eastAsia" w:ascii="宋体" w:hAnsi="宋体"/>
                <w:color w:val="000000"/>
                <w:szCs w:val="21"/>
                <w:lang w:eastAsia="zh-CN"/>
              </w:rPr>
              <w:t>，各乡镇（街道）、县属</w:t>
            </w:r>
            <w:r>
              <w:rPr>
                <w:rFonts w:ascii="宋体" w:hAnsi="宋体"/>
                <w:color w:val="000000"/>
                <w:szCs w:val="21"/>
              </w:rPr>
              <w:t>各部门负责落实</w:t>
            </w: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90</w:t>
            </w:r>
          </w:p>
        </w:tc>
        <w:tc>
          <w:tcPr>
            <w:tcW w:w="878" w:type="dxa"/>
            <w:vMerge w:val="restart"/>
            <w:vAlign w:val="center"/>
          </w:tcPr>
          <w:p>
            <w:pPr>
              <w:pStyle w:val="4"/>
              <w:jc w:val="center"/>
              <w:rPr>
                <w:color w:val="000000"/>
                <w:sz w:val="21"/>
                <w:szCs w:val="21"/>
              </w:rPr>
            </w:pPr>
            <w:r>
              <w:rPr>
                <w:color w:val="000000"/>
                <w:sz w:val="21"/>
                <w:szCs w:val="21"/>
              </w:rPr>
              <w:t>增强政务</w:t>
            </w:r>
          </w:p>
          <w:p>
            <w:pPr>
              <w:pStyle w:val="4"/>
              <w:jc w:val="center"/>
              <w:rPr>
                <w:color w:val="000000"/>
                <w:sz w:val="21"/>
                <w:szCs w:val="21"/>
              </w:rPr>
            </w:pPr>
            <w:r>
              <w:rPr>
                <w:color w:val="000000"/>
                <w:sz w:val="21"/>
                <w:szCs w:val="21"/>
              </w:rPr>
              <w:t>公开实效</w:t>
            </w:r>
          </w:p>
        </w:tc>
        <w:tc>
          <w:tcPr>
            <w:tcW w:w="1410" w:type="dxa"/>
            <w:vMerge w:val="restart"/>
            <w:vAlign w:val="center"/>
          </w:tcPr>
          <w:p>
            <w:pPr>
              <w:rPr>
                <w:rFonts w:ascii="宋体" w:hAnsi="宋体"/>
                <w:color w:val="000000"/>
                <w:szCs w:val="21"/>
              </w:rPr>
            </w:pPr>
            <w:r>
              <w:rPr>
                <w:rFonts w:ascii="宋体" w:hAnsi="宋体"/>
                <w:color w:val="000000"/>
                <w:szCs w:val="21"/>
              </w:rPr>
              <w:t>进一步健全解读回应机制</w:t>
            </w:r>
          </w:p>
        </w:tc>
        <w:tc>
          <w:tcPr>
            <w:tcW w:w="7267" w:type="dxa"/>
            <w:vAlign w:val="center"/>
          </w:tcPr>
          <w:p>
            <w:pPr>
              <w:widowControl/>
              <w:tabs>
                <w:tab w:val="left" w:pos="2279"/>
              </w:tabs>
              <w:spacing w:line="240" w:lineRule="exact"/>
              <w:rPr>
                <w:rFonts w:ascii="宋体" w:hAnsi="宋体" w:cs="FZFSK--GBK1-0"/>
                <w:color w:val="000000"/>
                <w:szCs w:val="21"/>
              </w:rPr>
            </w:pPr>
            <w:r>
              <w:rPr>
                <w:rFonts w:ascii="宋体" w:hAnsi="宋体"/>
                <w:color w:val="000000"/>
                <w:szCs w:val="21"/>
              </w:rPr>
              <mc:AlternateContent>
                <mc:Choice Requires="wps">
                  <w:drawing>
                    <wp:anchor distT="0" distB="0" distL="114300" distR="114300" simplePos="0" relativeHeight="251670528" behindDoc="0" locked="0" layoutInCell="1" allowOverlap="1">
                      <wp:simplePos x="0" y="0"/>
                      <wp:positionH relativeFrom="column">
                        <wp:posOffset>-2733675</wp:posOffset>
                      </wp:positionH>
                      <wp:positionV relativeFrom="paragraph">
                        <wp:posOffset>-36830</wp:posOffset>
                      </wp:positionV>
                      <wp:extent cx="466725" cy="891540"/>
                      <wp:effectExtent l="4445" t="4445" r="5080" b="18415"/>
                      <wp:wrapNone/>
                      <wp:docPr id="9" name="文本框 10"/>
                      <wp:cNvGraphicFramePr/>
                      <a:graphic xmlns:a="http://schemas.openxmlformats.org/drawingml/2006/main">
                        <a:graphicData uri="http://schemas.microsoft.com/office/word/2010/wordprocessingShape">
                          <wps:wsp>
                            <wps:cNvSpPr txBox="1"/>
                            <wps:spPr>
                              <a:xfrm>
                                <a:off x="0" y="0"/>
                                <a:ext cx="466725" cy="8915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80" w:lineRule="exact"/>
                                  </w:pPr>
                                </w:p>
                                <w:p/>
                              </w:txbxContent>
                            </wps:txbx>
                            <wps:bodyPr vert="eaVert" upright="1"/>
                          </wps:wsp>
                        </a:graphicData>
                      </a:graphic>
                    </wp:anchor>
                  </w:drawing>
                </mc:Choice>
                <mc:Fallback>
                  <w:pict>
                    <v:shape id="文本框 10" o:spid="_x0000_s1026" o:spt="202" type="#_x0000_t202" style="position:absolute;left:0pt;margin-left:-215.25pt;margin-top:-2.9pt;height:70.2pt;width:36.75pt;z-index:251670528;mso-width-relative:page;mso-height-relative:page;" fillcolor="#FFFFFF" filled="t" stroked="t" coordsize="21600,21600" o:gfxdata="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HXghnNcAAAAMAQAADwAAAAAAAAABACAAAAA4&#10;AAAAZHJzL2Rvd25yZXYueG1sUEsBAhQAFAAAAAgAh07iQC7r4pb1AQAA9gMAAA4AAAAAAAAAAQAg&#10;AAAAPAEAAGRycy9lMm9Eb2MueG1sUEsFBgAAAAAGAAYAWQEAAKMFAAAAAA==&#10;">
                      <v:fill on="t" focussize="0,0"/>
                      <v:stroke color="#FFFFFF" joinstyle="miter"/>
                      <v:imagedata o:title=""/>
                      <o:lock v:ext="edit" aspectratio="f"/>
                      <v:textbox style="layout-flow:vertical-ideographic;">
                        <w:txbxContent>
                          <w:p>
                            <w:pPr>
                              <w:spacing w:line="480" w:lineRule="exact"/>
                            </w:pPr>
                          </w:p>
                          <w:p/>
                        </w:txbxContent>
                      </v:textbox>
                    </v:shape>
                  </w:pict>
                </mc:Fallback>
              </mc:AlternateContent>
            </w:r>
            <w:r>
              <w:rPr>
                <w:rFonts w:ascii="宋体" w:hAnsi="宋体"/>
                <w:color w:val="000000"/>
                <w:szCs w:val="21"/>
              </w:rPr>
              <w:t>切实落实《关于全面推进政务公开工作的意见》及实施细则等关于做好政策解读回应的相关规定。解读政策性文件，着重解读政策措施的背景依据、目标任务、主要内容、涉及范围、执行标准，以及注意事项、关键词诠释、惠民利民举措、新旧政策差异等</w:t>
            </w:r>
            <w:r>
              <w:rPr>
                <w:rFonts w:hint="eastAsia" w:ascii="宋体" w:hAnsi="宋体"/>
                <w:color w:val="000000"/>
                <w:szCs w:val="21"/>
              </w:rPr>
              <w:t>。</w:t>
            </w:r>
          </w:p>
        </w:tc>
        <w:tc>
          <w:tcPr>
            <w:tcW w:w="2520" w:type="dxa"/>
            <w:vMerge w:val="restart"/>
            <w:vAlign w:val="center"/>
          </w:tcPr>
          <w:p>
            <w:pPr>
              <w:pStyle w:val="4"/>
              <w:jc w:val="both"/>
              <w:rPr>
                <w:rFonts w:hint="eastAsia"/>
                <w:color w:val="000000"/>
                <w:sz w:val="21"/>
                <w:szCs w:val="21"/>
              </w:rPr>
            </w:pPr>
            <w:r>
              <w:rPr>
                <w:rFonts w:hint="eastAsia"/>
                <w:color w:val="000000"/>
                <w:sz w:val="21"/>
                <w:szCs w:val="21"/>
                <w:lang w:eastAsia="zh-CN"/>
              </w:rPr>
              <w:t>各乡镇（街道）、县属</w:t>
            </w:r>
            <w:r>
              <w:rPr>
                <w:color w:val="000000"/>
                <w:sz w:val="21"/>
                <w:szCs w:val="21"/>
              </w:rPr>
              <w:t>各部门负责落实</w:t>
            </w:r>
          </w:p>
        </w:tc>
        <w:tc>
          <w:tcPr>
            <w:tcW w:w="1575" w:type="dxa"/>
            <w:vMerge w:val="restart"/>
            <w:vAlign w:val="center"/>
          </w:tcPr>
          <w:p>
            <w:pPr>
              <w:pStyle w:val="4"/>
              <w:jc w:val="center"/>
              <w:rPr>
                <w:rFonts w:hint="eastAsia"/>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91</w:t>
            </w:r>
          </w:p>
        </w:tc>
        <w:tc>
          <w:tcPr>
            <w:tcW w:w="878" w:type="dxa"/>
            <w:vMerge w:val="continue"/>
            <w:vAlign w:val="center"/>
          </w:tcPr>
          <w:p>
            <w:pPr>
              <w:pStyle w:val="4"/>
              <w:jc w:val="center"/>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widowControl/>
              <w:tabs>
                <w:tab w:val="left" w:pos="4358"/>
              </w:tabs>
              <w:spacing w:line="240" w:lineRule="exact"/>
              <w:rPr>
                <w:rFonts w:ascii="宋体" w:hAnsi="宋体" w:cs="FZFSK--GBK1-0"/>
                <w:color w:val="000000"/>
                <w:kern w:val="0"/>
                <w:szCs w:val="21"/>
              </w:rPr>
            </w:pPr>
            <w:r>
              <w:rPr>
                <w:rFonts w:ascii="宋体" w:hAnsi="宋体"/>
                <w:color w:val="000000"/>
                <w:szCs w:val="21"/>
              </w:rPr>
              <w:t>单位主要负责人履行“第一解读人和责任人”的职责，充分利用新闻发布会、政策吹风会、新闻媒体采访和撰写发表解读文章等方式，主动回应关切。</w:t>
            </w:r>
            <w:r>
              <w:rPr>
                <w:rFonts w:hint="eastAsia" w:ascii="宋体" w:hAnsi="宋体"/>
                <w:color w:val="000000"/>
                <w:szCs w:val="21"/>
                <w:lang w:eastAsia="zh-CN"/>
              </w:rPr>
              <w:t>各乡镇（街道）</w:t>
            </w:r>
            <w:r>
              <w:rPr>
                <w:rFonts w:ascii="宋体" w:hAnsi="宋体"/>
                <w:color w:val="000000"/>
                <w:szCs w:val="21"/>
              </w:rPr>
              <w:t>、与宏观经济和民生关系密切的</w:t>
            </w:r>
            <w:r>
              <w:rPr>
                <w:rFonts w:hint="eastAsia" w:ascii="宋体" w:hAnsi="宋体"/>
                <w:color w:val="000000"/>
                <w:szCs w:val="21"/>
                <w:lang w:eastAsia="zh-CN"/>
              </w:rPr>
              <w:t>县属</w:t>
            </w:r>
            <w:r>
              <w:rPr>
                <w:rFonts w:ascii="宋体" w:hAnsi="宋体"/>
                <w:color w:val="000000"/>
                <w:szCs w:val="21"/>
              </w:rPr>
              <w:t>有关部门主要负责同志，每年解读重要政策措施不少于</w:t>
            </w:r>
            <w:r>
              <w:rPr>
                <w:rFonts w:hint="eastAsia" w:ascii="宋体" w:hAnsi="宋体"/>
                <w:color w:val="000000"/>
                <w:szCs w:val="21"/>
                <w:lang w:val="en-US" w:eastAsia="zh-CN"/>
              </w:rPr>
              <w:t>1</w:t>
            </w:r>
            <w:r>
              <w:rPr>
                <w:rFonts w:ascii="宋体" w:hAnsi="宋体"/>
                <w:color w:val="000000"/>
                <w:szCs w:val="21"/>
              </w:rPr>
              <w:t>次</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92</w:t>
            </w:r>
          </w:p>
        </w:tc>
        <w:tc>
          <w:tcPr>
            <w:tcW w:w="878" w:type="dxa"/>
            <w:vMerge w:val="continue"/>
            <w:vAlign w:val="center"/>
          </w:tcPr>
          <w:p>
            <w:pPr>
              <w:pStyle w:val="4"/>
              <w:jc w:val="center"/>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widowControl/>
              <w:spacing w:line="240" w:lineRule="exact"/>
              <w:rPr>
                <w:rFonts w:ascii="宋体" w:hAnsi="宋体" w:cs="FZFSK--GBK1-0"/>
                <w:color w:val="000000"/>
                <w:kern w:val="0"/>
                <w:szCs w:val="21"/>
              </w:rPr>
            </w:pPr>
            <w:r>
              <w:rPr>
                <w:rFonts w:ascii="宋体" w:hAnsi="宋体"/>
                <w:color w:val="000000"/>
                <w:szCs w:val="21"/>
              </w:rPr>
              <w:t>按照《云南省人民政府办公厅关于认真做好省人大代表建议和省政协提案办理结果公开工作的通知》（云政办发〔2017〕21 号），依法全文公开有关办理复文</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93</w:t>
            </w:r>
          </w:p>
        </w:tc>
        <w:tc>
          <w:tcPr>
            <w:tcW w:w="878" w:type="dxa"/>
            <w:vMerge w:val="continue"/>
            <w:vAlign w:val="center"/>
          </w:tcPr>
          <w:p>
            <w:pPr>
              <w:pStyle w:val="4"/>
              <w:jc w:val="center"/>
              <w:rPr>
                <w:color w:val="000000"/>
                <w:sz w:val="21"/>
                <w:szCs w:val="21"/>
              </w:rPr>
            </w:pPr>
          </w:p>
        </w:tc>
        <w:tc>
          <w:tcPr>
            <w:tcW w:w="1410" w:type="dxa"/>
            <w:vMerge w:val="restart"/>
            <w:vAlign w:val="center"/>
          </w:tcPr>
          <w:p>
            <w:pPr>
              <w:rPr>
                <w:rFonts w:ascii="宋体" w:hAnsi="宋体"/>
                <w:color w:val="000000"/>
                <w:szCs w:val="21"/>
              </w:rPr>
            </w:pPr>
            <w:r>
              <w:rPr>
                <w:rFonts w:ascii="宋体" w:hAnsi="宋体"/>
                <w:color w:val="000000"/>
                <w:szCs w:val="21"/>
              </w:rPr>
              <w:t>进一步健全解读回应机制</w:t>
            </w:r>
          </w:p>
        </w:tc>
        <w:tc>
          <w:tcPr>
            <w:tcW w:w="7267" w:type="dxa"/>
            <w:vAlign w:val="center"/>
          </w:tcPr>
          <w:p>
            <w:pPr>
              <w:pStyle w:val="4"/>
              <w:spacing w:line="240" w:lineRule="exact"/>
              <w:jc w:val="both"/>
              <w:rPr>
                <w:color w:val="000000"/>
                <w:sz w:val="21"/>
                <w:szCs w:val="21"/>
              </w:rPr>
            </w:pPr>
            <w:r>
              <w:rPr>
                <w:color w:val="000000"/>
                <w:sz w:val="21"/>
                <w:szCs w:val="21"/>
              </w:rPr>
              <w:t>重要改革方案和重大政策措施，除保密事项外，应在决策前向社会公布草案、决策依据，广泛听取意见</w:t>
            </w:r>
            <w:r>
              <w:rPr>
                <w:rFonts w:hint="eastAsia"/>
                <w:color w:val="000000"/>
                <w:sz w:val="21"/>
                <w:szCs w:val="21"/>
              </w:rPr>
              <w:t>。</w:t>
            </w:r>
          </w:p>
        </w:tc>
        <w:tc>
          <w:tcPr>
            <w:tcW w:w="2520" w:type="dxa"/>
            <w:vMerge w:val="restart"/>
            <w:vAlign w:val="center"/>
          </w:tcPr>
          <w:p>
            <w:pPr>
              <w:autoSpaceDE w:val="0"/>
              <w:autoSpaceDN w:val="0"/>
              <w:adjustRightInd w:val="0"/>
              <w:rPr>
                <w:rFonts w:ascii="宋体" w:hAnsi="宋体" w:cs="FZFSK--GBK1-0"/>
                <w:color w:val="000000"/>
                <w:kern w:val="0"/>
                <w:szCs w:val="21"/>
              </w:rPr>
            </w:pPr>
            <w:r>
              <w:rPr>
                <w:rFonts w:hint="eastAsia"/>
                <w:color w:val="000000"/>
                <w:sz w:val="21"/>
                <w:szCs w:val="21"/>
                <w:lang w:eastAsia="zh-CN"/>
              </w:rPr>
              <w:t>各乡镇（街道）、县属</w:t>
            </w:r>
            <w:r>
              <w:rPr>
                <w:color w:val="000000"/>
                <w:sz w:val="21"/>
                <w:szCs w:val="21"/>
              </w:rPr>
              <w:t>各部门负责落实</w:t>
            </w:r>
          </w:p>
        </w:tc>
        <w:tc>
          <w:tcPr>
            <w:tcW w:w="1575" w:type="dxa"/>
            <w:vMerge w:val="restart"/>
            <w:vAlign w:val="center"/>
          </w:tcPr>
          <w:p>
            <w:pPr>
              <w:pStyle w:val="4"/>
              <w:jc w:val="center"/>
              <w:rPr>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94</w:t>
            </w:r>
          </w:p>
        </w:tc>
        <w:tc>
          <w:tcPr>
            <w:tcW w:w="878" w:type="dxa"/>
            <w:vMerge w:val="continue"/>
            <w:vAlign w:val="center"/>
          </w:tcPr>
          <w:p>
            <w:pPr>
              <w:pStyle w:val="4"/>
              <w:jc w:val="center"/>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2016"/>
              </w:tabs>
              <w:spacing w:line="240" w:lineRule="exact"/>
              <w:rPr>
                <w:rFonts w:ascii="宋体" w:hAnsi="宋体" w:cs="FZFSK--GBK1-0"/>
                <w:color w:val="000000"/>
                <w:szCs w:val="21"/>
              </w:rPr>
            </w:pPr>
            <w:r>
              <w:rPr>
                <w:rFonts w:ascii="宋体" w:hAnsi="宋体"/>
                <w:color w:val="000000"/>
                <w:szCs w:val="21"/>
              </w:rPr>
              <w:t>严格政策文件解读源头控制，严格落实《云南省政府系统公文办理联动机制（试行）》（云政办发〔2016〕25号），确保政策解读和公开属性嵌入公文办理程序全过程。按照“谁起草、谁解读”原则，做到政策性文件与解读方案、解读材料同步组织、同步审签、同步部署，有关政策解读材料应按照国务院要求于文件公开后 3 个工作日内在政府网站和媒体发布</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95</w:t>
            </w:r>
          </w:p>
        </w:tc>
        <w:tc>
          <w:tcPr>
            <w:tcW w:w="878" w:type="dxa"/>
            <w:vMerge w:val="continue"/>
            <w:vAlign w:val="center"/>
          </w:tcPr>
          <w:p>
            <w:pPr>
              <w:pStyle w:val="4"/>
              <w:jc w:val="center"/>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2279"/>
              </w:tabs>
              <w:spacing w:line="240" w:lineRule="exact"/>
              <w:rPr>
                <w:rFonts w:ascii="宋体" w:hAnsi="宋体" w:cs="FZFSK--GBK1-0"/>
                <w:color w:val="000000"/>
                <w:szCs w:val="21"/>
              </w:rPr>
            </w:pPr>
            <w:r>
              <w:rPr>
                <w:rFonts w:ascii="宋体" w:hAnsi="宋体"/>
                <w:color w:val="000000"/>
                <w:szCs w:val="21"/>
              </w:rPr>
              <w:t>严格落实《云南省人民政府办公厅关于在政务公开工作中进一步做好政务舆情回应的通知》（云政办发〔2016〕106 号）要求，遵循“属地管理、分级负责、谁主管谁负责”原则，加强舆情收集、研判和回应处置，落实通报批评和约谈制度</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96</w:t>
            </w:r>
          </w:p>
        </w:tc>
        <w:tc>
          <w:tcPr>
            <w:tcW w:w="878" w:type="dxa"/>
            <w:vMerge w:val="continue"/>
            <w:vAlign w:val="center"/>
          </w:tcPr>
          <w:p>
            <w:pPr>
              <w:pStyle w:val="4"/>
              <w:jc w:val="center"/>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2442"/>
              </w:tabs>
              <w:autoSpaceDE w:val="0"/>
              <w:autoSpaceDN w:val="0"/>
              <w:adjustRightInd w:val="0"/>
              <w:spacing w:line="240" w:lineRule="exact"/>
              <w:rPr>
                <w:rFonts w:ascii="宋体" w:hAnsi="宋体" w:cs="FZFSK--GBK1-0"/>
                <w:color w:val="000000"/>
                <w:kern w:val="0"/>
                <w:szCs w:val="21"/>
              </w:rPr>
            </w:pPr>
            <w:r>
              <w:rPr>
                <w:rFonts w:ascii="宋体" w:hAnsi="宋体"/>
                <w:color w:val="000000"/>
                <w:szCs w:val="21"/>
              </w:rPr>
              <w:t>探索组织</w:t>
            </w:r>
            <w:r>
              <w:rPr>
                <w:rFonts w:hint="eastAsia" w:ascii="宋体" w:hAnsi="宋体"/>
                <w:color w:val="000000"/>
                <w:szCs w:val="21"/>
                <w:lang w:eastAsia="zh-CN"/>
              </w:rPr>
              <w:t>部门</w:t>
            </w:r>
            <w:r>
              <w:rPr>
                <w:rFonts w:ascii="宋体" w:hAnsi="宋体"/>
                <w:color w:val="000000"/>
                <w:szCs w:val="21"/>
              </w:rPr>
              <w:t>负责同志在政府门户网站开展在线访谈，加强人民网领导信箱留言受理与回应；鼓励开展政府开放日、政策大讲堂、网络问政等主题活动，增进公众参与和监督</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97</w:t>
            </w:r>
          </w:p>
        </w:tc>
        <w:tc>
          <w:tcPr>
            <w:tcW w:w="878" w:type="dxa"/>
            <w:vMerge w:val="continue"/>
            <w:vAlign w:val="center"/>
          </w:tcPr>
          <w:p>
            <w:pPr>
              <w:pStyle w:val="4"/>
              <w:jc w:val="center"/>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3844"/>
              </w:tabs>
              <w:autoSpaceDE w:val="0"/>
              <w:autoSpaceDN w:val="0"/>
              <w:adjustRightInd w:val="0"/>
              <w:spacing w:line="240" w:lineRule="exact"/>
              <w:rPr>
                <w:rFonts w:ascii="宋体" w:hAnsi="宋体" w:cs="FZFSK--GBK1-0"/>
                <w:color w:val="000000"/>
                <w:kern w:val="0"/>
                <w:szCs w:val="21"/>
              </w:rPr>
            </w:pPr>
            <w:r>
              <w:rPr>
                <w:rFonts w:ascii="宋体" w:hAnsi="宋体"/>
                <w:color w:val="000000"/>
                <w:szCs w:val="21"/>
              </w:rPr>
              <w:t>认真办理</w:t>
            </w:r>
            <w:r>
              <w:rPr>
                <w:rFonts w:hint="eastAsia" w:ascii="宋体" w:hAnsi="宋体"/>
                <w:color w:val="000000"/>
                <w:szCs w:val="21"/>
                <w:lang w:eastAsia="zh-CN"/>
              </w:rPr>
              <w:t>市政府办公室</w:t>
            </w:r>
            <w:r>
              <w:rPr>
                <w:rFonts w:ascii="宋体" w:hAnsi="宋体"/>
                <w:color w:val="000000"/>
                <w:szCs w:val="21"/>
              </w:rPr>
              <w:t>转来的有关舆情处置的通知</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98</w:t>
            </w:r>
          </w:p>
        </w:tc>
        <w:tc>
          <w:tcPr>
            <w:tcW w:w="878" w:type="dxa"/>
            <w:vMerge w:val="continue"/>
            <w:vAlign w:val="center"/>
          </w:tcPr>
          <w:p>
            <w:pPr>
              <w:pStyle w:val="4"/>
              <w:jc w:val="center"/>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5059"/>
              </w:tabs>
              <w:autoSpaceDE w:val="0"/>
              <w:autoSpaceDN w:val="0"/>
              <w:adjustRightInd w:val="0"/>
              <w:spacing w:line="260" w:lineRule="exact"/>
              <w:rPr>
                <w:rFonts w:ascii="宋体" w:hAnsi="宋体" w:cs="FZFSK--GBK1-0"/>
                <w:color w:val="000000"/>
                <w:kern w:val="0"/>
                <w:szCs w:val="21"/>
              </w:rPr>
            </w:pPr>
            <w:r>
              <w:rPr>
                <w:rFonts w:ascii="宋体" w:hAnsi="宋体"/>
                <w:color w:val="000000"/>
                <w:szCs w:val="21"/>
              </w:rPr>
              <w:t xml:space="preserve">严格执行特别重大、重大突发事件最迟 </w:t>
            </w:r>
            <w:r>
              <w:rPr>
                <w:rFonts w:hint="eastAsia" w:ascii="宋体" w:hAnsi="宋体"/>
                <w:color w:val="000000"/>
                <w:szCs w:val="21"/>
              </w:rPr>
              <w:t xml:space="preserve">5 </w:t>
            </w:r>
            <w:r>
              <w:rPr>
                <w:rFonts w:ascii="宋体" w:hAnsi="宋体"/>
                <w:color w:val="000000"/>
                <w:szCs w:val="21"/>
              </w:rPr>
              <w:t>小时内发布权威信息、24 小时内举行新闻发布会，并根据进展情况，持续发布权威信息，各地和部门主要负责人要带头主动发声</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99</w:t>
            </w:r>
          </w:p>
        </w:tc>
        <w:tc>
          <w:tcPr>
            <w:tcW w:w="878" w:type="dxa"/>
            <w:vMerge w:val="continue"/>
            <w:vAlign w:val="center"/>
          </w:tcPr>
          <w:p>
            <w:pPr>
              <w:pStyle w:val="4"/>
              <w:jc w:val="center"/>
              <w:rPr>
                <w:color w:val="000000"/>
                <w:sz w:val="21"/>
                <w:szCs w:val="21"/>
              </w:rPr>
            </w:pPr>
          </w:p>
        </w:tc>
        <w:tc>
          <w:tcPr>
            <w:tcW w:w="1410" w:type="dxa"/>
            <w:vMerge w:val="restart"/>
            <w:vAlign w:val="center"/>
          </w:tcPr>
          <w:p>
            <w:pPr>
              <w:rPr>
                <w:rFonts w:ascii="宋体" w:hAnsi="宋体"/>
                <w:color w:val="000000"/>
                <w:szCs w:val="21"/>
              </w:rPr>
            </w:pPr>
            <w:r>
              <w:rPr>
                <w:rFonts w:ascii="宋体" w:hAnsi="宋体"/>
                <w:color w:val="000000"/>
                <w:szCs w:val="21"/>
              </w:rPr>
              <w:t>加强政务公开平台建设运维</w:t>
            </w:r>
          </w:p>
        </w:tc>
        <w:tc>
          <w:tcPr>
            <w:tcW w:w="7267" w:type="dxa"/>
            <w:vAlign w:val="center"/>
          </w:tcPr>
          <w:p>
            <w:pPr>
              <w:pStyle w:val="4"/>
              <w:tabs>
                <w:tab w:val="left" w:pos="3519"/>
              </w:tabs>
              <w:spacing w:line="260" w:lineRule="exact"/>
              <w:jc w:val="both"/>
              <w:rPr>
                <w:color w:val="000000"/>
                <w:sz w:val="21"/>
                <w:szCs w:val="21"/>
              </w:rPr>
            </w:pPr>
            <w:r>
              <w:rPr>
                <w:color w:val="000000"/>
                <w:sz w:val="21"/>
                <w:szCs w:val="21"/>
              </w:rPr>
              <w:t>认真履行政府网站监管责任，做好日常监测和季度抽查</w:t>
            </w:r>
            <w:r>
              <w:rPr>
                <w:rFonts w:hint="eastAsia"/>
                <w:color w:val="000000"/>
                <w:sz w:val="21"/>
                <w:szCs w:val="21"/>
              </w:rPr>
              <w:t>，</w:t>
            </w:r>
            <w:r>
              <w:rPr>
                <w:color w:val="000000"/>
                <w:sz w:val="21"/>
                <w:szCs w:val="21"/>
              </w:rPr>
              <w:t>及时公开抽查情况，切实提高政府网站建设和运维</w:t>
            </w:r>
            <w:r>
              <w:rPr>
                <w:rFonts w:hint="eastAsia"/>
                <w:color w:val="000000"/>
                <w:sz w:val="21"/>
                <w:szCs w:val="21"/>
              </w:rPr>
              <w:t>的管理水平。</w:t>
            </w:r>
          </w:p>
        </w:tc>
        <w:tc>
          <w:tcPr>
            <w:tcW w:w="2520" w:type="dxa"/>
            <w:vMerge w:val="restart"/>
            <w:vAlign w:val="center"/>
          </w:tcPr>
          <w:p>
            <w:pPr>
              <w:autoSpaceDE w:val="0"/>
              <w:autoSpaceDN w:val="0"/>
              <w:adjustRightInd w:val="0"/>
              <w:rPr>
                <w:rFonts w:ascii="宋体" w:hAnsi="宋体" w:cs="FZFSK--GBK1-0"/>
                <w:color w:val="000000"/>
                <w:kern w:val="0"/>
                <w:szCs w:val="21"/>
              </w:rPr>
            </w:pPr>
            <w:r>
              <w:rPr>
                <w:rFonts w:hint="eastAsia"/>
                <w:color w:val="000000"/>
                <w:sz w:val="21"/>
                <w:szCs w:val="21"/>
                <w:lang w:eastAsia="zh-CN"/>
              </w:rPr>
              <w:t>各乡镇（街道）、县属</w:t>
            </w:r>
            <w:r>
              <w:rPr>
                <w:color w:val="000000"/>
                <w:sz w:val="21"/>
                <w:szCs w:val="21"/>
              </w:rPr>
              <w:t>各部门负责落实</w:t>
            </w:r>
          </w:p>
        </w:tc>
        <w:tc>
          <w:tcPr>
            <w:tcW w:w="1575" w:type="dxa"/>
            <w:vMerge w:val="restart"/>
            <w:vAlign w:val="center"/>
          </w:tcPr>
          <w:p>
            <w:pPr>
              <w:pStyle w:val="4"/>
              <w:jc w:val="center"/>
              <w:rPr>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100</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widowControl/>
              <w:tabs>
                <w:tab w:val="left" w:pos="2016"/>
              </w:tabs>
              <w:spacing w:line="260" w:lineRule="exact"/>
              <w:rPr>
                <w:rFonts w:ascii="宋体" w:hAnsi="宋体" w:cs="FZFSK--GBK1-0"/>
                <w:color w:val="000000"/>
                <w:szCs w:val="21"/>
              </w:rPr>
            </w:pPr>
            <w:r>
              <w:rPr>
                <w:rFonts w:ascii="宋体" w:hAnsi="宋体"/>
                <w:color w:val="000000"/>
                <w:szCs w:val="21"/>
              </w:rPr>
              <w:t>按照政府网站指引进一步明确政府网站的功能定位和建设要求，充分发挥政务公开第一平台作用，提升网站的集群效应，加强政府网站与网上办事大厅的融合对接，形成一体化政务服务网络</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10</w:t>
            </w:r>
            <w:r>
              <w:rPr>
                <w:rFonts w:hint="eastAsia" w:cs="Times New Roman"/>
                <w:color w:val="000000"/>
                <w:sz w:val="21"/>
                <w:szCs w:val="21"/>
                <w:lang w:val="en-US" w:eastAsia="zh-CN"/>
              </w:rPr>
              <w:t>1</w:t>
            </w:r>
          </w:p>
        </w:tc>
        <w:tc>
          <w:tcPr>
            <w:tcW w:w="878" w:type="dxa"/>
            <w:vMerge w:val="restart"/>
            <w:vAlign w:val="center"/>
          </w:tcPr>
          <w:p>
            <w:pPr>
              <w:pStyle w:val="4"/>
              <w:jc w:val="center"/>
              <w:rPr>
                <w:color w:val="000000"/>
                <w:sz w:val="21"/>
                <w:szCs w:val="21"/>
              </w:rPr>
            </w:pPr>
            <w:r>
              <w:rPr>
                <w:color w:val="000000"/>
                <w:sz w:val="21"/>
                <w:szCs w:val="21"/>
              </w:rPr>
              <w:t>增强政务</w:t>
            </w:r>
          </w:p>
          <w:p>
            <w:pPr>
              <w:pStyle w:val="4"/>
              <w:ind w:firstLine="105" w:firstLineChars="50"/>
              <w:jc w:val="both"/>
              <w:rPr>
                <w:color w:val="000000"/>
                <w:sz w:val="21"/>
                <w:szCs w:val="21"/>
              </w:rPr>
            </w:pPr>
            <w:r>
              <w:rPr>
                <w:color w:val="000000"/>
                <w:sz w:val="21"/>
                <w:szCs w:val="21"/>
              </w:rPr>
              <w:t>公开实效</w:t>
            </w:r>
          </w:p>
        </w:tc>
        <w:tc>
          <w:tcPr>
            <w:tcW w:w="1410" w:type="dxa"/>
            <w:vMerge w:val="restart"/>
            <w:vAlign w:val="center"/>
          </w:tcPr>
          <w:p>
            <w:pPr>
              <w:rPr>
                <w:rFonts w:ascii="宋体" w:hAnsi="宋体"/>
                <w:color w:val="000000"/>
                <w:szCs w:val="21"/>
              </w:rPr>
            </w:pPr>
            <w:r>
              <w:rPr>
                <w:rFonts w:ascii="宋体" w:hAnsi="宋体"/>
                <w:color w:val="000000"/>
                <w:szCs w:val="21"/>
              </w:rPr>
              <w:t>加强政务公开平台建设运维</w:t>
            </w:r>
          </w:p>
        </w:tc>
        <w:tc>
          <w:tcPr>
            <w:tcW w:w="7267" w:type="dxa"/>
            <w:vAlign w:val="center"/>
          </w:tcPr>
          <w:p>
            <w:pPr>
              <w:widowControl/>
              <w:tabs>
                <w:tab w:val="left" w:pos="4871"/>
              </w:tabs>
              <w:spacing w:line="240" w:lineRule="exact"/>
              <w:rPr>
                <w:rFonts w:ascii="宋体" w:hAnsi="宋体" w:cs="FZFSK--GBK1-0"/>
                <w:color w:val="000000"/>
                <w:szCs w:val="21"/>
              </w:rPr>
            </w:pPr>
            <w:r>
              <w:rPr>
                <w:rFonts w:ascii="宋体" w:hAnsi="宋体"/>
                <w:color w:val="000000"/>
                <w:szCs w:val="21"/>
              </w:rPr>
              <w:t>全面提升政府门户网站办事功能，按照</w:t>
            </w:r>
            <w:r>
              <w:rPr>
                <w:rFonts w:hint="eastAsia" w:ascii="宋体" w:hAnsi="宋体"/>
                <w:color w:val="000000"/>
                <w:szCs w:val="21"/>
              </w:rPr>
              <w:t>国务院</w:t>
            </w:r>
            <w:r>
              <w:rPr>
                <w:rFonts w:ascii="宋体" w:hAnsi="宋体"/>
                <w:color w:val="000000"/>
                <w:szCs w:val="21"/>
              </w:rPr>
              <w:t>部署要求，确保实现政府门户网站和政务服务网上办事大厅互联互通，做好政府门户网站直接调用网上办事大厅数据接口的对接开发，健全门户网站首页“办事服务”栏目。用好管好政务新媒体，鼓励开通微信公众号等，实时精准推送政务信息。明确开办责任主体</w:t>
            </w:r>
            <w:r>
              <w:rPr>
                <w:rFonts w:hint="eastAsia" w:ascii="宋体" w:hAnsi="宋体"/>
                <w:color w:val="000000"/>
                <w:szCs w:val="21"/>
              </w:rPr>
              <w:t>，</w:t>
            </w:r>
            <w:r>
              <w:rPr>
                <w:rFonts w:ascii="宋体" w:hAnsi="宋体"/>
                <w:color w:val="000000"/>
                <w:szCs w:val="21"/>
              </w:rPr>
              <w:t>健全信息发布审核机制，强化互动和服务功能</w:t>
            </w:r>
            <w:r>
              <w:rPr>
                <w:rFonts w:hint="eastAsia" w:ascii="宋体" w:hAnsi="宋体"/>
                <w:color w:val="000000"/>
                <w:szCs w:val="21"/>
              </w:rPr>
              <w:t>。</w:t>
            </w:r>
          </w:p>
        </w:tc>
        <w:tc>
          <w:tcPr>
            <w:tcW w:w="2520" w:type="dxa"/>
            <w:vMerge w:val="restart"/>
            <w:vAlign w:val="center"/>
          </w:tcPr>
          <w:p>
            <w:pPr>
              <w:autoSpaceDE w:val="0"/>
              <w:autoSpaceDN w:val="0"/>
              <w:adjustRightInd w:val="0"/>
              <w:rPr>
                <w:rFonts w:ascii="宋体" w:hAnsi="宋体" w:cs="FZFSK--GBK1-0"/>
                <w:color w:val="000000"/>
                <w:kern w:val="0"/>
                <w:szCs w:val="21"/>
              </w:rPr>
            </w:pPr>
            <w:r>
              <w:rPr>
                <w:rFonts w:hint="eastAsia"/>
                <w:color w:val="000000"/>
                <w:sz w:val="21"/>
                <w:szCs w:val="21"/>
                <w:lang w:eastAsia="zh-CN"/>
              </w:rPr>
              <w:t>华宁县</w:t>
            </w:r>
            <w:r>
              <w:rPr>
                <w:color w:val="000000"/>
                <w:sz w:val="21"/>
                <w:szCs w:val="21"/>
              </w:rPr>
              <w:t>人民政府，</w:t>
            </w:r>
            <w:r>
              <w:rPr>
                <w:rFonts w:hint="eastAsia"/>
                <w:color w:val="000000"/>
                <w:sz w:val="21"/>
                <w:szCs w:val="21"/>
                <w:lang w:eastAsia="zh-CN"/>
              </w:rPr>
              <w:t>县</w:t>
            </w:r>
            <w:r>
              <w:rPr>
                <w:color w:val="000000"/>
                <w:sz w:val="21"/>
                <w:szCs w:val="21"/>
              </w:rPr>
              <w:t>直各部门负责落实</w:t>
            </w:r>
          </w:p>
        </w:tc>
        <w:tc>
          <w:tcPr>
            <w:tcW w:w="1575" w:type="dxa"/>
            <w:vAlign w:val="center"/>
          </w:tcPr>
          <w:p>
            <w:pPr>
              <w:pStyle w:val="4"/>
              <w:jc w:val="center"/>
              <w:rPr>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102</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widowControl/>
              <w:tabs>
                <w:tab w:val="left" w:pos="2442"/>
              </w:tabs>
              <w:spacing w:line="240" w:lineRule="exact"/>
              <w:rPr>
                <w:rFonts w:ascii="宋体" w:hAnsi="宋体" w:cs="FZFSK--GBK1-0"/>
                <w:color w:val="000000"/>
                <w:kern w:val="0"/>
                <w:szCs w:val="21"/>
              </w:rPr>
            </w:pPr>
            <w:r>
              <w:rPr>
                <w:rFonts w:ascii="宋体" w:hAnsi="宋体"/>
                <w:color w:val="000000"/>
                <w:szCs w:val="21"/>
              </w:rPr>
              <w:t>推进政府公报同步上网，加快历史公报数字化工作，制定明确具体的工作方案和时间进度。定期对本行政区域或本系统</w:t>
            </w:r>
            <w:r>
              <w:rPr>
                <w:rFonts w:hint="eastAsia" w:ascii="宋体" w:hAnsi="宋体"/>
                <w:color w:val="000000"/>
                <w:szCs w:val="21"/>
                <w:lang w:eastAsia="zh-CN"/>
              </w:rPr>
              <w:t>、</w:t>
            </w:r>
            <w:r>
              <w:rPr>
                <w:rFonts w:ascii="宋体" w:hAnsi="宋体"/>
                <w:color w:val="000000"/>
                <w:szCs w:val="21"/>
              </w:rPr>
              <w:t>社区、居委会(村委会)图书阅览室接收政府公报并及时上架利用情况进行督促检查，满足基层群众查阅借阅需求</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Align w:val="center"/>
          </w:tcPr>
          <w:p>
            <w:pPr>
              <w:pStyle w:val="2"/>
              <w:jc w:val="both"/>
              <w:rPr>
                <w:color w:val="000000"/>
                <w:sz w:val="21"/>
                <w:szCs w:val="21"/>
              </w:rPr>
            </w:pPr>
            <w:r>
              <w:rPr>
                <w:rFonts w:hint="eastAsia"/>
                <w:color w:val="000000"/>
                <w:sz w:val="21"/>
                <w:szCs w:val="21"/>
              </w:rPr>
              <w:t>2017年11月</w:t>
            </w:r>
            <w:r>
              <w:rPr>
                <w:rFonts w:hint="eastAsia"/>
                <w:color w:val="000000"/>
                <w:sz w:val="21"/>
                <w:szCs w:val="21"/>
                <w:lang w:eastAsia="zh-CN"/>
              </w:rPr>
              <w:t>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1</w:t>
            </w:r>
            <w:r>
              <w:rPr>
                <w:rFonts w:hint="eastAsia" w:cs="Times New Roman"/>
                <w:color w:val="000000"/>
                <w:sz w:val="21"/>
                <w:szCs w:val="21"/>
                <w:lang w:val="en-US" w:eastAsia="zh-CN"/>
              </w:rPr>
              <w:t>03</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widowControl/>
              <w:tabs>
                <w:tab w:val="left" w:pos="4045"/>
              </w:tabs>
              <w:spacing w:line="240" w:lineRule="exact"/>
              <w:rPr>
                <w:rFonts w:ascii="宋体" w:hAnsi="宋体" w:cs="FZFSK--GBK1-0"/>
                <w:color w:val="000000"/>
                <w:kern w:val="0"/>
                <w:szCs w:val="21"/>
              </w:rPr>
            </w:pPr>
            <w:r>
              <w:rPr>
                <w:rFonts w:ascii="宋体" w:hAnsi="宋体"/>
                <w:color w:val="000000"/>
                <w:szCs w:val="21"/>
              </w:rPr>
              <w:t>加强政府热线电话管理，推进政府服务热线资源整合。积极适应互联网发展形势要求，</w:t>
            </w:r>
            <w:r>
              <w:rPr>
                <w:rFonts w:hint="eastAsia" w:ascii="宋体" w:hAnsi="宋体"/>
                <w:color w:val="000000"/>
                <w:szCs w:val="21"/>
                <w:lang w:eastAsia="zh-CN"/>
              </w:rPr>
              <w:t>华宁县</w:t>
            </w:r>
            <w:r>
              <w:rPr>
                <w:rFonts w:ascii="宋体" w:hAnsi="宋体"/>
                <w:color w:val="000000"/>
                <w:szCs w:val="21"/>
              </w:rPr>
              <w:t>人民政府参照昆明市“12345”市长热线工作模式，全面整合本地区“96128”政务服务查询热线等有关热线资源，整合更名并开通上线“12345”</w:t>
            </w:r>
            <w:r>
              <w:rPr>
                <w:rFonts w:hint="eastAsia" w:ascii="宋体" w:hAnsi="宋体"/>
                <w:color w:val="000000"/>
                <w:szCs w:val="21"/>
              </w:rPr>
              <w:t>县</w:t>
            </w:r>
            <w:r>
              <w:rPr>
                <w:rFonts w:ascii="宋体" w:hAnsi="宋体"/>
                <w:color w:val="000000"/>
                <w:szCs w:val="21"/>
              </w:rPr>
              <w:t>长服务热线平台</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Align w:val="center"/>
          </w:tcPr>
          <w:p>
            <w:pPr>
              <w:pStyle w:val="2"/>
              <w:jc w:val="both"/>
              <w:rPr>
                <w:color w:val="000000"/>
                <w:sz w:val="21"/>
                <w:szCs w:val="21"/>
              </w:rPr>
            </w:pPr>
            <w:r>
              <w:rPr>
                <w:rFonts w:hint="eastAsia"/>
                <w:color w:val="000000"/>
                <w:sz w:val="21"/>
                <w:szCs w:val="21"/>
              </w:rPr>
              <w:t>2017年10月</w:t>
            </w:r>
            <w:r>
              <w:rPr>
                <w:rFonts w:hint="eastAsia"/>
                <w:color w:val="000000"/>
                <w:sz w:val="21"/>
                <w:szCs w:val="21"/>
                <w:lang w:eastAsia="zh-CN"/>
              </w:rPr>
              <w:t>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104</w:t>
            </w:r>
          </w:p>
        </w:tc>
        <w:tc>
          <w:tcPr>
            <w:tcW w:w="878" w:type="dxa"/>
            <w:vMerge w:val="continue"/>
            <w:vAlign w:val="center"/>
          </w:tcPr>
          <w:p>
            <w:pPr>
              <w:pStyle w:val="4"/>
              <w:jc w:val="both"/>
              <w:rPr>
                <w:color w:val="000000"/>
                <w:sz w:val="21"/>
                <w:szCs w:val="21"/>
              </w:rPr>
            </w:pPr>
          </w:p>
        </w:tc>
        <w:tc>
          <w:tcPr>
            <w:tcW w:w="1410" w:type="dxa"/>
            <w:vMerge w:val="restart"/>
            <w:vAlign w:val="center"/>
          </w:tcPr>
          <w:p>
            <w:pPr>
              <w:rPr>
                <w:rFonts w:ascii="宋体" w:hAnsi="宋体"/>
                <w:color w:val="000000"/>
                <w:szCs w:val="21"/>
              </w:rPr>
            </w:pPr>
            <w:r>
              <w:rPr>
                <w:rFonts w:ascii="宋体" w:hAnsi="宋体"/>
                <w:color w:val="000000"/>
                <w:szCs w:val="21"/>
              </w:rPr>
              <w:t>加强政务公开工作统筹指导</w:t>
            </w:r>
          </w:p>
        </w:tc>
        <w:tc>
          <w:tcPr>
            <w:tcW w:w="7267" w:type="dxa"/>
            <w:vAlign w:val="center"/>
          </w:tcPr>
          <w:p>
            <w:pPr>
              <w:pStyle w:val="4"/>
              <w:spacing w:line="240" w:lineRule="exact"/>
              <w:jc w:val="both"/>
              <w:rPr>
                <w:color w:val="000000"/>
                <w:sz w:val="21"/>
                <w:szCs w:val="21"/>
              </w:rPr>
            </w:pPr>
            <w:r>
              <w:rPr>
                <w:color w:val="000000"/>
                <w:sz w:val="21"/>
                <w:szCs w:val="21"/>
              </w:rPr>
              <w:t>明确政务公开组织领导责任主体，各部门主要负责同志亲自研究和听取重大政务公开事项，部署推进工作；确定 1 位负责同志分管政务公开工作，列入工作分工，并对外公布</w:t>
            </w:r>
            <w:r>
              <w:rPr>
                <w:rFonts w:hint="eastAsia"/>
                <w:color w:val="000000"/>
                <w:sz w:val="21"/>
                <w:szCs w:val="21"/>
              </w:rPr>
              <w:t>。</w:t>
            </w:r>
          </w:p>
        </w:tc>
        <w:tc>
          <w:tcPr>
            <w:tcW w:w="2520" w:type="dxa"/>
            <w:vMerge w:val="restart"/>
            <w:vAlign w:val="center"/>
          </w:tcPr>
          <w:p>
            <w:pPr>
              <w:autoSpaceDE w:val="0"/>
              <w:autoSpaceDN w:val="0"/>
              <w:adjustRightInd w:val="0"/>
              <w:rPr>
                <w:rFonts w:ascii="宋体" w:hAnsi="宋体" w:cs="FZFSK--GBK1-0"/>
                <w:b/>
                <w:color w:val="000000"/>
                <w:kern w:val="0"/>
                <w:szCs w:val="21"/>
              </w:rPr>
            </w:pPr>
            <w:r>
              <w:rPr>
                <w:rFonts w:hint="eastAsia"/>
                <w:color w:val="000000"/>
                <w:sz w:val="21"/>
                <w:szCs w:val="21"/>
                <w:lang w:eastAsia="zh-CN"/>
              </w:rPr>
              <w:t>各乡镇（街道）、县属</w:t>
            </w:r>
            <w:r>
              <w:rPr>
                <w:color w:val="000000"/>
                <w:sz w:val="21"/>
                <w:szCs w:val="21"/>
              </w:rPr>
              <w:t>各部门负责落实</w:t>
            </w:r>
          </w:p>
        </w:tc>
        <w:tc>
          <w:tcPr>
            <w:tcW w:w="1575" w:type="dxa"/>
            <w:vMerge w:val="restart"/>
            <w:vAlign w:val="center"/>
          </w:tcPr>
          <w:p>
            <w:pPr>
              <w:pStyle w:val="4"/>
              <w:jc w:val="center"/>
              <w:rPr>
                <w:color w:val="000000"/>
                <w:sz w:val="21"/>
                <w:szCs w:val="21"/>
              </w:rPr>
            </w:pPr>
            <w:r>
              <w:rPr>
                <w:rFonts w:hint="eastAsia"/>
                <w:color w:val="000000"/>
                <w:sz w:val="21"/>
                <w:szCs w:val="21"/>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105</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2016"/>
              </w:tabs>
              <w:spacing w:line="240" w:lineRule="exact"/>
              <w:rPr>
                <w:rFonts w:ascii="宋体" w:hAnsi="宋体" w:cs="FZFSK--GBK1-0"/>
                <w:color w:val="000000"/>
                <w:szCs w:val="21"/>
              </w:rPr>
            </w:pPr>
            <w:r>
              <w:rPr>
                <w:rFonts w:ascii="宋体" w:hAnsi="宋体"/>
                <w:color w:val="000000"/>
                <w:szCs w:val="21"/>
              </w:rPr>
              <w:t>进一步整合政务公开资源，将政务信息发布、政府网站等平台建设运维、政策解读与舆情回应处置、政府公报、政务服务、政府数据开放、公共资源交易监督管理等工作统筹考虑、协同推进</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1</w:t>
            </w:r>
            <w:r>
              <w:rPr>
                <w:rFonts w:hint="eastAsia" w:cs="Times New Roman"/>
                <w:color w:val="000000"/>
                <w:sz w:val="21"/>
                <w:szCs w:val="21"/>
                <w:lang w:val="en-US" w:eastAsia="zh-CN"/>
              </w:rPr>
              <w:t>06</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2279"/>
              </w:tabs>
              <w:spacing w:line="240" w:lineRule="exact"/>
              <w:rPr>
                <w:rFonts w:ascii="宋体" w:hAnsi="宋体" w:cs="FZFSK--GBK1-0"/>
                <w:color w:val="000000"/>
                <w:szCs w:val="21"/>
              </w:rPr>
            </w:pPr>
            <w:r>
              <w:rPr>
                <w:rFonts w:ascii="宋体" w:hAnsi="宋体"/>
                <w:color w:val="000000"/>
                <w:szCs w:val="21"/>
              </w:rPr>
              <w:t>建立政务公开工作台账制度。严格执行保密审查制度，对拟公开的政府信息要依法依规做好保密审查</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1</w:t>
            </w:r>
            <w:r>
              <w:rPr>
                <w:rFonts w:hint="eastAsia" w:cs="Times New Roman"/>
                <w:color w:val="000000"/>
                <w:sz w:val="21"/>
                <w:szCs w:val="21"/>
                <w:lang w:val="en-US" w:eastAsia="zh-CN"/>
              </w:rPr>
              <w:t>07</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2442"/>
              </w:tabs>
              <w:autoSpaceDE w:val="0"/>
              <w:autoSpaceDN w:val="0"/>
              <w:adjustRightInd w:val="0"/>
              <w:spacing w:line="240" w:lineRule="exact"/>
              <w:rPr>
                <w:rFonts w:ascii="宋体" w:hAnsi="宋体" w:cs="FZFSK--GBK1-0"/>
                <w:color w:val="000000"/>
                <w:kern w:val="0"/>
                <w:szCs w:val="21"/>
              </w:rPr>
            </w:pPr>
            <w:r>
              <w:rPr>
                <w:rFonts w:ascii="宋体" w:hAnsi="宋体"/>
                <w:color w:val="000000"/>
                <w:szCs w:val="21"/>
              </w:rPr>
              <w:t>加强对机关工作人员特别是领导干部、</w:t>
            </w:r>
            <w:r>
              <w:rPr>
                <w:rFonts w:hint="eastAsia" w:ascii="宋体" w:hAnsi="宋体"/>
                <w:color w:val="000000"/>
                <w:szCs w:val="21"/>
                <w:lang w:eastAsia="zh-CN"/>
              </w:rPr>
              <w:t>专职管理员</w:t>
            </w:r>
            <w:r>
              <w:rPr>
                <w:rFonts w:ascii="宋体" w:hAnsi="宋体"/>
                <w:color w:val="000000"/>
                <w:szCs w:val="21"/>
              </w:rPr>
              <w:t>的政务公开业务培训</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1</w:t>
            </w:r>
            <w:r>
              <w:rPr>
                <w:rFonts w:hint="eastAsia" w:cs="Times New Roman"/>
                <w:color w:val="000000"/>
                <w:sz w:val="21"/>
                <w:szCs w:val="21"/>
                <w:lang w:val="en-US" w:eastAsia="zh-CN"/>
              </w:rPr>
              <w:t>08</w:t>
            </w:r>
          </w:p>
        </w:tc>
        <w:tc>
          <w:tcPr>
            <w:tcW w:w="878" w:type="dxa"/>
            <w:vMerge w:val="continue"/>
            <w:vAlign w:val="center"/>
          </w:tcPr>
          <w:p>
            <w:pPr>
              <w:pStyle w:val="4"/>
              <w:jc w:val="both"/>
              <w:rPr>
                <w:color w:val="000000"/>
                <w:sz w:val="21"/>
                <w:szCs w:val="21"/>
              </w:rPr>
            </w:pPr>
          </w:p>
        </w:tc>
        <w:tc>
          <w:tcPr>
            <w:tcW w:w="1410" w:type="dxa"/>
            <w:vMerge w:val="restart"/>
            <w:vAlign w:val="center"/>
          </w:tcPr>
          <w:p>
            <w:pPr>
              <w:pStyle w:val="4"/>
              <w:jc w:val="both"/>
              <w:rPr>
                <w:color w:val="000000"/>
                <w:sz w:val="21"/>
                <w:szCs w:val="21"/>
              </w:rPr>
            </w:pPr>
            <w:r>
              <w:rPr>
                <w:color w:val="000000"/>
                <w:sz w:val="21"/>
                <w:szCs w:val="21"/>
              </w:rPr>
              <w:t>依法规范依申请公开</w:t>
            </w:r>
            <w:r>
              <w:rPr>
                <w:rFonts w:hint="eastAsia"/>
                <w:color w:val="000000"/>
                <w:sz w:val="21"/>
                <w:szCs w:val="21"/>
              </w:rPr>
              <w:t>工作</w:t>
            </w:r>
          </w:p>
        </w:tc>
        <w:tc>
          <w:tcPr>
            <w:tcW w:w="7267" w:type="dxa"/>
            <w:vAlign w:val="center"/>
          </w:tcPr>
          <w:p>
            <w:pPr>
              <w:autoSpaceDE w:val="0"/>
              <w:autoSpaceDN w:val="0"/>
              <w:adjustRightInd w:val="0"/>
              <w:spacing w:line="240" w:lineRule="exact"/>
              <w:rPr>
                <w:rFonts w:ascii="宋体" w:hAnsi="宋体" w:cs="FZFSK--GBK1-0"/>
                <w:color w:val="000000"/>
                <w:kern w:val="0"/>
                <w:szCs w:val="21"/>
              </w:rPr>
            </w:pPr>
            <w:r>
              <w:rPr>
                <w:rFonts w:ascii="宋体" w:hAnsi="宋体"/>
                <w:color w:val="000000"/>
                <w:szCs w:val="21"/>
              </w:rPr>
              <w:t>组织学习贯彻国务院年内新修订印发的《</w:t>
            </w:r>
            <w:r>
              <w:rPr>
                <w:rFonts w:hint="eastAsia" w:ascii="宋体" w:hAnsi="宋体"/>
                <w:color w:val="000000"/>
                <w:szCs w:val="21"/>
              </w:rPr>
              <w:t>中华人民共和国政府信息公开条例</w:t>
            </w:r>
            <w:r>
              <w:rPr>
                <w:rFonts w:ascii="宋体" w:hAnsi="宋体"/>
                <w:color w:val="000000"/>
                <w:szCs w:val="21"/>
              </w:rPr>
              <w:t>》</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03" w:type="dxa"/>
            <w:vAlign w:val="center"/>
          </w:tcPr>
          <w:p>
            <w:pPr>
              <w:pStyle w:val="4"/>
              <w:jc w:val="center"/>
              <w:rPr>
                <w:rFonts w:hint="eastAsia" w:eastAsia="宋体" w:cs="Times New Roman"/>
                <w:color w:val="000000"/>
                <w:sz w:val="21"/>
                <w:szCs w:val="21"/>
                <w:lang w:eastAsia="zh-CN"/>
              </w:rPr>
            </w:pPr>
            <w:r>
              <w:rPr>
                <w:rFonts w:hint="eastAsia" w:cs="Times New Roman"/>
                <w:color w:val="000000"/>
                <w:sz w:val="21"/>
                <w:szCs w:val="21"/>
                <w:lang w:val="en-US" w:eastAsia="zh-CN"/>
              </w:rPr>
              <w:t>109</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2317"/>
              </w:tabs>
              <w:autoSpaceDE w:val="0"/>
              <w:autoSpaceDN w:val="0"/>
              <w:adjustRightInd w:val="0"/>
              <w:spacing w:line="240" w:lineRule="exact"/>
              <w:rPr>
                <w:rFonts w:ascii="宋体" w:hAnsi="宋体" w:cs="FZFSK--GBK1-0"/>
                <w:color w:val="000000"/>
                <w:kern w:val="0"/>
                <w:szCs w:val="21"/>
              </w:rPr>
            </w:pPr>
            <w:r>
              <w:rPr>
                <w:rFonts w:ascii="宋体" w:hAnsi="宋体"/>
                <w:color w:val="000000"/>
                <w:szCs w:val="21"/>
              </w:rPr>
              <w:t>畅通完善依申请公开受理渠道，依法保障公众合理的信息需求</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11</w:t>
            </w:r>
            <w:r>
              <w:rPr>
                <w:rFonts w:hint="eastAsia" w:cs="Times New Roman"/>
                <w:color w:val="000000"/>
                <w:sz w:val="21"/>
                <w:szCs w:val="21"/>
                <w:lang w:val="en-US" w:eastAsia="zh-CN"/>
              </w:rPr>
              <w:t>0</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689"/>
              </w:tabs>
              <w:autoSpaceDE w:val="0"/>
              <w:autoSpaceDN w:val="0"/>
              <w:adjustRightInd w:val="0"/>
              <w:spacing w:line="240" w:lineRule="exact"/>
              <w:rPr>
                <w:rFonts w:ascii="宋体" w:hAnsi="宋体" w:cs="FZFSK--GBK1-0"/>
                <w:color w:val="000000"/>
                <w:kern w:val="0"/>
                <w:szCs w:val="21"/>
              </w:rPr>
            </w:pPr>
            <w:r>
              <w:rPr>
                <w:rFonts w:ascii="宋体" w:hAnsi="宋体"/>
                <w:color w:val="000000"/>
                <w:szCs w:val="21"/>
              </w:rPr>
              <w:t>加强对政府信息依申请公开内容的调查核实，确保事实清楚</w:t>
            </w:r>
            <w:bookmarkStart w:id="0" w:name="_GoBack"/>
            <w:bookmarkEnd w:id="0"/>
            <w:r>
              <w:rPr>
                <w:rFonts w:ascii="宋体" w:hAnsi="宋体"/>
                <w:color w:val="000000"/>
                <w:szCs w:val="21"/>
              </w:rPr>
              <w:t>，程序合法；提升告知书制作水平，提升申请人的认可度，最大限度避免不必要的行政复议和行政诉讼</w:t>
            </w:r>
            <w:r>
              <w:rPr>
                <w:rFonts w:hint="eastAsia" w:ascii="宋体" w:hAnsi="宋体"/>
                <w:color w:val="000000"/>
                <w:szCs w:val="21"/>
              </w:rPr>
              <w:t>。</w:t>
            </w:r>
          </w:p>
        </w:tc>
        <w:tc>
          <w:tcPr>
            <w:tcW w:w="2520" w:type="dxa"/>
            <w:vMerge w:val="continue"/>
            <w:vAlign w:val="center"/>
          </w:tcPr>
          <w:p>
            <w:pPr>
              <w:pStyle w:val="4"/>
              <w:jc w:val="both"/>
              <w:rPr>
                <w:rFonts w:hint="eastAsia"/>
                <w:color w:val="000000"/>
                <w:sz w:val="21"/>
                <w:szCs w:val="21"/>
              </w:rPr>
            </w:pPr>
          </w:p>
        </w:tc>
        <w:tc>
          <w:tcPr>
            <w:tcW w:w="1575" w:type="dxa"/>
            <w:vMerge w:val="continue"/>
            <w:vAlign w:val="center"/>
          </w:tcPr>
          <w:p>
            <w:pPr>
              <w:pStyle w:val="4"/>
              <w:jc w:val="center"/>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11</w:t>
            </w:r>
            <w:r>
              <w:rPr>
                <w:rFonts w:hint="eastAsia" w:cs="Times New Roman"/>
                <w:color w:val="000000"/>
                <w:sz w:val="21"/>
                <w:szCs w:val="21"/>
                <w:lang w:val="en-US" w:eastAsia="zh-CN"/>
              </w:rPr>
              <w:t>1</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autoSpaceDE w:val="0"/>
              <w:autoSpaceDN w:val="0"/>
              <w:adjustRightInd w:val="0"/>
              <w:spacing w:line="240" w:lineRule="exact"/>
              <w:rPr>
                <w:rFonts w:ascii="宋体" w:hAnsi="宋体" w:cs="FZFSK--GBK1-0"/>
                <w:color w:val="000000"/>
                <w:kern w:val="0"/>
                <w:szCs w:val="21"/>
              </w:rPr>
            </w:pPr>
            <w:r>
              <w:rPr>
                <w:rFonts w:ascii="宋体" w:hAnsi="宋体"/>
                <w:color w:val="000000"/>
                <w:szCs w:val="21"/>
              </w:rPr>
              <w:t>进一步规范依申请公开答复工作，严格按照法定时限答复，增强答复内容针对性并明示救济渠道，答复形式要严谨规范</w:t>
            </w:r>
            <w:r>
              <w:rPr>
                <w:rFonts w:hint="eastAsia" w:ascii="宋体" w:hAnsi="宋体"/>
                <w:color w:val="000000"/>
                <w:szCs w:val="21"/>
              </w:rPr>
              <w:t>。</w:t>
            </w:r>
          </w:p>
        </w:tc>
        <w:tc>
          <w:tcPr>
            <w:tcW w:w="2520" w:type="dxa"/>
            <w:vMerge w:val="continue"/>
            <w:vAlign w:val="center"/>
          </w:tcPr>
          <w:p>
            <w:pPr>
              <w:autoSpaceDE w:val="0"/>
              <w:autoSpaceDN w:val="0"/>
              <w:adjustRightInd w:val="0"/>
              <w:rPr>
                <w:rFonts w:ascii="宋体" w:hAnsi="宋体" w:cs="FZFSK--GBK1-0"/>
                <w:color w:val="000000"/>
                <w:kern w:val="0"/>
                <w:szCs w:val="21"/>
              </w:rPr>
            </w:pPr>
          </w:p>
        </w:tc>
        <w:tc>
          <w:tcPr>
            <w:tcW w:w="1575" w:type="dxa"/>
            <w:vMerge w:val="continue"/>
            <w:vAlign w:val="center"/>
          </w:tcPr>
          <w:p>
            <w:pPr>
              <w:pStyle w:val="2"/>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03" w:type="dxa"/>
            <w:vAlign w:val="center"/>
          </w:tcPr>
          <w:p>
            <w:pPr>
              <w:pStyle w:val="4"/>
              <w:jc w:val="center"/>
              <w:rPr>
                <w:rFonts w:cs="Times New Roman"/>
                <w:color w:val="000000"/>
                <w:sz w:val="21"/>
                <w:szCs w:val="21"/>
              </w:rPr>
            </w:pPr>
            <w:r>
              <w:rPr>
                <w:rFonts w:cs="Times New Roman"/>
                <w:color w:val="000000"/>
                <w:sz w:val="21"/>
                <w:szCs w:val="21"/>
              </w:rPr>
              <w:t>1</w:t>
            </w:r>
            <w:r>
              <w:rPr>
                <w:rFonts w:hint="eastAsia" w:cs="Times New Roman"/>
                <w:color w:val="000000"/>
                <w:sz w:val="21"/>
                <w:szCs w:val="21"/>
                <w:lang w:val="en-US" w:eastAsia="zh-CN"/>
              </w:rPr>
              <w:t>12</w:t>
            </w:r>
          </w:p>
        </w:tc>
        <w:tc>
          <w:tcPr>
            <w:tcW w:w="878" w:type="dxa"/>
            <w:vMerge w:val="continue"/>
            <w:vAlign w:val="center"/>
          </w:tcPr>
          <w:p>
            <w:pPr>
              <w:pStyle w:val="4"/>
              <w:jc w:val="both"/>
              <w:rPr>
                <w:color w:val="000000"/>
                <w:sz w:val="21"/>
                <w:szCs w:val="21"/>
              </w:rPr>
            </w:pPr>
          </w:p>
        </w:tc>
        <w:tc>
          <w:tcPr>
            <w:tcW w:w="1410" w:type="dxa"/>
            <w:vMerge w:val="continue"/>
            <w:vAlign w:val="center"/>
          </w:tcPr>
          <w:p>
            <w:pPr>
              <w:pStyle w:val="4"/>
              <w:jc w:val="both"/>
              <w:rPr>
                <w:color w:val="000000"/>
                <w:sz w:val="21"/>
                <w:szCs w:val="21"/>
              </w:rPr>
            </w:pPr>
          </w:p>
        </w:tc>
        <w:tc>
          <w:tcPr>
            <w:tcW w:w="7267" w:type="dxa"/>
            <w:vAlign w:val="center"/>
          </w:tcPr>
          <w:p>
            <w:pPr>
              <w:tabs>
                <w:tab w:val="left" w:pos="4508"/>
              </w:tabs>
              <w:autoSpaceDE w:val="0"/>
              <w:autoSpaceDN w:val="0"/>
              <w:adjustRightInd w:val="0"/>
              <w:spacing w:line="240" w:lineRule="exact"/>
              <w:rPr>
                <w:rFonts w:ascii="宋体" w:hAnsi="宋体" w:cs="FZFSK--GBK1-0"/>
                <w:color w:val="000000"/>
                <w:spacing w:val="-4"/>
                <w:kern w:val="0"/>
                <w:szCs w:val="21"/>
              </w:rPr>
            </w:pPr>
            <w:r>
              <w:rPr>
                <w:rFonts w:ascii="宋体" w:hAnsi="宋体"/>
                <w:color w:val="000000"/>
                <w:spacing w:val="-4"/>
                <w:szCs w:val="21"/>
                <w:lang w:bidi="ar-SA"/>
              </w:rPr>
              <mc:AlternateContent>
                <mc:Choice Requires="wps">
                  <w:drawing>
                    <wp:anchor distT="0" distB="0" distL="114300" distR="114300" simplePos="0" relativeHeight="251671552" behindDoc="0" locked="0" layoutInCell="1" allowOverlap="1">
                      <wp:simplePos x="0" y="0"/>
                      <wp:positionH relativeFrom="column">
                        <wp:posOffset>-2733675</wp:posOffset>
                      </wp:positionH>
                      <wp:positionV relativeFrom="paragraph">
                        <wp:posOffset>22860</wp:posOffset>
                      </wp:positionV>
                      <wp:extent cx="466725" cy="891540"/>
                      <wp:effectExtent l="4445" t="4445" r="5080" b="18415"/>
                      <wp:wrapNone/>
                      <wp:docPr id="7" name="文本框 11"/>
                      <wp:cNvGraphicFramePr/>
                      <a:graphic xmlns:a="http://schemas.openxmlformats.org/drawingml/2006/main">
                        <a:graphicData uri="http://schemas.microsoft.com/office/word/2010/wordprocessingShape">
                          <wps:wsp>
                            <wps:cNvSpPr txBox="1"/>
                            <wps:spPr>
                              <a:xfrm>
                                <a:off x="0" y="0"/>
                                <a:ext cx="466725" cy="8915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80" w:lineRule="exact"/>
                                  </w:pPr>
                                </w:p>
                                <w:p/>
                              </w:txbxContent>
                            </wps:txbx>
                            <wps:bodyPr vert="eaVert" upright="1"/>
                          </wps:wsp>
                        </a:graphicData>
                      </a:graphic>
                    </wp:anchor>
                  </w:drawing>
                </mc:Choice>
                <mc:Fallback>
                  <w:pict>
                    <v:shape id="文本框 11" o:spid="_x0000_s1026" o:spt="202" type="#_x0000_t202" style="position:absolute;left:0pt;margin-left:-215.25pt;margin-top:1.8pt;height:70.2pt;width:36.75pt;z-index:251671552;mso-width-relative:page;mso-height-relative:page;" fillcolor="#FFFFFF" filled="t" stroked="t" coordsize="21600,21600" o:gfxdata="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u/+/G1wAAAAsBAAAPAAAAAAAAAAEAIAAA&#10;ADgAAABkcnMvZG93bnJldi54bWxQSwECFAAUAAAACACHTuJAwC5XOfcBAAD2AwAADgAAAAAAAAAB&#10;ACAAAAA8AQAAZHJzL2Uyb0RvYy54bWxQSwUGAAAAAAYABgBZAQAApQUAAAAA&#10;">
                      <v:fill on="t" focussize="0,0"/>
                      <v:stroke color="#FFFFFF" joinstyle="miter"/>
                      <v:imagedata o:title=""/>
                      <o:lock v:ext="edit" aspectratio="f"/>
                      <v:textbox style="layout-flow:vertical-ideographic;">
                        <w:txbxContent>
                          <w:p>
                            <w:pPr>
                              <w:spacing w:line="480" w:lineRule="exact"/>
                            </w:pPr>
                          </w:p>
                          <w:p/>
                        </w:txbxContent>
                      </v:textbox>
                    </v:shape>
                  </w:pict>
                </mc:Fallback>
              </mc:AlternateContent>
            </w:r>
            <w:r>
              <w:rPr>
                <w:rFonts w:ascii="宋体" w:hAnsi="宋体"/>
                <w:color w:val="000000"/>
                <w:spacing w:val="-4"/>
                <w:szCs w:val="21"/>
              </w:rPr>
              <w:t>对依申请公开工作中发现的依法行政方面问题，及时向有关单位提出工作建议。对公众申请较为集中的政府信息，可转为主动公开的，应当主动公开</w:t>
            </w:r>
            <w:r>
              <w:rPr>
                <w:rFonts w:hint="eastAsia" w:ascii="宋体" w:hAnsi="宋体"/>
                <w:color w:val="000000"/>
                <w:spacing w:val="-4"/>
                <w:szCs w:val="21"/>
              </w:rPr>
              <w:t>。</w:t>
            </w:r>
          </w:p>
        </w:tc>
        <w:tc>
          <w:tcPr>
            <w:tcW w:w="2520" w:type="dxa"/>
            <w:vMerge w:val="continue"/>
            <w:vAlign w:val="center"/>
          </w:tcPr>
          <w:p>
            <w:pPr>
              <w:autoSpaceDE w:val="0"/>
              <w:autoSpaceDN w:val="0"/>
              <w:adjustRightInd w:val="0"/>
              <w:rPr>
                <w:rFonts w:ascii="宋体" w:hAnsi="宋体" w:cs="FZFSK--GBK1-0"/>
                <w:color w:val="000000"/>
                <w:kern w:val="0"/>
                <w:szCs w:val="21"/>
              </w:rPr>
            </w:pPr>
          </w:p>
        </w:tc>
        <w:tc>
          <w:tcPr>
            <w:tcW w:w="1575" w:type="dxa"/>
            <w:vMerge w:val="continue"/>
            <w:vAlign w:val="center"/>
          </w:tcPr>
          <w:p>
            <w:pPr>
              <w:pStyle w:val="2"/>
              <w:jc w:val="both"/>
              <w:rPr>
                <w:color w:val="000000"/>
                <w:sz w:val="21"/>
                <w:szCs w:val="21"/>
              </w:rPr>
            </w:pPr>
          </w:p>
        </w:tc>
      </w:tr>
    </w:tbl>
    <w:p>
      <w:pPr>
        <w:spacing w:line="200" w:lineRule="exact"/>
        <w:rPr>
          <w:rFonts w:hint="eastAsia" w:eastAsia="方正仿宋_GBK"/>
          <w:sz w:val="32"/>
          <w:szCs w:val="32"/>
        </w:rPr>
      </w:pPr>
    </w:p>
    <w:p>
      <w:pPr>
        <w:spacing w:line="200" w:lineRule="exact"/>
        <w:rPr>
          <w:rFonts w:eastAsia="方正仿宋_GBK"/>
          <w:sz w:val="32"/>
          <w:szCs w:val="32"/>
        </w:rPr>
      </w:pPr>
    </w:p>
    <w:p/>
    <w:sectPr>
      <w:headerReference r:id="rId3" w:type="default"/>
      <w:footerReference r:id="rId4"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FZFSK--GBK1-0">
    <w:altName w:val="仿宋"/>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7420" w:firstLineChars="2650"/>
      <w:rPr>
        <w:rFonts w:hint="eastAsia"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1TIriFAIAABU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DVMiuIUAgAAFQQAAA4AAAAAAAAAAQAgAAAANQEAAGRycy9lMm9Eb2MueG1sUEsFBgAAAAAGAAYA&#10;WQEAALs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649C4"/>
    <w:rsid w:val="45B649C4"/>
    <w:rsid w:val="51FB5CD8"/>
    <w:rsid w:val="DAEBA6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rPr>
  </w:style>
  <w:style w:type="character" w:default="1" w:styleId="7">
    <w:name w:val="Default Paragraph Font"/>
    <w:link w:val="8"/>
    <w:semiHidden/>
    <w:qFormat/>
    <w:uiPriority w:val="0"/>
    <w:rPr>
      <w:lang w:bidi="ar-SA"/>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jc w:val="left"/>
    </w:pPr>
    <w:rPr>
      <w:rFonts w:ascii="宋体" w:hAnsi="宋体" w:cs="宋体"/>
      <w:kern w:val="0"/>
      <w:sz w:val="24"/>
      <w:szCs w:val="2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 Char Char Char Char Char Char Char"/>
    <w:basedOn w:val="1"/>
    <w:link w:val="7"/>
    <w:qFormat/>
    <w:uiPriority w:val="0"/>
    <w:rPr>
      <w:lang w:bidi="ar-SA"/>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39</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2017-06-30T21:40:00Z</dcterms:created>
  <dc:creator>Administrator</dc:creator>
  <cp:lastModifiedBy>user</cp:lastModifiedBy>
  <dcterms:modified xsi:type="dcterms:W3CDTF">2026-06-01T09:24:10Z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