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_GBK" w:hAnsi="方正小标宋_GBK" w:eastAsia="方正小标宋_GBK" w:cs="方正小标宋_GBK"/>
          <w:color w:val="auto"/>
          <w:sz w:val="40"/>
          <w:szCs w:val="40"/>
        </w:rPr>
      </w:pPr>
      <w:r>
        <w:rPr>
          <w:rFonts w:hint="eastAsia" w:ascii="方正小标宋_GBK" w:hAnsi="方正小标宋_GBK" w:eastAsia="方正小标宋_GBK" w:cs="方正小标宋_GBK"/>
          <w:color w:val="auto"/>
          <w:sz w:val="40"/>
          <w:szCs w:val="40"/>
        </w:rPr>
        <w:t>出售或者运输水生动物水产苗种检疫合格证核发（县级权限）</w:t>
      </w:r>
    </w:p>
    <w:p>
      <w:pPr>
        <w:jc w:val="center"/>
        <w:rPr>
          <w:rFonts w:ascii="方正小标宋_GBK" w:hAnsi="方正小标宋_GBK" w:eastAsia="方正小标宋_GBK" w:cs="方正小标宋_GBK"/>
          <w:color w:val="auto"/>
          <w:sz w:val="40"/>
          <w:szCs w:val="40"/>
        </w:rPr>
      </w:pPr>
      <w:r>
        <w:rPr>
          <w:rFonts w:hint="eastAsia" w:ascii="方正小标宋_GBK" w:hAnsi="方正小标宋_GBK" w:eastAsia="方正小标宋_GBK" w:cs="方正小标宋_GBK"/>
          <w:color w:val="auto"/>
          <w:sz w:val="40"/>
          <w:szCs w:val="40"/>
        </w:rPr>
        <w:t>【000120338004】</w:t>
      </w:r>
    </w:p>
    <w:p>
      <w:pPr>
        <w:rPr>
          <w:rFonts w:ascii="方正小标宋_GBK" w:hAnsi="方正小标宋_GBK" w:eastAsia="方正小标宋_GBK" w:cs="方正小标宋_GBK"/>
          <w:color w:val="auto"/>
          <w:sz w:val="40"/>
          <w:szCs w:val="40"/>
        </w:rPr>
      </w:pP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一、基本要素</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w:t>
      </w:r>
      <w:r>
        <w:rPr>
          <w:rFonts w:ascii="Times New Roman" w:hAnsi="Times New Roman" w:eastAsia="仿宋GB2312"/>
          <w:b/>
          <w:bCs/>
          <w:color w:val="auto"/>
          <w:sz w:val="28"/>
          <w:szCs w:val="28"/>
        </w:rPr>
        <w:t>行政许可事项名称</w:t>
      </w:r>
      <w:r>
        <w:rPr>
          <w:rFonts w:hint="eastAsia" w:ascii="Times New Roman" w:hAnsi="Times New Roman" w:eastAsia="仿宋GB2312"/>
          <w:b/>
          <w:bCs/>
          <w:color w:val="auto"/>
          <w:sz w:val="28"/>
          <w:szCs w:val="28"/>
        </w:rPr>
        <w:t>及编码</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动物及动物产品检疫合格证核发【00012033800Y】</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行政许可</w:t>
      </w:r>
      <w:r>
        <w:rPr>
          <w:rFonts w:hint="eastAsia" w:ascii="Times New Roman" w:hAnsi="Times New Roman" w:eastAsia="仿宋GB2312"/>
          <w:b/>
          <w:bCs/>
          <w:color w:val="auto"/>
          <w:sz w:val="28"/>
          <w:szCs w:val="28"/>
        </w:rPr>
        <w:t>事项子项名称及编码</w:t>
      </w:r>
    </w:p>
    <w:p>
      <w:pPr>
        <w:spacing w:line="360" w:lineRule="auto"/>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出售或者运输水生动物水产苗种检疫合格证核发（县级权限）【000120338004】</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3.行政许可事项业务办理项名称及编码</w:t>
      </w:r>
    </w:p>
    <w:p>
      <w:pPr>
        <w:spacing w:line="360" w:lineRule="auto"/>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出售或者运输水生动物水产苗种检疫合格证核发（县级权限）(00012033800401)</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4.设定依据</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《中华人民共和国动物防疫法》第十一条</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5.实施依据</w:t>
      </w:r>
    </w:p>
    <w:p>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（1）《中华人民共和国动物防疫法》第四十八条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（2）《中华人民共和国动物防疫法》第四十九条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）第十五条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（4）</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）第十六条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（5）</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）第十七条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（6）</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）第二十五条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）第二十六条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（8）</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）第二十七条</w:t>
      </w:r>
    </w:p>
    <w:p>
      <w:pPr>
        <w:spacing w:line="540" w:lineRule="exact"/>
        <w:ind w:firstLine="560" w:firstLineChars="200"/>
        <w:outlineLvl w:val="1"/>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（9）</w:t>
      </w:r>
      <w:bookmarkStart w:id="0" w:name="_GoBack"/>
      <w:r>
        <w:rPr>
          <w:rFonts w:ascii="方正仿宋_GBK" w:hAnsi="方正仿宋_GBK" w:eastAsia="方正仿宋_GBK" w:cs="方正仿宋_GBK"/>
          <w:color w:val="auto"/>
          <w:sz w:val="28"/>
          <w:szCs w:val="28"/>
        </w:rPr>
        <w:t>《云南省人民政府行政审批制度改革办公室关于取消和下放一批行政许可事项的通知》（云审改办发〔2017〕1号）</w:t>
      </w:r>
    </w:p>
    <w:bookmarkEnd w:id="0"/>
    <w:p>
      <w:pPr>
        <w:spacing w:line="540" w:lineRule="exact"/>
        <w:ind w:firstLine="560" w:firstLineChars="200"/>
        <w:outlineLvl w:val="1"/>
        <w:rPr>
          <w:rFonts w:hint="eastAsia" w:ascii="方正仿宋_GBK" w:hAnsi="方正仿宋_GBK" w:eastAsia="方正仿宋_GBK" w:cs="方正仿宋_GBK"/>
          <w:color w:val="FF0000"/>
          <w:sz w:val="28"/>
          <w:szCs w:val="28"/>
        </w:rPr>
      </w:pPr>
    </w:p>
    <w:p>
      <w:pPr>
        <w:spacing w:line="540" w:lineRule="exact"/>
        <w:ind w:firstLine="560" w:firstLineChars="200"/>
        <w:outlineLvl w:val="2"/>
        <w:rPr>
          <w:rFonts w:ascii="方正仿宋_GBK" w:hAnsi="方正仿宋_GBK" w:eastAsia="方正仿宋_GBK" w:cs="方正仿宋_GBK"/>
          <w:color w:val="auto"/>
          <w:sz w:val="28"/>
          <w:szCs w:val="28"/>
        </w:rPr>
      </w:pP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6.监管依据</w:t>
      </w:r>
    </w:p>
    <w:p>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（1）《中华人民共和国动物防疫法》第七十四条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（2）《中华人民共和国动物防疫法》第七十六条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（3）《中华人民共和国动物防疫法》第九十七条</w:t>
      </w:r>
    </w:p>
    <w:p>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（4）《中华人民共和国动物防疫法》第一百条</w:t>
      </w:r>
    </w:p>
    <w:p>
      <w:pPr>
        <w:spacing w:line="600" w:lineRule="exact"/>
        <w:ind w:firstLine="562" w:firstLineChars="200"/>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7.</w:t>
      </w:r>
      <w:r>
        <w:rPr>
          <w:rFonts w:ascii="Times New Roman" w:hAnsi="Times New Roman" w:eastAsia="仿宋GB2312"/>
          <w:b/>
          <w:bCs/>
          <w:color w:val="auto"/>
          <w:sz w:val="28"/>
          <w:szCs w:val="28"/>
        </w:rPr>
        <w:t>实施机关</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rPr>
        <w:t>县级农业农村部门</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8.</w:t>
      </w:r>
      <w:r>
        <w:rPr>
          <w:rFonts w:ascii="Times New Roman" w:hAnsi="Times New Roman" w:eastAsia="仿宋GB2312"/>
          <w:b/>
          <w:bCs/>
          <w:color w:val="auto"/>
          <w:sz w:val="28"/>
          <w:szCs w:val="28"/>
        </w:rPr>
        <w:t>审批层级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县级</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9.行使</w:t>
      </w:r>
      <w:r>
        <w:rPr>
          <w:rFonts w:ascii="Times New Roman" w:hAnsi="Times New Roman" w:eastAsia="仿宋GB2312"/>
          <w:b/>
          <w:bCs/>
          <w:color w:val="auto"/>
          <w:sz w:val="28"/>
          <w:szCs w:val="28"/>
        </w:rPr>
        <w:t>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县级</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10.</w:t>
      </w:r>
      <w:r>
        <w:rPr>
          <w:rFonts w:ascii="Times New Roman" w:hAnsi="Times New Roman" w:eastAsia="仿宋GB2312"/>
          <w:b/>
          <w:bCs/>
          <w:color w:val="auto"/>
          <w:sz w:val="28"/>
          <w:szCs w:val="28"/>
        </w:rPr>
        <w:t>是否由审批机关受理</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是</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11.</w:t>
      </w:r>
      <w:r>
        <w:rPr>
          <w:rFonts w:ascii="Times New Roman" w:hAnsi="Times New Roman" w:eastAsia="仿宋GB2312"/>
          <w:b/>
          <w:bCs/>
          <w:color w:val="auto"/>
          <w:sz w:val="28"/>
          <w:szCs w:val="28"/>
        </w:rPr>
        <w:t>受理层级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县级</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12.</w:t>
      </w:r>
      <w:r>
        <w:rPr>
          <w:rFonts w:ascii="Times New Roman" w:hAnsi="Times New Roman" w:eastAsia="仿宋GB2312"/>
          <w:b/>
          <w:bCs/>
          <w:color w:val="auto"/>
          <w:sz w:val="28"/>
          <w:szCs w:val="28"/>
        </w:rPr>
        <w:t>是否存在初审环节</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pPr>
        <w:spacing w:line="600" w:lineRule="exact"/>
        <w:ind w:firstLine="562" w:firstLineChars="200"/>
        <w:rPr>
          <w:rFonts w:ascii="Times New Roman" w:hAnsi="Times New Roman" w:eastAsia="仿宋GB2312"/>
          <w:color w:val="auto"/>
          <w:sz w:val="28"/>
          <w:szCs w:val="28"/>
          <w:highlight w:val="yellow"/>
        </w:rPr>
      </w:pPr>
      <w:r>
        <w:rPr>
          <w:rFonts w:hint="eastAsia" w:ascii="Times New Roman" w:hAnsi="Times New Roman" w:eastAsia="仿宋GB2312"/>
          <w:b/>
          <w:bCs/>
          <w:color w:val="auto"/>
          <w:sz w:val="28"/>
          <w:szCs w:val="28"/>
        </w:rPr>
        <w:t>13.</w:t>
      </w:r>
      <w:r>
        <w:rPr>
          <w:rFonts w:ascii="Times New Roman" w:hAnsi="Times New Roman" w:eastAsia="仿宋GB2312"/>
          <w:b/>
          <w:bCs/>
          <w:color w:val="auto"/>
          <w:sz w:val="28"/>
          <w:szCs w:val="28"/>
        </w:rPr>
        <w:t>初审层级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pPr>
        <w:spacing w:line="600" w:lineRule="exact"/>
        <w:ind w:firstLine="562" w:firstLineChars="200"/>
        <w:jc w:val="left"/>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14.</w:t>
      </w:r>
      <w:r>
        <w:rPr>
          <w:rFonts w:ascii="Times New Roman" w:hAnsi="Times New Roman" w:eastAsia="仿宋GB2312"/>
          <w:b/>
          <w:bCs/>
          <w:color w:val="auto"/>
          <w:sz w:val="28"/>
          <w:szCs w:val="28"/>
        </w:rPr>
        <w:t>对应政务服务事项国家级基本目录名称</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动物及动物产品检疫合格证核发</w:t>
      </w:r>
    </w:p>
    <w:p>
      <w:pPr>
        <w:spacing w:line="600" w:lineRule="exact"/>
        <w:ind w:firstLine="562" w:firstLineChars="200"/>
        <w:jc w:val="left"/>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15.要素统一情况：</w:t>
      </w:r>
      <w:r>
        <w:rPr>
          <w:rFonts w:hint="eastAsia" w:ascii="方正仿宋_GBK" w:hAnsi="方正仿宋_GBK" w:eastAsia="方正仿宋_GBK" w:cs="方正仿宋_GBK"/>
          <w:color w:val="auto"/>
          <w:sz w:val="28"/>
          <w:szCs w:val="28"/>
        </w:rPr>
        <w:t>全部要素全国统一</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二、行政许可事项类型</w:t>
      </w:r>
    </w:p>
    <w:p>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条件型</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三、行政许可条件</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1.准予行政许可的条件</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（1）出售或者运输动物、动物产品的，货主应当提前三天向所在地动物卫生监督机构申报检疫。</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2）出售或者运输水生动物的亲本、稚体、幼体、受精卵、发眼卵及其他遗传育种材料等水产苗种的，来自未发生相关水生动物疫情的苗种生产场；申报材料符合检疫规程规定；临床检查健康；需要进行实验室疫病检测的，检测结果合格。</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已经取得产地检疫证明的动物，从专门经营动物的集贸市场继续出售或者运输的，或者动物展示、演出、比赛后需要继续运输的，有原始动物检疫证明和完整的进出场记录，畜禽标识符合规定，临床检查健康；原始动物检疫证明超过调运有效期，按规定需要进行实验室疫病检测的，检测结果合格</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（4）输入到无规定动物疫病区的相关易感动物，应当在输入地省级动物卫生监督机构指定的隔离场所进行隔离，隔离检疫期为三十天。隔离检疫合格的。</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（5）输入到无规定动物疫病区的相关易感动物产品，应当在输入地省级动物卫生监督机构指定的地点，按照无规定动物疫病区有关检疫要求进行检疫。检疫合格的。</w:t>
      </w:r>
    </w:p>
    <w:p>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规定行政许可条件的依据</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（1）</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）第十五条出售或者运输水生动物的亲本、稚体、幼体、受精卵、发眼卵及其他遗传育种材料等水产苗种的，经检疫符合下列条件的，出具动物检疫证明：</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（一）来自未发生相关水生动物疫情的苗种生产场；</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（二）申报材料符合检疫规程规定；</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（三）临床检查健康；</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（四）需要进行实验室疫病检测的，检测结果合格。</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水产苗种以外的其他水生动物及其产品不实施检疫。</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（2）</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）第十六条已经取得产地检疫证明的动物，从专门经营动物的集贸市场继续出售或者运输的，或者动物展示、演出、比赛后需要继续运输的，经检疫符合下列条件的，出具动物检疫证明：</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（一）有原始动物检疫证明和完整的进出场记录；</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（二）畜禽标识符合规定；</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（三）临床检查健康；</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（四）原始动物检疫证明超过调运有效期，按规定需要进行实验室疫病检测的，检测结果合格。</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）第十七条 跨省、自治区、直辖市引进的乳用、种用动物到达输入地后，应当在隔离场或者饲养场内的隔离舍进行隔离观察，隔离期为三十天。经隔离观察合格的，方可混群饲养；不合格的，按照有关规定进行处理。隔离观察合格后需要继续运输的，货主应当申报检疫，并取得动物检疫证明。</w:t>
      </w:r>
    </w:p>
    <w:p>
      <w:pPr>
        <w:keepNext w:val="0"/>
        <w:keepLines w:val="0"/>
        <w:pageBreakBefore w:val="0"/>
        <w:widowControl w:val="0"/>
        <w:kinsoku/>
        <w:wordWrap/>
        <w:overflowPunct/>
        <w:topLinePunct w:val="0"/>
        <w:autoSpaceDN/>
        <w:bidi w:val="0"/>
        <w:adjustRightInd/>
        <w:snapToGrid/>
        <w:spacing w:line="540" w:lineRule="exact"/>
        <w:ind w:firstLine="560" w:firstLineChars="200"/>
        <w:textAlignment w:val="auto"/>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跨省、自治区、直辖市输入到无规定动物疫病区的乳用、种用动物的隔离按照本办法第二十六条规定执行。</w:t>
      </w:r>
    </w:p>
    <w:p>
      <w:pPr>
        <w:keepNext w:val="0"/>
        <w:keepLines w:val="0"/>
        <w:pageBreakBefore w:val="0"/>
        <w:widowControl w:val="0"/>
        <w:kinsoku/>
        <w:wordWrap/>
        <w:overflowPunct/>
        <w:topLinePunct w:val="0"/>
        <w:autoSpaceDE w:val="0"/>
        <w:autoSpaceDN/>
        <w:bidi w:val="0"/>
        <w:adjustRightInd/>
        <w:snapToGrid/>
        <w:spacing w:line="540" w:lineRule="exact"/>
        <w:ind w:firstLine="560" w:firstLineChars="200"/>
        <w:textAlignment w:val="auto"/>
        <w:rPr>
          <w:rFonts w:ascii="方正仿宋_GBK" w:eastAsia="方正仿宋_GBK"/>
          <w:color w:val="auto"/>
          <w:sz w:val="28"/>
          <w:szCs w:val="28"/>
        </w:rPr>
      </w:pPr>
      <w:r>
        <w:rPr>
          <w:rFonts w:hint="eastAsia" w:ascii="方正仿宋_GBK" w:hAnsi="方正仿宋_GBK" w:eastAsia="方正仿宋_GBK" w:cs="方正仿宋_GBK"/>
          <w:color w:val="auto"/>
          <w:sz w:val="28"/>
          <w:szCs w:val="28"/>
        </w:rPr>
        <w:t>（4）</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w:t>
      </w:r>
      <w:r>
        <w:rPr>
          <w:rFonts w:hint="eastAsia" w:ascii="方正仿宋_GBK" w:eastAsia="方正仿宋_GBK"/>
          <w:color w:val="auto"/>
          <w:sz w:val="28"/>
          <w:szCs w:val="28"/>
        </w:rPr>
        <w:t>第二十六条 输入到无规定动物疫病区的相关易感动物，应当在输入地省级动物卫生监督机构指定的隔离场所进行隔离，隔离检疫期为三十天。隔离检疫合格的，由隔离场所在地县级动物卫生监督机构的官方兽医出具动物检疫证明。</w:t>
      </w:r>
    </w:p>
    <w:p>
      <w:pPr>
        <w:keepNext w:val="0"/>
        <w:keepLines w:val="0"/>
        <w:pageBreakBefore w:val="0"/>
        <w:widowControl w:val="0"/>
        <w:kinsoku/>
        <w:wordWrap/>
        <w:overflowPunct/>
        <w:topLinePunct w:val="0"/>
        <w:autoSpaceDE w:val="0"/>
        <w:autoSpaceDN/>
        <w:bidi w:val="0"/>
        <w:adjustRightInd/>
        <w:snapToGrid/>
        <w:spacing w:line="540" w:lineRule="exact"/>
        <w:ind w:firstLine="560" w:firstLineChars="200"/>
        <w:textAlignment w:val="auto"/>
        <w:rPr>
          <w:rFonts w:hint="eastAsia" w:ascii="方正仿宋_GBK" w:eastAsia="方正仿宋_GBK"/>
          <w:color w:val="auto"/>
          <w:sz w:val="28"/>
          <w:szCs w:val="28"/>
        </w:rPr>
      </w:pPr>
      <w:r>
        <w:rPr>
          <w:rFonts w:hint="eastAsia" w:ascii="方正仿宋_GBK" w:eastAsia="方正仿宋_GBK"/>
          <w:color w:val="auto"/>
          <w:sz w:val="28"/>
          <w:szCs w:val="28"/>
        </w:rPr>
        <w:t>（</w:t>
      </w:r>
      <w:r>
        <w:rPr>
          <w:rFonts w:ascii="方正仿宋_GBK" w:eastAsia="方正仿宋_GBK"/>
          <w:color w:val="auto"/>
          <w:sz w:val="28"/>
          <w:szCs w:val="28"/>
        </w:rPr>
        <w:t>5</w:t>
      </w:r>
      <w:r>
        <w:rPr>
          <w:rFonts w:hint="eastAsia" w:ascii="方正仿宋_GBK" w:eastAsia="方正仿宋_GBK"/>
          <w:color w:val="auto"/>
          <w:sz w:val="28"/>
          <w:szCs w:val="28"/>
        </w:rPr>
        <w:t>）</w:t>
      </w:r>
      <w:r>
        <w:rPr>
          <w:rFonts w:ascii="方正仿宋_GBK" w:eastAsia="方正仿宋_GBK"/>
          <w:color w:val="auto"/>
          <w:sz w:val="28"/>
          <w:szCs w:val="28"/>
        </w:rPr>
        <w:t>《动物检疫管理办法》（20</w:t>
      </w:r>
      <w:r>
        <w:rPr>
          <w:rFonts w:hint="eastAsia" w:ascii="方正仿宋_GBK" w:eastAsia="方正仿宋_GBK"/>
          <w:color w:val="auto"/>
          <w:sz w:val="28"/>
          <w:szCs w:val="28"/>
        </w:rPr>
        <w:t>22</w:t>
      </w:r>
      <w:r>
        <w:rPr>
          <w:rFonts w:ascii="方正仿宋_GBK" w:eastAsia="方正仿宋_GBK"/>
          <w:color w:val="auto"/>
          <w:sz w:val="28"/>
          <w:szCs w:val="28"/>
        </w:rPr>
        <w:t>年</w:t>
      </w:r>
      <w:r>
        <w:rPr>
          <w:rFonts w:hint="eastAsia" w:ascii="方正仿宋_GBK" w:eastAsia="方正仿宋_GBK"/>
          <w:color w:val="auto"/>
          <w:sz w:val="28"/>
          <w:szCs w:val="28"/>
        </w:rPr>
        <w:t>9</w:t>
      </w:r>
      <w:r>
        <w:rPr>
          <w:rFonts w:ascii="方正仿宋_GBK" w:eastAsia="方正仿宋_GBK"/>
          <w:color w:val="auto"/>
          <w:sz w:val="28"/>
          <w:szCs w:val="28"/>
        </w:rPr>
        <w:t>月</w:t>
      </w:r>
      <w:r>
        <w:rPr>
          <w:rFonts w:hint="eastAsia" w:ascii="方正仿宋_GBK" w:eastAsia="方正仿宋_GBK"/>
          <w:color w:val="auto"/>
          <w:sz w:val="28"/>
          <w:szCs w:val="28"/>
        </w:rPr>
        <w:t>7</w:t>
      </w:r>
      <w:r>
        <w:rPr>
          <w:rFonts w:ascii="方正仿宋_GBK" w:eastAsia="方正仿宋_GBK"/>
          <w:color w:val="auto"/>
          <w:sz w:val="28"/>
          <w:szCs w:val="28"/>
        </w:rPr>
        <w:t>日农业</w:t>
      </w:r>
      <w:r>
        <w:rPr>
          <w:rFonts w:hint="eastAsia" w:ascii="方正仿宋_GBK" w:eastAsia="方正仿宋_GBK"/>
          <w:color w:val="auto"/>
          <w:sz w:val="28"/>
          <w:szCs w:val="28"/>
        </w:rPr>
        <w:t>农村</w:t>
      </w:r>
      <w:r>
        <w:rPr>
          <w:rFonts w:ascii="方正仿宋_GBK" w:eastAsia="方正仿宋_GBK"/>
          <w:color w:val="auto"/>
          <w:sz w:val="28"/>
          <w:szCs w:val="28"/>
        </w:rPr>
        <w:t>部令20</w:t>
      </w:r>
      <w:r>
        <w:rPr>
          <w:rFonts w:hint="eastAsia" w:ascii="方正仿宋_GBK" w:eastAsia="方正仿宋_GBK"/>
          <w:color w:val="auto"/>
          <w:sz w:val="28"/>
          <w:szCs w:val="28"/>
        </w:rPr>
        <w:t>22</w:t>
      </w:r>
      <w:r>
        <w:rPr>
          <w:rFonts w:ascii="方正仿宋_GBK" w:eastAsia="方正仿宋_GBK"/>
          <w:color w:val="auto"/>
          <w:sz w:val="28"/>
          <w:szCs w:val="28"/>
        </w:rPr>
        <w:t>年第</w:t>
      </w:r>
      <w:r>
        <w:rPr>
          <w:rFonts w:hint="eastAsia" w:ascii="方正仿宋_GBK" w:eastAsia="方正仿宋_GBK"/>
          <w:color w:val="auto"/>
          <w:sz w:val="28"/>
          <w:szCs w:val="28"/>
        </w:rPr>
        <w:t>7</w:t>
      </w:r>
      <w:r>
        <w:rPr>
          <w:rFonts w:ascii="方正仿宋_GBK" w:eastAsia="方正仿宋_GBK"/>
          <w:color w:val="auto"/>
          <w:sz w:val="28"/>
          <w:szCs w:val="28"/>
        </w:rPr>
        <w:t>号公布</w:t>
      </w:r>
      <w:r>
        <w:rPr>
          <w:rFonts w:hint="eastAsia" w:ascii="方正仿宋_GBK" w:eastAsia="方正仿宋_GBK"/>
          <w:color w:val="auto"/>
          <w:sz w:val="28"/>
          <w:szCs w:val="28"/>
        </w:rPr>
        <w:t>）第二十七条 输入到无规定动物疫病区的相关易感动物产品，应当在输入地省级动物卫生监督机构指定的地点，按照无规定动物疫病区有关检疫要求进行检疫。检疫合格的，由当地县级动物卫生监督机构的官方兽医出具动物检疫证明。</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四、</w:t>
      </w:r>
      <w:r>
        <w:rPr>
          <w:rFonts w:ascii="Times New Roman" w:hAnsi="Times New Roman" w:eastAsia="黑体"/>
          <w:color w:val="auto"/>
          <w:sz w:val="28"/>
          <w:szCs w:val="28"/>
        </w:rPr>
        <w:t>行政许可服务对象类型</w:t>
      </w:r>
      <w:r>
        <w:rPr>
          <w:rFonts w:hint="eastAsia" w:ascii="Times New Roman" w:hAnsi="Times New Roman" w:eastAsia="黑体"/>
          <w:color w:val="auto"/>
          <w:sz w:val="28"/>
          <w:szCs w:val="28"/>
        </w:rPr>
        <w:t>与改革举措</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1.服务对象类型：</w:t>
      </w:r>
      <w:r>
        <w:rPr>
          <w:rFonts w:ascii="方正仿宋_GBK" w:hAnsi="方正仿宋_GBK" w:eastAsia="方正仿宋_GBK" w:cs="方正仿宋_GBK"/>
          <w:color w:val="auto"/>
          <w:sz w:val="28"/>
          <w:szCs w:val="28"/>
        </w:rPr>
        <w:t>自然人,企业法人</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2.是否为涉企许可事项：</w:t>
      </w:r>
      <w:r>
        <w:rPr>
          <w:rFonts w:ascii="方正仿宋_GBK" w:hAnsi="方正仿宋_GBK" w:eastAsia="方正仿宋_GBK" w:cs="方正仿宋_GBK"/>
          <w:color w:val="auto"/>
          <w:sz w:val="28"/>
          <w:szCs w:val="28"/>
        </w:rPr>
        <w:t>是</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3.涉企经营许可事项名称：</w:t>
      </w:r>
      <w:r>
        <w:rPr>
          <w:rFonts w:ascii="方正仿宋_GBK" w:hAnsi="方正仿宋_GBK" w:eastAsia="方正仿宋_GBK" w:cs="方正仿宋_GBK"/>
          <w:color w:val="auto"/>
          <w:sz w:val="28"/>
          <w:szCs w:val="28"/>
        </w:rPr>
        <w:t>动物及动物产品检疫合格证核发</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4.许可证件名称：</w:t>
      </w:r>
      <w:r>
        <w:rPr>
          <w:rFonts w:ascii="方正仿宋_GBK" w:hAnsi="方正仿宋_GBK" w:eastAsia="方正仿宋_GBK" w:cs="方正仿宋_GBK"/>
          <w:color w:val="auto"/>
          <w:sz w:val="28"/>
          <w:szCs w:val="28"/>
        </w:rPr>
        <w:t>动物检疫合格证明</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5.改革方式：</w:t>
      </w:r>
      <w:r>
        <w:rPr>
          <w:rFonts w:ascii="方正仿宋_GBK" w:hAnsi="方正仿宋_GBK" w:eastAsia="方正仿宋_GBK" w:cs="方正仿宋_GBK"/>
          <w:color w:val="auto"/>
          <w:sz w:val="28"/>
          <w:szCs w:val="28"/>
        </w:rPr>
        <w:t>优化审批服务</w:t>
      </w:r>
    </w:p>
    <w:p>
      <w:pPr>
        <w:spacing w:line="54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6.具体改革举措</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缩减审批时限</w:t>
      </w:r>
    </w:p>
    <w:p>
      <w:pPr>
        <w:spacing w:line="54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7.加强事中事后监管措施</w:t>
      </w:r>
    </w:p>
    <w:p>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加强出证管理，禁止“多车一证”，对使用不同车辆运输的动物及动物产品，官方兽医应当分别出具检疫证明。2.加强运输监管，要求通过道路运输的动物，应经指定通过入省境或过省境，由指定通道查验运输车辆证物相符情况。3.加强落地监管，实行水生动物调运落地报告制度，严厉打击违规调运行为；加强信息化建设，推进动物检疫监管与养殖、运输等信息互联互通，实现动物检疫监督全链条智慧监管。</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五、申请材料</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1.申请材料名称</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检疫申报单</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规定申请材料的依据</w:t>
      </w:r>
    </w:p>
    <w:p>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）第十一条 申报检疫的，应当提交检疫申报单……。</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六、中介服务</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1.有无法定中介服务事项：</w:t>
      </w:r>
      <w:r>
        <w:rPr>
          <w:rFonts w:ascii="方正仿宋_GBK" w:hAnsi="方正仿宋_GBK" w:eastAsia="方正仿宋_GBK" w:cs="方正仿宋_GBK"/>
          <w:color w:val="auto"/>
          <w:sz w:val="28"/>
          <w:szCs w:val="28"/>
        </w:rPr>
        <w:t>无</w:t>
      </w:r>
    </w:p>
    <w:p>
      <w:pPr>
        <w:spacing w:line="600" w:lineRule="exact"/>
        <w:ind w:firstLine="562" w:firstLineChars="200"/>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中介服务事项名称</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w:t>
      </w:r>
      <w:r>
        <w:rPr>
          <w:rFonts w:ascii="Times New Roman" w:hAnsi="Times New Roman" w:eastAsia="仿宋GB2312"/>
          <w:b/>
          <w:bCs/>
          <w:color w:val="auto"/>
          <w:sz w:val="28"/>
          <w:szCs w:val="28"/>
        </w:rPr>
        <w:t>设定中介服务事项的依据</w:t>
      </w:r>
    </w:p>
    <w:p>
      <w:pPr>
        <w:spacing w:line="600" w:lineRule="exact"/>
        <w:ind w:firstLine="560" w:firstLineChars="200"/>
        <w:rPr>
          <w:rFonts w:ascii="Times New Roman" w:hAnsi="Times New Roman" w:eastAsia="仿宋GB2312"/>
          <w:color w:val="auto"/>
          <w:sz w:val="28"/>
          <w:szCs w:val="28"/>
        </w:rPr>
      </w:pPr>
      <w:r>
        <w:rPr>
          <w:rFonts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w:t>
      </w:r>
      <w:r>
        <w:rPr>
          <w:rFonts w:ascii="Times New Roman" w:hAnsi="Times New Roman" w:eastAsia="仿宋GB2312"/>
          <w:b/>
          <w:bCs/>
          <w:color w:val="auto"/>
          <w:sz w:val="28"/>
          <w:szCs w:val="28"/>
        </w:rPr>
        <w:t>提供中介服务的机构</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w:t>
      </w:r>
      <w:r>
        <w:rPr>
          <w:rFonts w:ascii="Times New Roman" w:hAnsi="Times New Roman" w:eastAsia="仿宋GB2312"/>
          <w:b/>
          <w:bCs/>
          <w:color w:val="auto"/>
          <w:sz w:val="28"/>
          <w:szCs w:val="28"/>
        </w:rPr>
        <w:t>中介服务事项的收费性质</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七、审批程序</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1.办理行政许可的程序环节</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申请</w:t>
      </w:r>
    </w:p>
    <w:p>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受理</w:t>
      </w:r>
      <w:r>
        <w:rPr>
          <w:rFonts w:hint="eastAsia" w:ascii="方正仿宋_GBK" w:hAnsi="方正仿宋_GBK" w:eastAsia="方正仿宋_GBK" w:cs="方正仿宋_GBK"/>
          <w:color w:val="auto"/>
          <w:sz w:val="28"/>
          <w:szCs w:val="28"/>
        </w:rPr>
        <w:t>/不予受理</w:t>
      </w:r>
    </w:p>
    <w:p>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现场勘验</w:t>
      </w:r>
      <w:r>
        <w:rPr>
          <w:rFonts w:hint="eastAsia" w:ascii="方正仿宋_GBK" w:hAnsi="方正仿宋_GBK" w:eastAsia="方正仿宋_GBK" w:cs="方正仿宋_GBK"/>
          <w:color w:val="auto"/>
          <w:sz w:val="28"/>
          <w:szCs w:val="28"/>
          <w:lang w:eastAsia="zh-CN"/>
        </w:rPr>
        <w:t>，</w:t>
      </w:r>
      <w:r>
        <w:rPr>
          <w:rFonts w:hint="default" w:ascii="方正仿宋_GBK" w:hAnsi="方正仿宋_GBK" w:eastAsia="方正仿宋_GBK" w:cs="方正仿宋_GBK"/>
          <w:b w:val="0"/>
          <w:bCs w:val="0"/>
          <w:strike w:val="0"/>
          <w:dstrike w:val="0"/>
          <w:color w:val="auto"/>
          <w:sz w:val="28"/>
          <w:szCs w:val="28"/>
          <w:lang w:val="en-US" w:eastAsia="zh-CN"/>
        </w:rPr>
        <w:t>检疫</w:t>
      </w:r>
    </w:p>
    <w:p>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作出许可</w:t>
      </w:r>
      <w:r>
        <w:rPr>
          <w:rFonts w:hint="eastAsia" w:ascii="方正仿宋_GBK" w:hAnsi="方正仿宋_GBK" w:eastAsia="方正仿宋_GBK" w:cs="方正仿宋_GBK"/>
          <w:color w:val="auto"/>
          <w:sz w:val="28"/>
          <w:szCs w:val="28"/>
        </w:rPr>
        <w:t>/不予许可</w:t>
      </w:r>
      <w:r>
        <w:rPr>
          <w:rFonts w:hint="default" w:ascii="方正仿宋_GBK" w:hAnsi="方正仿宋_GBK" w:eastAsia="方正仿宋_GBK" w:cs="方正仿宋_GBK"/>
          <w:b w:val="0"/>
          <w:bCs w:val="0"/>
          <w:strike w:val="0"/>
          <w:dstrike w:val="0"/>
          <w:color w:val="auto"/>
          <w:sz w:val="28"/>
          <w:szCs w:val="28"/>
          <w:lang w:val="en-US" w:eastAsia="zh-CN"/>
        </w:rPr>
        <w:t>决定</w:t>
      </w:r>
    </w:p>
    <w:p>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颁发许可证件</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2.规定行政许可程序的依据</w:t>
      </w:r>
    </w:p>
    <w:p>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（1）《中华人民共和国动物防疫法》第四十九条</w:t>
      </w:r>
      <w:r>
        <w:rPr>
          <w:rFonts w:hint="eastAsia" w:ascii="方正仿宋_GBK" w:hAnsi="方正仿宋_GBK" w:eastAsia="方正仿宋_GBK" w:cs="方正仿宋_GBK"/>
          <w:color w:val="auto"/>
          <w:sz w:val="28"/>
          <w:szCs w:val="28"/>
          <w:lang w:val="en-US" w:eastAsia="zh-CN"/>
        </w:rPr>
        <w:t xml:space="preserve">  </w:t>
      </w:r>
      <w:r>
        <w:rPr>
          <w:rFonts w:ascii="方正仿宋_GBK" w:hAnsi="方正仿宋_GBK" w:eastAsia="方正仿宋_GBK" w:cs="方正仿宋_GBK"/>
          <w:color w:val="auto"/>
          <w:sz w:val="28"/>
          <w:szCs w:val="28"/>
        </w:rPr>
        <w:t>屠宰、出售或者运输动物以及出售或者运输动物产品前，货主应当按照国务院农业农村主管部门的规定向所在地动物卫生监督机构申报检疫。</w:t>
      </w:r>
    </w:p>
    <w:p>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动物卫生监督机构接到检疫申报后，应当及时指派官方兽医对动物、动物产品实施检疫；检疫合格的，出具检疫证明、加施检疫标志。实施检疫的官方兽医应当在检疫证明、检疫标志上签字或者盖章，并对检疫结论负责。</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（2）</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）第八条国家实行动物检疫申报制度。出售或者运输动物、动物产品的，货主应当提前三天向所在地动物卫生监督机构申报检疫</w:t>
      </w:r>
      <w:r>
        <w:rPr>
          <w:rFonts w:ascii="方正仿宋_GBK" w:hAnsi="方正仿宋_GBK" w:eastAsia="方正仿宋_GBK" w:cs="方正仿宋_GBK"/>
          <w:color w:val="auto"/>
          <w:sz w:val="28"/>
          <w:szCs w:val="28"/>
        </w:rPr>
        <w:t>……</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九条向无规定动物疫病区输入相关易感动物、易感动物产品的，货主除按本办法第八条规定向输出地动物卫生监督机构申报检疫外，还应当在启运三天前向输入地动物卫生监督机构申报检疫。输入易感动物的，向输入地隔离场所在地动物卫生监督机构申报；输入易感动物产品的，在输入地省级动物卫生监督机构指定的地点申报。</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（4）</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）第十二条动物卫生监督机构接到申报后，应当及时对申报材料进行审查。申报材料齐全的，予以受理；有下列情形之一的，不予受理，并说明理由：</w:t>
      </w:r>
      <w:r>
        <w:rPr>
          <w:rFonts w:ascii="方正仿宋_GBK" w:hAnsi="方正仿宋_GBK" w:eastAsia="方正仿宋_GBK" w:cs="方正仿宋_GBK"/>
          <w:color w:val="auto"/>
          <w:sz w:val="28"/>
          <w:szCs w:val="28"/>
        </w:rPr>
        <w:t>……</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（5）</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）第十三条受理申报后，动物卫生监督机构应当指派官方兽医实施检疫，可以安排协检人员协助官方兽医到现场或指定地点核实信息，开展临床健康检查。</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（6）</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）第十五条出售或者运输水生动物的亲本、稚体、幼体、受精卵、发眼卵及其他遗传育种材料等水产苗种的，经检疫符合下列条件的，出具动物检疫证明：</w:t>
      </w:r>
      <w:r>
        <w:rPr>
          <w:rFonts w:ascii="方正仿宋_GBK" w:hAnsi="方正仿宋_GBK" w:eastAsia="方正仿宋_GBK" w:cs="方正仿宋_GBK"/>
          <w:color w:val="auto"/>
          <w:sz w:val="28"/>
          <w:szCs w:val="28"/>
        </w:rPr>
        <w:t>……</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）第十六条已经取得产地检疫证明的动物，从专门经营动物的集贸市场继续出售或者运输的，或者动物展示、演出、比赛后需要继续运输的，经检疫符合下列条件的，出具动物检疫证明：</w:t>
      </w:r>
      <w:r>
        <w:rPr>
          <w:rFonts w:ascii="方正仿宋_GBK" w:hAnsi="方正仿宋_GBK" w:eastAsia="方正仿宋_GBK" w:cs="方正仿宋_GBK"/>
          <w:color w:val="auto"/>
          <w:sz w:val="28"/>
          <w:szCs w:val="28"/>
        </w:rPr>
        <w:t>……</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（8）</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七条跨省、自治区、直辖市引进的乳用、种用动物到达输入地后，应当在隔离场或者饲养场内的隔离舍进行隔离观察，隔离期为三十天。经隔离观察合格的，方可混群饲养；不合格的，按照有关规定进行处理。隔离观察合格后需要继续运输的，货主应当申报检疫，并取得动物检疫证明。</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六条输入到无规定动物疫病区的相关易感动物，应当在输入地省级动物卫生监督机构指定的隔离场所进行隔离，隔离检疫期为三十天。隔离检疫合格的，由隔离场所在地县级动物卫生监督机构的官方兽医出具动物检疫证明。</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（10）《</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七条输入到无规定动物疫病区的相关易感动物产品，应当在输入地省级动物卫生监督机构指定的地点，按照无规定动物疫病区有关检疫要求进行检疫。检疫合格的，由当地县级动物卫生监督机构的官方兽医出具动物检疫证明。</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w:t>
      </w:r>
      <w:r>
        <w:rPr>
          <w:rFonts w:ascii="Times New Roman" w:hAnsi="Times New Roman" w:eastAsia="仿宋GB2312"/>
          <w:b/>
          <w:bCs/>
          <w:color w:val="auto"/>
          <w:sz w:val="28"/>
          <w:szCs w:val="28"/>
        </w:rPr>
        <w:t>是否需要现场勘验</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是</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w:t>
      </w:r>
      <w:r>
        <w:rPr>
          <w:rFonts w:ascii="Times New Roman" w:hAnsi="Times New Roman" w:eastAsia="仿宋GB2312"/>
          <w:b/>
          <w:bCs/>
          <w:color w:val="auto"/>
          <w:sz w:val="28"/>
          <w:szCs w:val="28"/>
        </w:rPr>
        <w:t>是否需要组织听证</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w:t>
      </w:r>
      <w:r>
        <w:rPr>
          <w:rFonts w:ascii="Times New Roman" w:hAnsi="Times New Roman" w:eastAsia="仿宋GB2312"/>
          <w:b/>
          <w:bCs/>
          <w:color w:val="auto"/>
          <w:sz w:val="28"/>
          <w:szCs w:val="28"/>
        </w:rPr>
        <w:t>是否需要招标、拍卖、挂牌交易</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6.</w:t>
      </w:r>
      <w:r>
        <w:rPr>
          <w:rFonts w:ascii="Times New Roman" w:hAnsi="Times New Roman" w:eastAsia="仿宋GB2312"/>
          <w:b/>
          <w:bCs/>
          <w:color w:val="auto"/>
          <w:sz w:val="28"/>
          <w:szCs w:val="28"/>
        </w:rPr>
        <w:t>是否需要检验、检测、检疫</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是</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7.</w:t>
      </w:r>
      <w:r>
        <w:rPr>
          <w:rFonts w:ascii="Times New Roman" w:hAnsi="Times New Roman" w:eastAsia="仿宋GB2312"/>
          <w:b/>
          <w:bCs/>
          <w:color w:val="auto"/>
          <w:sz w:val="28"/>
          <w:szCs w:val="28"/>
        </w:rPr>
        <w:t>是否需要鉴定</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8.</w:t>
      </w:r>
      <w:r>
        <w:rPr>
          <w:rFonts w:ascii="Times New Roman" w:hAnsi="Times New Roman" w:eastAsia="仿宋GB2312"/>
          <w:b/>
          <w:bCs/>
          <w:color w:val="auto"/>
          <w:sz w:val="28"/>
          <w:szCs w:val="28"/>
        </w:rPr>
        <w:t>是否需要专家评审</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9.</w:t>
      </w:r>
      <w:r>
        <w:rPr>
          <w:rFonts w:ascii="Times New Roman" w:hAnsi="Times New Roman" w:eastAsia="仿宋GB2312"/>
          <w:b/>
          <w:bCs/>
          <w:color w:val="auto"/>
          <w:sz w:val="28"/>
          <w:szCs w:val="28"/>
        </w:rPr>
        <w:t>是否需要向社会公示</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10.</w:t>
      </w:r>
      <w:r>
        <w:rPr>
          <w:rFonts w:ascii="Times New Roman" w:hAnsi="Times New Roman" w:eastAsia="仿宋GB2312"/>
          <w:b/>
          <w:bCs/>
          <w:color w:val="auto"/>
          <w:sz w:val="28"/>
          <w:szCs w:val="28"/>
        </w:rPr>
        <w:t>是否实行告知承诺办理</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11.审批机关是否委托服务机构开展技术性服务：</w:t>
      </w:r>
      <w:r>
        <w:rPr>
          <w:rFonts w:hint="eastAsia" w:ascii="方正仿宋_GBK" w:hAnsi="方正仿宋_GBK" w:eastAsia="方正仿宋_GBK" w:cs="方正仿宋_GBK"/>
          <w:color w:val="auto"/>
          <w:sz w:val="28"/>
          <w:szCs w:val="28"/>
        </w:rPr>
        <w:t>否</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八、受理和审批时限</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1.承诺受理时限：</w:t>
      </w:r>
      <w:r>
        <w:rPr>
          <w:rFonts w:hint="eastAsia" w:ascii="Times New Roman" w:hAnsi="Times New Roman" w:eastAsia="仿宋GB2312"/>
          <w:b w:val="0"/>
          <w:bCs w:val="0"/>
          <w:color w:val="auto"/>
          <w:sz w:val="28"/>
          <w:szCs w:val="28"/>
          <w:lang w:val="en-US" w:eastAsia="zh-CN"/>
        </w:rPr>
        <w:t>1</w:t>
      </w:r>
      <w:r>
        <w:rPr>
          <w:rFonts w:ascii="方正仿宋_GBK" w:hAnsi="方正仿宋_GBK" w:eastAsia="方正仿宋_GBK" w:cs="方正仿宋_GBK"/>
          <w:b w:val="0"/>
          <w:bCs w:val="0"/>
          <w:color w:val="auto"/>
          <w:sz w:val="28"/>
          <w:szCs w:val="28"/>
        </w:rPr>
        <w:t>个工作</w:t>
      </w:r>
      <w:r>
        <w:rPr>
          <w:rFonts w:ascii="方正仿宋_GBK" w:hAnsi="方正仿宋_GBK" w:eastAsia="方正仿宋_GBK" w:cs="方正仿宋_GBK"/>
          <w:color w:val="auto"/>
          <w:sz w:val="28"/>
          <w:szCs w:val="28"/>
        </w:rPr>
        <w:t>日</w:t>
      </w:r>
    </w:p>
    <w:p>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2.法定审批时限：</w:t>
      </w:r>
      <w:r>
        <w:rPr>
          <w:rFonts w:hint="eastAsia" w:ascii="方正仿宋_GBK" w:hAnsi="方正仿宋_GBK" w:eastAsia="方正仿宋_GBK" w:cs="方正仿宋_GBK"/>
          <w:color w:val="auto"/>
          <w:sz w:val="28"/>
          <w:szCs w:val="28"/>
        </w:rPr>
        <w:t>20个工作日</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3.规定法定审批时限依据</w:t>
      </w:r>
    </w:p>
    <w:p>
      <w:pPr>
        <w:spacing w:line="600" w:lineRule="exact"/>
        <w:ind w:firstLine="560" w:firstLineChars="200"/>
        <w:rPr>
          <w:rFonts w:ascii="Times New Roman" w:hAnsi="Times New Roman" w:eastAsia="仿宋GB2312"/>
          <w:color w:val="auto"/>
          <w:sz w:val="32"/>
          <w:szCs w:val="32"/>
        </w:rPr>
      </w:pPr>
      <w:r>
        <w:rPr>
          <w:rFonts w:ascii="方正仿宋_GBK" w:hAnsi="方正仿宋_GBK" w:eastAsia="方正仿宋_GBK" w:cs="方正仿宋_GBK"/>
          <w:color w:val="auto"/>
          <w:sz w:val="28"/>
          <w:szCs w:val="28"/>
        </w:rPr>
        <w:t>《中华人民共和国行政许可法》第四十二条除可以当场作出行政许可决定的外，行政机关应当自受理行政许可申请之日起二十日内作出行政许可决定。二十日内不能作出决定的，经本行政机关负责人批准，可以延长十日，并应当将延长期限的理由告知申请人。但是，法律、法规另有规定的，依照其规定。</w:t>
      </w:r>
    </w:p>
    <w:p>
      <w:pPr>
        <w:spacing w:line="600" w:lineRule="exact"/>
        <w:ind w:firstLine="562" w:firstLineChars="200"/>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4.承诺审批时限：</w:t>
      </w:r>
      <w:r>
        <w:rPr>
          <w:rFonts w:hint="eastAsia" w:ascii="Times New Roman" w:hAnsi="Times New Roman" w:eastAsia="仿宋GB2312"/>
          <w:b w:val="0"/>
          <w:bCs w:val="0"/>
          <w:color w:val="auto"/>
          <w:sz w:val="28"/>
          <w:szCs w:val="28"/>
          <w:lang w:val="en-US" w:eastAsia="zh-CN"/>
        </w:rPr>
        <w:t>1</w:t>
      </w:r>
      <w:r>
        <w:rPr>
          <w:rFonts w:ascii="方正仿宋_GBK" w:hAnsi="方正仿宋_GBK" w:eastAsia="方正仿宋_GBK" w:cs="方正仿宋_GBK"/>
          <w:b w:val="0"/>
          <w:bCs w:val="0"/>
          <w:color w:val="auto"/>
          <w:sz w:val="28"/>
          <w:szCs w:val="28"/>
        </w:rPr>
        <w:t>个</w:t>
      </w:r>
      <w:r>
        <w:rPr>
          <w:rFonts w:ascii="方正仿宋_GBK" w:hAnsi="方正仿宋_GBK" w:eastAsia="方正仿宋_GBK" w:cs="方正仿宋_GBK"/>
          <w:color w:val="auto"/>
          <w:sz w:val="28"/>
          <w:szCs w:val="28"/>
        </w:rPr>
        <w:t>工作日</w:t>
      </w:r>
    </w:p>
    <w:p>
      <w:pPr>
        <w:spacing w:line="600" w:lineRule="exact"/>
        <w:ind w:firstLine="560" w:firstLineChars="200"/>
        <w:rPr>
          <w:rFonts w:ascii="Times New Roman" w:hAnsi="Times New Roman" w:eastAsia="仿宋GB2312"/>
          <w:color w:val="auto"/>
          <w:sz w:val="28"/>
          <w:szCs w:val="28"/>
        </w:rPr>
      </w:pPr>
      <w:r>
        <w:rPr>
          <w:rFonts w:ascii="方正仿宋_GBK" w:hAnsi="方正仿宋_GBK" w:eastAsia="方正仿宋_GBK" w:cs="方正仿宋_GBK"/>
          <w:color w:val="auto"/>
          <w:sz w:val="28"/>
          <w:szCs w:val="28"/>
        </w:rPr>
        <w:t>依法进行检验、检测、检疫另需时间不计算在该时限</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九、收费</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1.办理行政许可是否收费：</w:t>
      </w:r>
      <w:r>
        <w:rPr>
          <w:rFonts w:hint="eastAsia" w:ascii="方正仿宋_GBK" w:hAnsi="方正仿宋_GBK" w:eastAsia="方正仿宋_GBK" w:cs="方正仿宋_GBK"/>
          <w:color w:val="auto"/>
          <w:sz w:val="28"/>
          <w:szCs w:val="28"/>
        </w:rPr>
        <w:t>否</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2.收费项目的名称、收费项目的标准、设定收费项目的依据、规定收费标准的依据</w:t>
      </w:r>
    </w:p>
    <w:p>
      <w:pPr>
        <w:spacing w:line="600" w:lineRule="exact"/>
        <w:ind w:firstLine="560" w:firstLineChars="200"/>
        <w:rPr>
          <w:rFonts w:ascii="方正仿宋_GBK" w:hAnsi="方正仿宋_GBK" w:eastAsia="方正仿宋_GBK" w:cs="方正仿宋_GBK"/>
          <w:b/>
          <w:bCs/>
          <w:color w:val="auto"/>
          <w:sz w:val="28"/>
          <w:szCs w:val="28"/>
        </w:rPr>
      </w:pPr>
      <w:r>
        <w:rPr>
          <w:rFonts w:hint="eastAsia" w:ascii="方正仿宋_GBK" w:hAnsi="方正仿宋_GBK" w:eastAsia="方正仿宋_GBK" w:cs="方正仿宋_GBK"/>
          <w:color w:val="auto"/>
          <w:sz w:val="28"/>
          <w:szCs w:val="28"/>
        </w:rPr>
        <w:t>无</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十、行政许可证件</w:t>
      </w:r>
    </w:p>
    <w:p>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1.审批结果类型：</w:t>
      </w:r>
      <w:r>
        <w:rPr>
          <w:rFonts w:ascii="方正仿宋_GBK" w:hAnsi="方正仿宋_GBK" w:eastAsia="方正仿宋_GBK" w:cs="方正仿宋_GBK"/>
          <w:color w:val="auto"/>
          <w:sz w:val="28"/>
          <w:szCs w:val="28"/>
        </w:rPr>
        <w:t>证照</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2.审批结果名称：</w:t>
      </w:r>
      <w:r>
        <w:rPr>
          <w:rFonts w:hint="eastAsia" w:ascii="方正仿宋_GBK" w:hAnsi="方正仿宋_GBK" w:eastAsia="方正仿宋_GBK" w:cs="方正仿宋_GBK"/>
          <w:color w:val="auto"/>
          <w:sz w:val="28"/>
          <w:szCs w:val="28"/>
        </w:rPr>
        <w:t>动物检疫合格证明</w:t>
      </w:r>
    </w:p>
    <w:p>
      <w:pPr>
        <w:spacing w:line="600" w:lineRule="exact"/>
        <w:ind w:firstLine="562" w:firstLineChars="200"/>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3.审批结果的有效期限：</w:t>
      </w:r>
      <w:r>
        <w:rPr>
          <w:rFonts w:hint="eastAsia" w:ascii="方正仿宋_GBK" w:hAnsi="方正仿宋_GBK" w:eastAsia="方正仿宋_GBK" w:cs="方正仿宋_GBK"/>
          <w:color w:val="auto"/>
          <w:sz w:val="28"/>
          <w:szCs w:val="28"/>
        </w:rPr>
        <w:t>当次</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4.规定审批结果有效期限的依据</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《动物卫生监督证章标志填写及应用规范》（农医发〔2010〕 44号）视运抵到达地点所需时间填写，动物不得超过5天，动物产品不得超过7天。</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5.是否需要办理审批结果变更手续：</w:t>
      </w:r>
      <w:r>
        <w:rPr>
          <w:rFonts w:ascii="方正仿宋_GBK" w:hAnsi="方正仿宋_GBK" w:eastAsia="方正仿宋_GBK" w:cs="方正仿宋_GBK"/>
          <w:color w:val="auto"/>
          <w:sz w:val="28"/>
          <w:szCs w:val="28"/>
        </w:rPr>
        <w:t>否</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6.办理审批结果变更手续的要求</w:t>
      </w:r>
    </w:p>
    <w:p>
      <w:pPr>
        <w:spacing w:line="600" w:lineRule="exact"/>
        <w:ind w:firstLine="560" w:firstLineChars="200"/>
        <w:rPr>
          <w:rFonts w:ascii="Times New Roman" w:hAnsi="Times New Roman" w:eastAsia="仿宋GB2312"/>
          <w:color w:val="auto"/>
          <w:sz w:val="32"/>
          <w:szCs w:val="32"/>
        </w:rPr>
      </w:pP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7.是否需要办理审批结果延续手续：</w:t>
      </w:r>
      <w:r>
        <w:rPr>
          <w:rFonts w:hint="eastAsia" w:ascii="方正仿宋_GBK" w:hAnsi="方正仿宋_GBK" w:eastAsia="方正仿宋_GBK" w:cs="方正仿宋_GBK"/>
          <w:color w:val="auto"/>
          <w:sz w:val="28"/>
          <w:szCs w:val="28"/>
        </w:rPr>
        <w:t>否</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8.办理审批结果延续手续的要求</w:t>
      </w:r>
    </w:p>
    <w:p>
      <w:pPr>
        <w:spacing w:line="600" w:lineRule="exact"/>
        <w:ind w:firstLine="560" w:firstLineChars="200"/>
        <w:rPr>
          <w:rFonts w:ascii="Times New Roman" w:hAnsi="Times New Roman" w:eastAsia="仿宋GB2312"/>
          <w:color w:val="auto"/>
          <w:sz w:val="32"/>
          <w:szCs w:val="32"/>
        </w:rPr>
      </w:pPr>
      <w:r>
        <w:rPr>
          <w:rFonts w:hint="eastAsia" w:ascii="方正仿宋_GBK" w:hAnsi="方正仿宋_GBK" w:eastAsia="方正仿宋_GBK" w:cs="方正仿宋_GBK"/>
          <w:color w:val="auto"/>
          <w:sz w:val="28"/>
          <w:szCs w:val="28"/>
        </w:rPr>
        <w:t>无</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9.审批结果的有效地域范围</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全国</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10.规定审批结果有效地域范围的依据</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《中华人民共和国行政许可法》第四十一条法律、行政法规设定的行政许可，其适用范围没有地域限制的，申请人取得的行政许可在全国范围内有效。</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十一、行政许可数量限制</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1.有无行政许可数量限制：</w:t>
      </w:r>
      <w:r>
        <w:rPr>
          <w:rFonts w:hint="eastAsia" w:ascii="方正仿宋_GBK" w:hAnsi="方正仿宋_GBK" w:eastAsia="方正仿宋_GBK" w:cs="方正仿宋_GBK"/>
          <w:color w:val="auto"/>
          <w:sz w:val="28"/>
          <w:szCs w:val="28"/>
        </w:rPr>
        <w:t>无</w:t>
      </w:r>
    </w:p>
    <w:p>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2.公布数量限制的方式：</w:t>
      </w:r>
      <w:r>
        <w:rPr>
          <w:rFonts w:hint="eastAsia" w:ascii="方正仿宋_GBK" w:hAnsi="方正仿宋_GBK" w:eastAsia="方正仿宋_GBK" w:cs="方正仿宋_GBK"/>
          <w:color w:val="auto"/>
          <w:sz w:val="28"/>
          <w:szCs w:val="28"/>
        </w:rPr>
        <w:t>无</w:t>
      </w:r>
    </w:p>
    <w:p>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3.公布数量限制的周期：</w:t>
      </w: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4.在数量限制条件下实施行政许可的方式：</w:t>
      </w:r>
      <w:r>
        <w:rPr>
          <w:rFonts w:hint="eastAsia" w:ascii="方正仿宋_GBK" w:hAnsi="方正仿宋_GBK" w:eastAsia="方正仿宋_GBK" w:cs="方正仿宋_GBK"/>
          <w:color w:val="auto"/>
          <w:sz w:val="28"/>
          <w:szCs w:val="28"/>
        </w:rPr>
        <w:t>无</w:t>
      </w:r>
    </w:p>
    <w:p>
      <w:pPr>
        <w:spacing w:line="600" w:lineRule="exact"/>
        <w:ind w:firstLine="562" w:firstLineChars="200"/>
        <w:jc w:val="left"/>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5.规定在数量限制条件下实施行政许可方式的依据</w:t>
      </w:r>
    </w:p>
    <w:p>
      <w:pPr>
        <w:spacing w:line="600" w:lineRule="exact"/>
        <w:ind w:firstLine="560" w:firstLineChars="200"/>
        <w:jc w:val="left"/>
        <w:rPr>
          <w:rFonts w:ascii="Times New Roman" w:hAnsi="Times New Roman" w:eastAsia="仿宋GB2312"/>
          <w:color w:val="auto"/>
          <w:sz w:val="28"/>
          <w:szCs w:val="28"/>
        </w:rPr>
      </w:pPr>
      <w:r>
        <w:rPr>
          <w:rFonts w:hint="eastAsia" w:ascii="方正仿宋_GBK" w:hAnsi="方正仿宋_GBK" w:eastAsia="方正仿宋_GBK" w:cs="方正仿宋_GBK"/>
          <w:color w:val="auto"/>
          <w:sz w:val="28"/>
          <w:szCs w:val="28"/>
        </w:rPr>
        <w:t>无</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十二、行政许可后年检</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1.有无年检要求：</w:t>
      </w:r>
      <w:r>
        <w:rPr>
          <w:rFonts w:hint="eastAsia" w:ascii="方正仿宋_GBK" w:hAnsi="方正仿宋_GBK" w:eastAsia="方正仿宋_GBK" w:cs="方正仿宋_GBK"/>
          <w:color w:val="auto"/>
          <w:sz w:val="28"/>
          <w:szCs w:val="28"/>
        </w:rPr>
        <w:t>无</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2.设定年检要求的依据</w:t>
      </w:r>
    </w:p>
    <w:p>
      <w:pPr>
        <w:spacing w:line="540" w:lineRule="exact"/>
        <w:ind w:firstLine="560" w:firstLineChars="200"/>
        <w:outlineLvl w:val="2"/>
        <w:rPr>
          <w:rFonts w:ascii="Times New Roman" w:hAnsi="Times New Roman" w:eastAsia="仿宋GB2312"/>
          <w:color w:val="auto"/>
          <w:sz w:val="28"/>
          <w:szCs w:val="28"/>
        </w:rPr>
      </w:pPr>
      <w:r>
        <w:rPr>
          <w:rFonts w:hint="eastAsia" w:ascii="方正仿宋_GBK" w:hAnsi="方正仿宋_GBK" w:eastAsia="方正仿宋_GBK" w:cs="方正仿宋_GBK"/>
          <w:color w:val="auto"/>
          <w:sz w:val="28"/>
          <w:szCs w:val="28"/>
        </w:rPr>
        <w:t>无</w:t>
      </w:r>
    </w:p>
    <w:p>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3.年检周期：</w:t>
      </w: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4.年检是否要求报送材料：</w:t>
      </w: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5.年检报送材料名称：</w:t>
      </w: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6.年检是否收费：</w:t>
      </w: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7.年检收费项目的名称、年检收费项目的标准、设定年检收费项目的依据、规定年检项目收费标准的依据</w:t>
      </w:r>
    </w:p>
    <w:p>
      <w:pPr>
        <w:spacing w:line="600" w:lineRule="exact"/>
        <w:ind w:firstLine="560" w:firstLineChars="200"/>
        <w:rPr>
          <w:rFonts w:ascii="Times New Roman" w:hAnsi="Times New Roman" w:eastAsia="仿宋GB2312"/>
          <w:color w:val="auto"/>
          <w:sz w:val="28"/>
          <w:szCs w:val="28"/>
        </w:rPr>
      </w:pPr>
      <w:r>
        <w:rPr>
          <w:rFonts w:hint="eastAsia" w:ascii="方正仿宋_GBK" w:hAnsi="方正仿宋_GBK" w:eastAsia="方正仿宋_GBK" w:cs="方正仿宋_GBK"/>
          <w:color w:val="auto"/>
          <w:sz w:val="28"/>
          <w:szCs w:val="28"/>
        </w:rPr>
        <w:t>无</w:t>
      </w:r>
    </w:p>
    <w:p>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8.通过年检的证明或者标志：</w:t>
      </w:r>
      <w:r>
        <w:rPr>
          <w:rFonts w:hint="eastAsia" w:ascii="方正仿宋_GBK" w:hAnsi="方正仿宋_GBK" w:eastAsia="方正仿宋_GBK" w:cs="方正仿宋_GBK"/>
          <w:color w:val="auto"/>
          <w:sz w:val="28"/>
          <w:szCs w:val="28"/>
        </w:rPr>
        <w:t>无</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十三、行政许可后年报</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w:t>
      </w:r>
      <w:r>
        <w:rPr>
          <w:rFonts w:ascii="Times New Roman" w:hAnsi="Times New Roman" w:eastAsia="仿宋GB2312"/>
          <w:b/>
          <w:bCs/>
          <w:color w:val="auto"/>
          <w:sz w:val="28"/>
          <w:szCs w:val="28"/>
        </w:rPr>
        <w:t>有无年报要求</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年报报送材料名称</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rPr>
        <w:t>无</w:t>
      </w:r>
    </w:p>
    <w:p>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w:t>
      </w:r>
      <w:r>
        <w:rPr>
          <w:rFonts w:ascii="Times New Roman" w:hAnsi="Times New Roman" w:eastAsia="仿宋GB2312"/>
          <w:b/>
          <w:bCs/>
          <w:color w:val="auto"/>
          <w:sz w:val="28"/>
          <w:szCs w:val="28"/>
        </w:rPr>
        <w:t>设定年报要求的依据</w:t>
      </w:r>
    </w:p>
    <w:p>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无</w:t>
      </w:r>
    </w:p>
    <w:p>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w:t>
      </w:r>
      <w:r>
        <w:rPr>
          <w:rFonts w:ascii="Times New Roman" w:hAnsi="Times New Roman" w:eastAsia="仿宋GB2312"/>
          <w:b/>
          <w:bCs/>
          <w:color w:val="auto"/>
          <w:sz w:val="28"/>
          <w:szCs w:val="28"/>
        </w:rPr>
        <w:t>年报周期</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rPr>
        <w:t>无</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十四、监管主体</w:t>
      </w:r>
    </w:p>
    <w:p>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县级以上农业农村部门</w:t>
      </w:r>
    </w:p>
    <w:p>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十五、备注</w:t>
      </w:r>
    </w:p>
    <w:p>
      <w:pPr>
        <w:spacing w:line="600" w:lineRule="exact"/>
        <w:ind w:firstLine="560" w:firstLineChars="200"/>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lang w:eastAsia="zh-CN"/>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GB2312">
    <w:altName w:val="仿宋"/>
    <w:panose1 w:val="00000000000000000000"/>
    <w:charset w:val="86"/>
    <w:family w:val="roman"/>
    <w:pitch w:val="default"/>
    <w:sig w:usb0="00000000" w:usb1="00000000" w:usb2="00000000" w:usb3="00000000" w:csb0="00040001"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195CAF"/>
    <w:rsid w:val="00107478"/>
    <w:rsid w:val="002866D3"/>
    <w:rsid w:val="00882F06"/>
    <w:rsid w:val="00A51F2F"/>
    <w:rsid w:val="00C66E38"/>
    <w:rsid w:val="00CD57DA"/>
    <w:rsid w:val="00CF68B2"/>
    <w:rsid w:val="00EC37B1"/>
    <w:rsid w:val="00F53F3B"/>
    <w:rsid w:val="027A1993"/>
    <w:rsid w:val="0A195CAF"/>
    <w:rsid w:val="0C0C09D4"/>
    <w:rsid w:val="16B35B1B"/>
    <w:rsid w:val="1D835573"/>
    <w:rsid w:val="399709F4"/>
    <w:rsid w:val="470C6D13"/>
    <w:rsid w:val="47F7A14A"/>
    <w:rsid w:val="5C885D3B"/>
    <w:rsid w:val="6C9060C3"/>
    <w:rsid w:val="6FC1236D"/>
    <w:rsid w:val="797CC759"/>
    <w:rsid w:val="7AF11E81"/>
    <w:rsid w:val="DDF6C77F"/>
    <w:rsid w:val="F33DC721"/>
    <w:rsid w:val="F8D7DE81"/>
    <w:rsid w:val="FAADD6E8"/>
    <w:rsid w:val="FFDB78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Calibri" w:hAnsi="Calibri"/>
      <w:kern w:val="2"/>
      <w:sz w:val="18"/>
      <w:szCs w:val="18"/>
    </w:rPr>
  </w:style>
  <w:style w:type="character" w:customStyle="1" w:styleId="7">
    <w:name w:val="页脚 Char"/>
    <w:basedOn w:val="5"/>
    <w:link w:val="2"/>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云南省农业厅</Company>
  <Pages>12</Pages>
  <Words>4876</Words>
  <Characters>453</Characters>
  <Lines>3</Lines>
  <Paragraphs>10</Paragraphs>
  <TotalTime>0</TotalTime>
  <ScaleCrop>false</ScaleCrop>
  <LinksUpToDate>false</LinksUpToDate>
  <CharactersWithSpaces>5319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2023-04-13T09:08:00Z</dcterms:created>
  <dc:creator>Administrator</dc:creator>
  <cp:lastModifiedBy>邓润</cp:lastModifiedBy>
  <dcterms:modified xsi:type="dcterms:W3CDTF">2023-11-22T03:57:34Z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E3C80A4CF8D1423ABF2D90D67F62811D</vt:lpwstr>
  </property>
</Properties>
</file>